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bookmarkStart w:id="0" w:name="_GoBack"/>
      <w:bookmarkEnd w:id="0"/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039596B5"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06DFC330"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>EVĖŽIO R.</w:t>
      </w:r>
      <w:r w:rsidR="00B677A8">
        <w:rPr>
          <w:rStyle w:val="fontstyle01"/>
          <w:b/>
          <w:bCs/>
        </w:rPr>
        <w:t xml:space="preserve"> VELŽIO </w:t>
      </w:r>
      <w:r w:rsidR="003C3172">
        <w:rPr>
          <w:rStyle w:val="fontstyle01"/>
          <w:b/>
          <w:bCs/>
        </w:rPr>
        <w:t>GIMNAZIJA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846827" w:rsidRPr="00DA4C2F" w14:paraId="5DF3C539" w14:textId="77777777" w:rsidTr="00535E3B">
        <w:trPr>
          <w:jc w:val="center"/>
        </w:trPr>
        <w:tc>
          <w:tcPr>
            <w:tcW w:w="13182" w:type="dxa"/>
          </w:tcPr>
          <w:p w14:paraId="1B8DDA06" w14:textId="17DE4FA8" w:rsidR="00EE5C13" w:rsidRPr="00EE5C13" w:rsidRDefault="00B677A8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             </w:t>
            </w:r>
            <w:r w:rsidR="00EE5C13" w:rsidRPr="00EE5C13">
              <w:rPr>
                <w:rFonts w:eastAsia="SimSun" w:cs="Mangal"/>
                <w:kern w:val="2"/>
                <w:szCs w:val="24"/>
                <w:lang w:bidi="hi-IN"/>
              </w:rPr>
              <w:t>Įgyvendintas Velžio gimnazijos strateginis planas 2020–2022 metams.</w:t>
            </w:r>
          </w:p>
          <w:p w14:paraId="11C4EABA" w14:textId="77777777" w:rsid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Pirmuoju tikslu ,,Sąlygų ir strategijų, padedančių mokiniams aktyviai mokytis,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tobulinimas ir įgyvendinimas“ buvo siekiama užtikrinti aukštą ugdymo(-</w:t>
            </w:r>
            <w:proofErr w:type="spellStart"/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) kokybę, užtikrinti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.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Bendrųjų kompetencijų ugdymąsi, siekti asmenybės brandos, mokymosi pažangos ir pasiekimų,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aktyvinti mokymąsi virtualiose aplinkose, turtinti aktyvių mokymosi priemonių bazę. Įsteigtas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konsultavimo centras.  Įrengta gamtos mokslų laboratorija. Sukurtas pažintinis takas, įsigyta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oranžerija, lauko treniruokliai.  Įkurtos 7 edukacinės erdvės, 8 erdvės mokinių darbų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eksponavimui. Įkurtos 5 poilsio/mokymosi erdvės mokykloje, 2 lauko klasės ir 2 poilsio zonos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lauke.  Įrengtas sensorinis kambarys.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Sutvarkytas mokyklos lauko fasadas, privažiavimas prie gimnazijos, išklotas naujas grindinys.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Atnaujinta IT bazė.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1A6ADEC6" w14:textId="76AD7DE1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Pamokų kokybė vertinama gerai (3). 10 proc. didėja kokybiškai besimokančių mokinių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dalis. Lietuvos gimnazijų reitinge esame 63 vietoje, pernai buvo 49 vietoje, tarp geriausiai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geografijos brandos egzaminą parengiančių mokyklų Velžio gimnazija užima 4–5 vietą,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biologijos – 20 vietą. Pagal abiturientų parengimą laikyti matematikos egzaminą – iš 360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gimnazijų Velžio gimnazija užima 156 vietą. Informacinių technologijų egzamino reitinge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gimnazija – 129, fizikos – 185 vietoje. 67 proc. Velžio abiturientų šiemet įstojo į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aukštąsias mokyklas.</w:t>
            </w:r>
          </w:p>
          <w:p w14:paraId="4DDFBDB8" w14:textId="097948EB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Antruoju tikslu  ,,Aktyvios, partneryste ir lyderyste grįstos, mokyklos bendruomenės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formavimas“ buvo siekiama skatinti įtraukiojo ugdymo vertybių puoselėjimą, stiprinti tėvų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įsitraukimą, organizuoti bendruomenės švietimo veiklas, skatinti besimokančios organizacijos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plėtrą ir lyderystę gimnazijoje, skatinti mokinių socialumą, kryptingai bendradarbiaujant su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įstaigomis ir organizacijomis, skatinti mokinių pilietiškumą puoselėjant gimnazijos tradicijas.</w:t>
            </w:r>
          </w:p>
          <w:p w14:paraId="597E62D9" w14:textId="5A37AED5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Mokytojai rengiasi atnaujinti ugdymo turinio atnaujinimui auga individuali mokinio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pažanga. Bendruomenėje susitarti mokinio pažangos kriterijai. 30 proc. mokytojų dalyvauja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šalies Ugdymo turinio atnaujinimo kompetencijų ugdymo mokymuose. Neformalusis švietimas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tenkina daugumos gimnazijos mokinių ir tėvų poreikius. 75 proc. mokinių lanko neformaliojo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švietimo užsiėmimus gimnazijoje.</w:t>
            </w:r>
          </w:p>
          <w:p w14:paraId="61AEE674" w14:textId="19D25C0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Atlikti mansardinio aukšto projektavimo ir pradėti vykdyti statybos darbai. Pradinėse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klasėse įrengti aktyvios veiklos kampeliai mokiniams. Stadione pritaikytos erdvės įvairaus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amžiaus mokinių grupėms. Įrengti treniruokliai, sūpynės, pakeliamos lysvės.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Efektyvi ,,Kolegialaus mokytojų mokymosi veikla, taikant grįžtamąjį ryšį pamokose“,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mokytojai veda pamokas kolegoms arba patys dalyvauja kito mokytojo pamokose, siekdami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įgyti naujos patirties sutartais ugdymo organizavimo aspektais, o vėliau įgytą patirtį pritaiko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ugdymo procese. 10 proc. didėja mokytojų, skleidusių patirtį už mokyklos ribų, skaičius.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Kiekvienas mokytojas veda po dvi atviras pamokas per metus. Kartą per pusmetį mokiniai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mokytojui teikia grįžtamąjį ryšį. Kas pusmetį organizuojami tarpiniai pokalbiai su mokytojais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apie mokymo kokybę. Iš gautų duomenų, pamokos stebėjimo rodiklių, bendruomenė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reflektuoja patirtį ir mokymąsi. 75 proc. stebėtų pamokų vyrauja mokymosi paradigma.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Atnaujintos ugdymo organizavimą reglamentuojančios tvarkos.</w:t>
            </w:r>
          </w:p>
          <w:p w14:paraId="63997566" w14:textId="77777777" w:rsidR="00B677A8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Kasmet gimnazija parengia ne mažesnę nei 40 val. kvalifikacijos tobulinimo programą,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kokias profesines kompetencijas mokytojai ugdysis. Administracija periodiškai organizuoja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 xml:space="preserve">mokytojų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mokymąsi, mokinių ugdymo turiniui praturtinti ir aktualizuoti. 10 proc. didėjo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mokytojų, skleidusių gerąją patirtį už mokyklos ribų, skaičius.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6BF2529E" w14:textId="77777777" w:rsidR="00B677A8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Įvyko 3 sklaidos renginiai – metodinės dienos – Radviliškio r. Šeduvos gimnazijos,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Kauno r. Neveronių gimnazijos ir Panevėžio r. Smilgių gimnazijos komandoms.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18143CB0" w14:textId="1139A818" w:rsidR="00EE5C13" w:rsidRPr="00EE5C13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Mokymuose dalyvauja 95 proc. gimnazijos mokytojų, kelia kvalifikaciją IT srityje,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siekdami įgyti gebėjimų dirbti virtualiose aplinkose ir IT naudoti pamokose. Stebėtose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pamokose visi mokytojai panaudoja įgytus gebėjimus. Siekdami vizijos „Sėkmės ir lyderystės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mokykla“ įgyvendinimo, visapusiško mokinių ugdymo(</w:t>
            </w:r>
            <w:proofErr w:type="spellStart"/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), mokytojai tobulina profesinę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kompetenciją, bendradarbiavo tarptautinėje erdvėje, mokosi užsienio kalbų (anglų kalbos), kelia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kvalifikaciją IT srityje. Labai geri gimnazijos pasiekimai rajono olimpiadose, konkursuose ir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sporto varžybose.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Vadovaujantis bendruomenės apklausomis 2022–2023 m. išgrynintos pagrindinės veiklos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kryptys: pamokos kokybės užtikrinimas, vadovaujantis susitarimais:</w:t>
            </w:r>
          </w:p>
          <w:p w14:paraId="5B68F97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Dalies mokytojų kompetencijų ugdymas, mokantis tikslinėse grupėse.</w:t>
            </w:r>
          </w:p>
          <w:p w14:paraId="65380A2C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IQ ugdymas, pasitikėjimo savimi ugdymas, skaitymo strategijų ugdymas pamokose.</w:t>
            </w:r>
          </w:p>
          <w:p w14:paraId="31EB2B0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Namų darbų grupės veiklos tobulinimas, konsultacijų organizavimas.</w:t>
            </w:r>
          </w:p>
          <w:p w14:paraId="25DF6F3C" w14:textId="77777777" w:rsidR="00EE5C13" w:rsidRPr="00EE5C13" w:rsidRDefault="00EE5C13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Mokinių elgesio kultūra:</w:t>
            </w:r>
          </w:p>
          <w:p w14:paraId="07BB1EA7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Organizuoti žalingų įpročių prevenciją.</w:t>
            </w:r>
          </w:p>
          <w:p w14:paraId="30939595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Stiprinti patyčių prevenciją.</w:t>
            </w:r>
          </w:p>
          <w:p w14:paraId="28DE2F5A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Sukurti telefonų naudojimosi tvarką gimnazijoje/pamokoje.</w:t>
            </w:r>
          </w:p>
          <w:p w14:paraId="6ECB4857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Išgryninti I–II gimnazijos klasių mokinių socialinių-pilietinių valandų atlikimo</w:t>
            </w:r>
          </w:p>
          <w:p w14:paraId="07A317B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galimybes.</w:t>
            </w:r>
          </w:p>
          <w:p w14:paraId="16D250F4" w14:textId="77777777" w:rsidR="00EE5C13" w:rsidRPr="00EE5C13" w:rsidRDefault="00EE5C13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Aplinkos saugumas:</w:t>
            </w:r>
          </w:p>
          <w:p w14:paraId="0E4A92F0" w14:textId="69296F8E" w:rsidR="008C4727" w:rsidRPr="00727695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Saugios mokyklos aplinkos kūrimas.</w:t>
            </w: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722D2A0D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B677A8">
        <w:rPr>
          <w:szCs w:val="24"/>
        </w:rPr>
        <w:t>ius Rimtas Baltušis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71841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C29E3" w14:textId="77777777" w:rsidR="0071062F" w:rsidRDefault="0071062F" w:rsidP="00A71841">
      <w:r>
        <w:separator/>
      </w:r>
    </w:p>
  </w:endnote>
  <w:endnote w:type="continuationSeparator" w:id="0">
    <w:p w14:paraId="0A19DCD7" w14:textId="77777777" w:rsidR="0071062F" w:rsidRDefault="0071062F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4511" w14:textId="77777777" w:rsidR="0071062F" w:rsidRDefault="0071062F" w:rsidP="00A71841">
      <w:r>
        <w:separator/>
      </w:r>
    </w:p>
  </w:footnote>
  <w:footnote w:type="continuationSeparator" w:id="0">
    <w:p w14:paraId="0324005E" w14:textId="77777777" w:rsidR="0071062F" w:rsidRDefault="0071062F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5FF" w:rsidRPr="00C665FF">
          <w:rPr>
            <w:noProof/>
            <w:lang w:val="lt-LT"/>
          </w:rPr>
          <w:t>2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B08C4"/>
    <w:rsid w:val="000E7B0C"/>
    <w:rsid w:val="00143458"/>
    <w:rsid w:val="001E1E8A"/>
    <w:rsid w:val="001F058E"/>
    <w:rsid w:val="00204B30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E6DB0"/>
    <w:rsid w:val="005F21F5"/>
    <w:rsid w:val="006457FC"/>
    <w:rsid w:val="00665315"/>
    <w:rsid w:val="00670DD2"/>
    <w:rsid w:val="006E5882"/>
    <w:rsid w:val="0071062F"/>
    <w:rsid w:val="00727695"/>
    <w:rsid w:val="007379E1"/>
    <w:rsid w:val="00752530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418D"/>
    <w:rsid w:val="00A71841"/>
    <w:rsid w:val="00A91C86"/>
    <w:rsid w:val="00AA21C9"/>
    <w:rsid w:val="00AB4E00"/>
    <w:rsid w:val="00B17EA5"/>
    <w:rsid w:val="00B677A8"/>
    <w:rsid w:val="00BE06C9"/>
    <w:rsid w:val="00C361B2"/>
    <w:rsid w:val="00C665FF"/>
    <w:rsid w:val="00D12569"/>
    <w:rsid w:val="00D80C8D"/>
    <w:rsid w:val="00DF6AFD"/>
    <w:rsid w:val="00EE5C13"/>
    <w:rsid w:val="00EF6185"/>
    <w:rsid w:val="00F947A2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8BBF-7940-4A71-B526-7B4FB0A0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2</cp:revision>
  <cp:lastPrinted>2022-04-12T10:58:00Z</cp:lastPrinted>
  <dcterms:created xsi:type="dcterms:W3CDTF">2023-04-26T11:30:00Z</dcterms:created>
  <dcterms:modified xsi:type="dcterms:W3CDTF">2023-04-26T11:30:00Z</dcterms:modified>
</cp:coreProperties>
</file>