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5A424" w14:textId="6D5A938D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</w:t>
      </w:r>
      <w:r w:rsidR="001E1E8A">
        <w:rPr>
          <w:color w:val="222222"/>
          <w:szCs w:val="24"/>
          <w:lang w:eastAsia="lt-LT"/>
        </w:rPr>
        <w:t>RITAR</w:t>
      </w:r>
      <w:r w:rsidRPr="00204B30">
        <w:rPr>
          <w:color w:val="222222"/>
          <w:szCs w:val="24"/>
          <w:lang w:eastAsia="lt-LT"/>
        </w:rPr>
        <w:t>TA</w:t>
      </w:r>
    </w:p>
    <w:p w14:paraId="7F66AE6C" w14:textId="77777777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Panevėžio rajono savivaldybės tarybos</w:t>
      </w:r>
    </w:p>
    <w:p w14:paraId="213E7207" w14:textId="039596B5" w:rsidR="00204B30" w:rsidRPr="00204B30" w:rsidRDefault="008C4727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2023 </w:t>
      </w:r>
      <w:r w:rsidR="005E6DB0">
        <w:rPr>
          <w:color w:val="222222"/>
          <w:szCs w:val="24"/>
          <w:lang w:eastAsia="lt-LT"/>
        </w:rPr>
        <w:t>m</w:t>
      </w:r>
      <w:r w:rsidR="006457FC">
        <w:rPr>
          <w:color w:val="222222"/>
          <w:szCs w:val="24"/>
          <w:lang w:eastAsia="lt-LT"/>
        </w:rPr>
        <w:t>.</w:t>
      </w:r>
      <w:r w:rsidR="005E6DB0">
        <w:rPr>
          <w:color w:val="222222"/>
          <w:szCs w:val="24"/>
          <w:lang w:eastAsia="lt-LT"/>
        </w:rPr>
        <w:t xml:space="preserve"> gegužės </w:t>
      </w:r>
      <w:r>
        <w:rPr>
          <w:color w:val="222222"/>
          <w:szCs w:val="24"/>
          <w:lang w:eastAsia="lt-LT"/>
        </w:rPr>
        <w:t>18</w:t>
      </w:r>
      <w:r w:rsidR="00204B30" w:rsidRPr="00204B30">
        <w:rPr>
          <w:color w:val="222222"/>
          <w:szCs w:val="24"/>
          <w:lang w:eastAsia="lt-LT"/>
        </w:rPr>
        <w:t xml:space="preserve"> d. sprendimu Nr. T</w:t>
      </w:r>
      <w:r w:rsidR="00A91C86">
        <w:rPr>
          <w:color w:val="222222"/>
          <w:szCs w:val="24"/>
          <w:lang w:eastAsia="lt-LT"/>
        </w:rPr>
        <w:t>-</w:t>
      </w:r>
    </w:p>
    <w:p w14:paraId="76BD75E2" w14:textId="7EF7B801" w:rsidR="003C6307" w:rsidRPr="008E02FF" w:rsidRDefault="005E6DB0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5554A3BC" w14:textId="2E7F6B08" w:rsidR="003C6307" w:rsidRPr="00A3418D" w:rsidRDefault="00A3418D" w:rsidP="003C6307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A3418D">
        <w:rPr>
          <w:rStyle w:val="fontstyle01"/>
          <w:b/>
          <w:bCs/>
        </w:rPr>
        <w:t>PAN</w:t>
      </w:r>
      <w:r w:rsidR="003C3172">
        <w:rPr>
          <w:rStyle w:val="fontstyle01"/>
          <w:b/>
          <w:bCs/>
        </w:rPr>
        <w:t xml:space="preserve">EVĖŽIO R. </w:t>
      </w:r>
      <w:r w:rsidR="00FE5224">
        <w:rPr>
          <w:rStyle w:val="fontstyle01"/>
          <w:b/>
          <w:bCs/>
        </w:rPr>
        <w:t>PALIŪNIŠKIO PAGRINDINĖ MOKYKLA</w:t>
      </w:r>
      <w:r w:rsidR="003C6307" w:rsidRPr="00A3418D">
        <w:rPr>
          <w:rFonts w:ascii="TimesNewRomanPSMT" w:hAnsi="TimesNewRomanPSMT"/>
          <w:b/>
          <w:bCs/>
          <w:color w:val="000000"/>
          <w:sz w:val="20"/>
        </w:rPr>
        <w:br/>
      </w:r>
    </w:p>
    <w:p w14:paraId="1516FF45" w14:textId="09895335" w:rsidR="003C6307" w:rsidRPr="005E6DB0" w:rsidRDefault="00A3418D" w:rsidP="005E6DB0">
      <w:pPr>
        <w:jc w:val="center"/>
        <w:rPr>
          <w:b/>
          <w:szCs w:val="24"/>
          <w:lang w:eastAsia="lt-LT"/>
        </w:rPr>
      </w:pPr>
      <w:r w:rsidRPr="00A3418D">
        <w:rPr>
          <w:b/>
          <w:bCs/>
          <w:szCs w:val="24"/>
          <w:lang w:eastAsia="lt-LT"/>
        </w:rPr>
        <w:t>202</w:t>
      </w:r>
      <w:r w:rsidR="008C4727">
        <w:rPr>
          <w:b/>
          <w:bCs/>
          <w:szCs w:val="24"/>
          <w:lang w:eastAsia="lt-LT"/>
        </w:rPr>
        <w:t>2</w:t>
      </w:r>
      <w:r>
        <w:rPr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14:paraId="6F9DED21" w14:textId="77777777" w:rsidR="00A3418D" w:rsidRPr="00A3418D" w:rsidRDefault="00A3418D" w:rsidP="00A3418D">
      <w:pPr>
        <w:jc w:val="center"/>
        <w:rPr>
          <w:bCs/>
          <w:szCs w:val="24"/>
          <w:lang w:eastAsia="lt-LT"/>
        </w:rPr>
      </w:pPr>
    </w:p>
    <w:p w14:paraId="2E4BBE1A" w14:textId="77777777"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2AC8C297" w14:textId="77777777"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9962" w:type="dxa"/>
        <w:jc w:val="center"/>
        <w:tblLook w:val="04A0" w:firstRow="1" w:lastRow="0" w:firstColumn="1" w:lastColumn="0" w:noHBand="0" w:noVBand="1"/>
      </w:tblPr>
      <w:tblGrid>
        <w:gridCol w:w="9962"/>
      </w:tblGrid>
      <w:tr w:rsidR="00846827" w:rsidRPr="00DA4C2F" w14:paraId="5DF3C539" w14:textId="77777777" w:rsidTr="00F00EF0">
        <w:trPr>
          <w:jc w:val="center"/>
        </w:trPr>
        <w:tc>
          <w:tcPr>
            <w:tcW w:w="9962" w:type="dxa"/>
          </w:tcPr>
          <w:p w14:paraId="2DCEA2B5" w14:textId="783B375E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Įgyvendinant 2022 m. veiklos tikslą – plėtoti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inovatyvų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mokymą(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), užtikrinantį ugdymo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kokybę ir veiksmingumą, didesnis dėmesys skirtas mokymosi paradigmos metodų taikymui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pamokose (mokymosi konstruktyvumas, įprasminimas, įvairovė), personalizuoto mokymo(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stiprinimui,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orientuojantis į mokinių poreikius, kiekvieno mokinio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ūgtį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  <w:r w:rsidR="00F00EF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Posėdyje „Mokinių mokymo(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 sėkmės ir nesėkmės“ apibendrinus, kokį poveikį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mokyklos pažangai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turėjo veiklos tobulinimas mokyklos veiklos kokybės įsivertinimo srities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4. ,,Lyderystė ir vadyba“ temos 4.1. Veiklos planavimas ir organizavimas veiklos rodiklio 4.1.2.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„Lyderystė“ konstatuota, kad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parengtos rekomendacijos darbui su mokiniais, patyrusiais mokymosi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nesėkmių, mokytojai išklausė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mokymus apie psichologinės emocinės socialinės pagalbos teikimą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mokiniams, sukurta lyderių komanda iniciatyvoms įgyvendinti.</w:t>
            </w:r>
          </w:p>
          <w:p w14:paraId="63802DC1" w14:textId="2F2F6B5D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Posėdyje „Tėvų įtraukimas sprendžiant aktualias mokyklos problemas“ aptartas mokyklos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veiklos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kokybės srities ,,Lyderystė ir vadyba“ temos „Mokymasis ir veikimas komandomis“ 4.2.2.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rodiklio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„Bendradarbiavimas su tėvais“ įsivertinimas. Nustatyta stiprybė yra pažinimas ir sąveika.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Ugdomosios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veiklos organizuotos skirtingose edukacinėse aplinkose</w:t>
            </w:r>
            <w:r w:rsidR="004757A2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771BA600" w14:textId="65A3BFE1" w:rsidR="00FE5224" w:rsidRPr="00FE5224" w:rsidRDefault="00E20769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>
              <w:rPr>
                <w:rFonts w:eastAsia="SimSun" w:cs="Mangal"/>
                <w:kern w:val="2"/>
                <w:szCs w:val="24"/>
                <w:lang w:bidi="hi-IN"/>
              </w:rPr>
              <w:t>Mokykla prisijungė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prie projekto „Pasaulinė sniego diena 2022“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>.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Bendradarbiaujame 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su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Margaritos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Rimkevičaitės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profesinio rengimo centr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>u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>Vyko integruotos chemijos, fizikos, biologijos ir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>geografijos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>, dorinio ugdymo, istorijos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dalykų pamokos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42A10D0D" w14:textId="755B42F4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Vykdant projekt</w:t>
            </w:r>
            <w:r w:rsidR="00D6174D">
              <w:rPr>
                <w:rFonts w:eastAsia="SimSun" w:cs="Mangal"/>
                <w:kern w:val="2"/>
                <w:szCs w:val="24"/>
                <w:lang w:bidi="hi-IN"/>
              </w:rPr>
              <w:t xml:space="preserve">o </w:t>
            </w:r>
            <w:r w:rsidR="00D6174D" w:rsidRPr="001B0E51">
              <w:rPr>
                <w:rStyle w:val="Grietas"/>
                <w:b w:val="0"/>
                <w:bCs w:val="0"/>
                <w:color w:val="000000" w:themeColor="text1"/>
                <w:shd w:val="clear" w:color="auto" w:fill="FFFFFF"/>
              </w:rPr>
              <w:t>Bendrojo ugdymo turinio ir organizavimo modelių sukūrimas ir išbandymas bendrajame ugdyme</w:t>
            </w:r>
            <w:r w:rsidR="00D6174D" w:rsidRPr="001B0E51">
              <w:rPr>
                <w:b/>
                <w:bCs/>
                <w:color w:val="000000" w:themeColor="text1"/>
                <w:shd w:val="clear" w:color="auto" w:fill="FFFFFF"/>
              </w:rPr>
              <w:t>“</w:t>
            </w:r>
            <w:r w:rsidR="00D6174D" w:rsidRPr="001B0E5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  <w:r w:rsidR="00D6174D" w:rsidRPr="001B0E51">
              <w:rPr>
                <w:rFonts w:cs="Calibri"/>
                <w:color w:val="000000" w:themeColor="text1"/>
                <w:shd w:val="clear" w:color="auto" w:fill="FFFFFF"/>
              </w:rPr>
              <w:t>veiklą</w:t>
            </w:r>
            <w:r w:rsidR="001B0E51" w:rsidRPr="001B0E51">
              <w:rPr>
                <w:rFonts w:cs="Calibri"/>
                <w:color w:val="000000" w:themeColor="text1"/>
                <w:shd w:val="clear" w:color="auto" w:fill="FFFFFF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„Ugdymo organizavimo ir mokymosi pagalbos teikimo modelių žemų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1B0E51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mokinių pasiekimų gerinimui</w:t>
            </w:r>
            <w:r w:rsidR="004757A2" w:rsidRPr="001B0E51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</w:t>
            </w:r>
            <w:r w:rsidRPr="001B0E51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parengimas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ir įgyvendinimas“ taikytas „Ilgalaikių ir trumpalaikių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matematikos konsultacijų 9 kl. mokiniams modelis“, kurį įgyvendinant buvo teikiama pagalba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žemų pasiekimų mokiniams. NŠA išleistame elektroninio</w:t>
            </w:r>
            <w:r w:rsidR="002F098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formato leidinyje pateiktas ir mūsų mokyklos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sukurtas modelis.</w:t>
            </w:r>
          </w:p>
          <w:p w14:paraId="35D8EBC9" w14:textId="45547AEF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Efektyvinant pamokos planavimą, vadovaujantis mokymosi paradigma, nuolat stebint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išmokimą, naudojant kuo įvairesnius vertinimo būdus, akcentuojant asmeninę pažangą, sudarytos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galimybės kiekvieno mokinio asmenybės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ūgčiai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. Pamokose daugiausia dėmesio skirta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skaitmeniniam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turinio pritaikymui, tinkamam mokymo ir mokymosi medžiagos, aplinkos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parinkimui, įsivertinimui.</w:t>
            </w:r>
          </w:p>
          <w:p w14:paraId="4FF3DA16" w14:textId="15278A73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Siekiant kompleksinės pagalbos kiekvienam mokiniui buvo teikiamos konsultacijos</w:t>
            </w:r>
            <w:r w:rsidR="004757A2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53B51A6F" w14:textId="18982C72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Nacionalinio mokinių pasiekimų patikrinimo 4 klasėje rezultatų procentinis vidurkis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matematikos – 53 proc., pasaulio pažinimo – 64,6 proc., skaitymo – 57,1proc.; 6 klasėje: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matematikos – 38,9 proc., skaitymo – 65, 6 proc.; 8 klasėje matematikos – 31,4 proc., skaitymo –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54,5 proc., gamtos mokslo – 41 proc., socialinių mokslų – 47,4 proc. COVID-19 protrūkio metu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5–6 klasėms buvo taikytas hibridinis mokymas.</w:t>
            </w:r>
          </w:p>
          <w:p w14:paraId="4CA69BBD" w14:textId="7A8C9C90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parengė ir dalyvavo profesinių kompetencijų tobulinimo programoje „Mokyklos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pedagogai – lyderių komanda“ (40 akademinių val.). Programos tikslas – sudaryti sąlygas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pedagogams tobulinti kompetencijas, būtinas efektyviam komandiniam darbui.</w:t>
            </w:r>
          </w:p>
          <w:p w14:paraId="3DD3D4B3" w14:textId="20534A59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Mokytojai lankėsi Panevėžio regiono atviros prieigos STEAM centre, kur susipažino su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moderniomis biologijos ir chemijos, fizikos ir inžinerijos,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robotikos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, IT, dirbtinio intelekto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laboratorijomis, išbandė siūlomas veiklas, vėliau čia mokiniams organizavo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inovatyvias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pamokas.</w:t>
            </w:r>
          </w:p>
          <w:p w14:paraId="53090DC3" w14:textId="21A78AF9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dalyvavo Panevėžio rajono Pedagogų švietimo centro inicijuotoje programoje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Erasmus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+“ KA3 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Robotika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prieš patyčias –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Roby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“ ir 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Erasmus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+“ projekte „Judėjimas: mokykla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 plastiko“.</w:t>
            </w:r>
          </w:p>
          <w:p w14:paraId="4244D4D8" w14:textId="6D0B08D4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lastRenderedPageBreak/>
              <w:t>Mokytojai dalyvavo tarptautinėse konferencijose Šiaurės Makedonijoje ir Italijoje, klausė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šalių komandų atstovų pranešimų, dalijosi įvairiomis metodikomis, diskutavo apie vertybes, siūlė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i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dėjas, kūrė praktinių užsiėmimų planus.</w:t>
            </w:r>
          </w:p>
          <w:p w14:paraId="7FD50C90" w14:textId="35BBEAB1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Ruošiantis darbui su atnaujintomis Bendrojo ugdymo programomis yra parengtas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Ugdymo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turinio atnaujinimo (UTA)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Paliūniškio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pagrindinėje mokykloje įgyvendinimo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2022–2023 metais veiklos planas, sudaryta mokyklos UTA komanda.</w:t>
            </w:r>
          </w:p>
          <w:p w14:paraId="30FB89B1" w14:textId="6E808ACB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98 proc. mokinių ir mokytojų naudojo virtualias ir elektronines mokymo aplinkas ugdymo</w:t>
            </w:r>
            <w:r w:rsidR="00D6174D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procese. </w:t>
            </w:r>
          </w:p>
          <w:p w14:paraId="4F41850B" w14:textId="5459737F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Organizuotos mokinių poreikius ir norus atitinkančios Kultūros paso, pažintinei veiklai ir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profesiniam orientavimui skirtos edukacinės veiklos, išvykos, kultūriniai renginiai.</w:t>
            </w:r>
            <w:r w:rsidR="0010126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Ugdant mokinių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savęs pažinimo kompetencijas mokykloje įgyvendinama Ugdymo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karjerai programa.</w:t>
            </w:r>
          </w:p>
          <w:p w14:paraId="2A1B4401" w14:textId="4E7D37D6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Mokiniai dalyvavo edukacinėse programose. Tam 100 proc. naudotos kultūrinei pažintinei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veiklai skirtos bei Kultūros paso lėšos. </w:t>
            </w:r>
          </w:p>
          <w:p w14:paraId="0FB789F1" w14:textId="51498293" w:rsidR="00FE5224" w:rsidRPr="00FE5224" w:rsidRDefault="00FE5224" w:rsidP="007A3676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Stiprinant aukštesniųjų mąstymo gebėjimų ugdymą mokiniai skatinti dalyvauti mokomųjų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dalykų olimpiadose, meninio skaitymo, piešinių, eilėraščių konkursuose</w:t>
            </w:r>
            <w:r w:rsidR="00101261">
              <w:rPr>
                <w:rFonts w:eastAsia="SimSun" w:cs="Mangal"/>
                <w:kern w:val="2"/>
                <w:szCs w:val="24"/>
                <w:lang w:bidi="hi-IN"/>
              </w:rPr>
              <w:t>, rajono, šalies, tarptautiniuose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="00101261">
              <w:rPr>
                <w:rFonts w:eastAsia="SimSun" w:cs="Mangal"/>
                <w:kern w:val="2"/>
                <w:szCs w:val="24"/>
                <w:lang w:bidi="hi-IN"/>
              </w:rPr>
              <w:t xml:space="preserve">konkursuose, konferencijose. Puikių rezultatų pasiekta sportinėse veiklose.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Didelė dalis mokinių dalyvavo kūrybinėse dirbtuvėse, projektuose, viktorinose, k</w:t>
            </w:r>
            <w:bookmarkStart w:id="0" w:name="_GoBack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ū</w:t>
            </w:r>
            <w:bookmarkEnd w:id="0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rybinių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darbų konkursuose, parodose. Ugdymo proceso vykdymo įvairovė didino mokinių mokymosi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motyvaciją, gerėjo 7 proc. mokinių mokymosi rezultatai.</w:t>
            </w:r>
            <w:r w:rsidR="007A367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Ugdymo procese taikyti STEAM metodai suteikė galimybę vaikams aktyviai tyrinėti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pasaulį, daugiau sužinoti bei atrasti. </w:t>
            </w:r>
          </w:p>
          <w:p w14:paraId="4BE3EEC5" w14:textId="091ABE37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Mokykloje organizuoti renginiai, skirti Lietuvių kalbos dienoms. Dalyvauta tarptautini</w:t>
            </w:r>
            <w:r w:rsidR="004757A2">
              <w:rPr>
                <w:rFonts w:eastAsia="SimSun" w:cs="Mangal"/>
                <w:kern w:val="2"/>
                <w:szCs w:val="24"/>
                <w:lang w:bidi="hi-IN"/>
              </w:rPr>
              <w:t>ame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mokyklų bibliotekų</w:t>
            </w:r>
            <w:r w:rsidR="004757A2">
              <w:rPr>
                <w:rFonts w:eastAsia="SimSun" w:cs="Mangal"/>
                <w:kern w:val="2"/>
                <w:szCs w:val="24"/>
                <w:lang w:bidi="hi-IN"/>
              </w:rPr>
              <w:t xml:space="preserve"> renginyje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„Baltų literatūros savaitė“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</w:p>
          <w:p w14:paraId="4B7E447D" w14:textId="11FD6FA5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Įgyvendinant tikslą – puoselėti saugias, komfortiškas,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inovatyvias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mokymo(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), poilsio ir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pramogų erdves, dėmesys skirtas palankių sąlygų sudarymui vaikų socialumui, mokyklos erdvių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pritaikymui edukacinei veiklai, mokinių poilsiui, įrengta lauko klasė.</w:t>
            </w:r>
            <w:r w:rsidR="002F098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vykdė Panevėžio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rajono savivaldybės finansuojamą Vaikų socializacijos</w:t>
            </w:r>
            <w:r w:rsidR="002F098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programos projektą „Mes gamtos vaikai“.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Mokiniams teikiama vientisa, kokybiška ir savalaikė socialinė, psichologinė, pedagoginė</w:t>
            </w:r>
            <w:r w:rsidR="002F098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pagalba. Mokykloje dirba socialinis pedagogas, mokytojo padėjėjai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.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79 proc. mokyklos bendruomenės narių gavo dalinę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pagalbą.</w:t>
            </w:r>
          </w:p>
          <w:p w14:paraId="09DB9669" w14:textId="7F77B0BF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dalyvavo projekte „Kartu“, kurio tikslas – gerinti Lietuvos mokinių emocinę,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psichinę ir fizinę savijautą ir sveikatą. </w:t>
            </w:r>
          </w:p>
          <w:p w14:paraId="352134EC" w14:textId="186D2D47" w:rsidR="00FE5224" w:rsidRPr="007A3676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</w:pP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Įgyvendin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tos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psichoaktyviųjų medžiagų vartojimo prevencijos program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os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„Savu keliu“,</w:t>
            </w:r>
            <w:r w:rsidR="00551BC6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prevencin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ės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program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os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, apimanči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os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smurto, alkoholio, tabako ir kitų psichiką veikiančių medžiagų</w:t>
            </w:r>
            <w:r w:rsidR="00551BC6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vartojimo prevenciją.</w:t>
            </w:r>
            <w:r w:rsidR="002F0986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Mokykla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vykdė Panevėžio rajono savivaldybės visuomenės sveikatos rėmimo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specialiosios programos įgyvendinimo projektą „Sportas – grožis – </w:t>
            </w:r>
            <w:r w:rsidRPr="007A3676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sveikata“. </w:t>
            </w:r>
          </w:p>
          <w:p w14:paraId="114C24B4" w14:textId="04731435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dalyvavo Lietuvos Respublikos Krašto apsaugos ir Švietimo, kultūros bei sporto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ministerijų parengtame pilietiškumo ir gynybos projekte, mokymų metu įgijo išgyvenimui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reikalingų socialinių įgūdžių.</w:t>
            </w:r>
          </w:p>
          <w:p w14:paraId="5967FAE8" w14:textId="4DA0FE32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Siekiant didinti fizinį aktyvumą ikimokyklinio ugdymo vaikai dalyvavo rajono varžybose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„Linksmosios estafetės 2022“, šalies sporto projekte „Lietuvos mažųjų žaidynės 2022“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,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stebė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jo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krepšinio varžyb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as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, dalyvavo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iniciatyvoje „Apibėk mokyklą“,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tarpklasinėse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kvadrato varžybose, estafečių varžybose „Tikėk,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Lietuva, mumis!“. 95 proc. mokinių dalyvavo 1–2 sveikatingumo renginiuose, mokėsi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bendradarbiauti ir dirbti komandoje. Įgyvendina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ma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Sveikatos stiprinimo programą „Sveikatos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labirintas“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64628D20" w14:textId="4864A335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Atnaujinant edukacines erdves užtikrinamas mokinių saugumas ir užimtumas pertraukų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metu. </w:t>
            </w:r>
          </w:p>
          <w:p w14:paraId="22EAC097" w14:textId="1A03833A" w:rsidR="00FE5224" w:rsidRPr="00FE5224" w:rsidRDefault="00FE5224" w:rsidP="00ED469C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Mokinių pavėžėjimo sąlygoms gerinti įsigytas autobusas. Mokinių saugų atvykimą į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mokyklą ir grįžimą namo užtikrina 4 mokykliniai autobusai, vežama 94 proc. mokinių.</w:t>
            </w:r>
            <w:r w:rsidR="00ED469C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Užtikrinant saugumą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lastRenderedPageBreak/>
              <w:t>suremontuo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tos </w:t>
            </w:r>
            <w:proofErr w:type="spellStart"/>
            <w:r w:rsidR="004D13D5">
              <w:rPr>
                <w:rFonts w:eastAsia="SimSun" w:cs="Mangal"/>
                <w:kern w:val="2"/>
                <w:szCs w:val="24"/>
                <w:lang w:bidi="hi-IN"/>
              </w:rPr>
              <w:t>Paliūniškio</w:t>
            </w:r>
            <w:proofErr w:type="spellEnd"/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ir </w:t>
            </w:r>
            <w:proofErr w:type="spellStart"/>
            <w:r w:rsidR="004D13D5">
              <w:rPr>
                <w:rFonts w:eastAsia="SimSun" w:cs="Mangal"/>
                <w:kern w:val="2"/>
                <w:szCs w:val="24"/>
                <w:lang w:bidi="hi-IN"/>
              </w:rPr>
              <w:t>Tiltagalių</w:t>
            </w:r>
            <w:proofErr w:type="spellEnd"/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mokykl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>ų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erdvės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1AD7D7B4" w14:textId="6EE5E311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Įgyvendinant tikslą – puoselėti esamas mokyklos tradicijas, dėmesys skirtas partnerystės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strategijų su mokinių tėvais (globėjais, rūpintojais) tobulinimui ir plėtimui, ugdymo(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 tikslų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įgyvendinimo užtikrinimui, mokytojų, tėvų ir mokinių lyderystės mokymui(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 plėtojimui,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tradicinių,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pasiteisinusių veiklų tęsimui ir naujų kūrimui. Mokykloje į funkcionalių edukacinių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erdvių kūrimą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įtraukti mokiniai, jų darbų parodos puošė mokyklos erdves.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95 proc. tėvų dalyvavo trišaliuose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pokalbiuose „Mokinys – tėvai – klasės vadovas“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 xml:space="preserve">,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70 proc. tėvų dalyvau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>ja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tėvų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susirinkimuose.</w:t>
            </w:r>
          </w:p>
          <w:p w14:paraId="45871B02" w14:textId="65EED278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Sprendžiant patyčių ir smurto atvejus mokykloje bendradarbiaujama su mokinių tėvais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(globėjais, rūpintojais). Visi tėvai (globėjai, rūpintojai), kurių vaikai dalyvavo patyčiose,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informuojami, įvykiai analizuojami ir numatomos konkrečios priemonės situacijai gerinti.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Informacijos sklaida didino mokyklos žinomumą, populiarumą, prisidėjo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prie mokinių pasirinkimo mokytis mūsų mokykloje, 13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proc. naujų mokinių atėjo mokytis į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mokyklą.</w:t>
            </w:r>
          </w:p>
          <w:p w14:paraId="54FA7C3A" w14:textId="22F7D901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Organizuota Bendruomenės diena, kurios metu tėvams (globėjams, rūpintojams) pristatyta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2022 m. mokyklos veikla, vyko paskaita „Būti 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paauglėjančio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” vaiko tėvais“. Įvardintos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aktualiausios problemos, akcentuota tėvų, mokinių ir mokyklos bendradarbiavimo svarba.</w:t>
            </w:r>
          </w:p>
          <w:p w14:paraId="7A8B431E" w14:textId="4402E1A8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Į Šeimų dienos šventę „Mes kartu“ susirinkusi mokyklos bendruomenė džiaugėsi savo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vaikų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pasirodymais. Bendros šventės skatina atnaujinti dvasinį gyvenimą, išryškina šeimos meilę ir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pagarbą vieni kitiems.</w:t>
            </w:r>
          </w:p>
          <w:p w14:paraId="4EEA82A7" w14:textId="188DD0E6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Savivaldos grupių įsitraukimas sprendžiant problemas ir dalyvavimas priimant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susitarimus dėl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veiklos tobulinimo padėjo stiprinti mokyklos savivaldos institucijų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bendradarbiavimą.</w:t>
            </w:r>
          </w:p>
          <w:p w14:paraId="2B7C5313" w14:textId="01D4CDDA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Bendradarbiaujant su Panevėžio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robotikos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centru 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RoboLabas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“ priešmokyklinio ugdymo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grupių vaikai dalyvavo neformaliojo švietimo programoje.</w:t>
            </w:r>
          </w:p>
          <w:p w14:paraId="14DE31F4" w14:textId="4E9E9534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Mokykla palaiko gerus santykius su socialiniais partneriais: seniūnija,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Paliūniškio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kaimo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bendruomene, biblioteka,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Tiltagalių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kultūros skyriumi, Profesinio rengimo centru, KTU Panevėžio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fakultetu.</w:t>
            </w:r>
          </w:p>
          <w:p w14:paraId="0E4A92F0" w14:textId="3C798CEF" w:rsidR="008C4727" w:rsidRPr="00727695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Surengtos kvadrato varžybos su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Dembavos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progimnazijos ir Piniavos darželio-pradinės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mokyklos mokiniais. Dažnai mokiniai dalyvavo KC „Garsas“ surengtose edukacinėse programose,</w:t>
            </w:r>
            <w:r w:rsidR="007A367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Tiltagalių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kultūros centro renginiuose. Su šiomis įstaigomis pasirašytos kultūrinio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bendradarbiavimo sutartys.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Mokiniai dalyvavo PPT organizuotuose prevenciniuose renginiuose.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Bendradarbiaujama su viešosios tvarkos palaikymo, vaikų teisių apsaugos institucijomis,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švietimo pagalbos specialistais ir seniūnijų socialiniais darbuotojais. 75 proc. mokinių buvo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apsaugoti nuo socialinės rizikos veiksnių.</w:t>
            </w:r>
          </w:p>
        </w:tc>
      </w:tr>
    </w:tbl>
    <w:p w14:paraId="6959005C" w14:textId="77777777" w:rsidR="003C6307" w:rsidRPr="00783982" w:rsidRDefault="003C6307" w:rsidP="003C6307">
      <w:pPr>
        <w:rPr>
          <w:szCs w:val="24"/>
        </w:rPr>
      </w:pPr>
    </w:p>
    <w:p w14:paraId="166FA97C" w14:textId="0AE11EF4"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>direktor</w:t>
      </w:r>
      <w:r w:rsidR="00A3418D">
        <w:rPr>
          <w:szCs w:val="24"/>
        </w:rPr>
        <w:t>ė</w:t>
      </w:r>
      <w:r w:rsidR="00F00EF0">
        <w:rPr>
          <w:szCs w:val="24"/>
        </w:rPr>
        <w:t xml:space="preserve"> Daiva Morkūnienė.</w:t>
      </w:r>
    </w:p>
    <w:p w14:paraId="3DD58868" w14:textId="40254A37" w:rsidR="000E7B0C" w:rsidRPr="00076C23" w:rsidRDefault="0086259C" w:rsidP="00076C23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sectPr w:rsidR="000E7B0C" w:rsidRPr="00076C23" w:rsidSect="006A05ED">
      <w:headerReference w:type="default" r:id="rId8"/>
      <w:pgSz w:w="12240" w:h="15840"/>
      <w:pgMar w:top="42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894F8" w14:textId="77777777" w:rsidR="003908CB" w:rsidRDefault="003908CB" w:rsidP="00A71841">
      <w:r>
        <w:separator/>
      </w:r>
    </w:p>
  </w:endnote>
  <w:endnote w:type="continuationSeparator" w:id="0">
    <w:p w14:paraId="2732AA14" w14:textId="77777777" w:rsidR="003908CB" w:rsidRDefault="003908CB" w:rsidP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A0C80" w14:textId="77777777" w:rsidR="003908CB" w:rsidRDefault="003908CB" w:rsidP="00A71841">
      <w:r>
        <w:separator/>
      </w:r>
    </w:p>
  </w:footnote>
  <w:footnote w:type="continuationSeparator" w:id="0">
    <w:p w14:paraId="1DB37ADD" w14:textId="77777777" w:rsidR="003908CB" w:rsidRDefault="003908CB" w:rsidP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2397"/>
      <w:docPartObj>
        <w:docPartGallery w:val="Page Numbers (Top of Page)"/>
        <w:docPartUnique/>
      </w:docPartObj>
    </w:sdtPr>
    <w:sdtEndPr/>
    <w:sdtContent>
      <w:p w14:paraId="2401BB7A" w14:textId="2221AE60" w:rsidR="00A71841" w:rsidRDefault="00A718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ED" w:rsidRPr="006A05ED">
          <w:rPr>
            <w:noProof/>
            <w:lang w:val="lt-LT"/>
          </w:rPr>
          <w:t>2</w:t>
        </w:r>
        <w:r>
          <w:fldChar w:fldCharType="end"/>
        </w:r>
      </w:p>
    </w:sdtContent>
  </w:sdt>
  <w:p w14:paraId="5C5B556A" w14:textId="77777777" w:rsidR="00A71841" w:rsidRDefault="00A718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3347"/>
    <w:multiLevelType w:val="hybridMultilevel"/>
    <w:tmpl w:val="2E12D3C6"/>
    <w:lvl w:ilvl="0" w:tplc="A8565E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76C23"/>
    <w:rsid w:val="00080C75"/>
    <w:rsid w:val="000C3049"/>
    <w:rsid w:val="000E7B0C"/>
    <w:rsid w:val="00101261"/>
    <w:rsid w:val="00143458"/>
    <w:rsid w:val="00180575"/>
    <w:rsid w:val="001B0E51"/>
    <w:rsid w:val="001E1E8A"/>
    <w:rsid w:val="001F058E"/>
    <w:rsid w:val="00204B30"/>
    <w:rsid w:val="00291F0B"/>
    <w:rsid w:val="002A1202"/>
    <w:rsid w:val="002F0986"/>
    <w:rsid w:val="00310A8A"/>
    <w:rsid w:val="00365B4F"/>
    <w:rsid w:val="00380A10"/>
    <w:rsid w:val="003908CB"/>
    <w:rsid w:val="003A2C8C"/>
    <w:rsid w:val="003B548C"/>
    <w:rsid w:val="003B5E8B"/>
    <w:rsid w:val="003C3172"/>
    <w:rsid w:val="003C6307"/>
    <w:rsid w:val="003F268F"/>
    <w:rsid w:val="003F7D3B"/>
    <w:rsid w:val="004239C5"/>
    <w:rsid w:val="00456B43"/>
    <w:rsid w:val="004757A2"/>
    <w:rsid w:val="00495576"/>
    <w:rsid w:val="004D13D5"/>
    <w:rsid w:val="00522367"/>
    <w:rsid w:val="0055028A"/>
    <w:rsid w:val="00551BC6"/>
    <w:rsid w:val="00557C81"/>
    <w:rsid w:val="0056160A"/>
    <w:rsid w:val="00571C0B"/>
    <w:rsid w:val="005E6DB0"/>
    <w:rsid w:val="005F21F5"/>
    <w:rsid w:val="006457FC"/>
    <w:rsid w:val="00665315"/>
    <w:rsid w:val="00670DD2"/>
    <w:rsid w:val="006A05ED"/>
    <w:rsid w:val="006E5882"/>
    <w:rsid w:val="00723B25"/>
    <w:rsid w:val="00727695"/>
    <w:rsid w:val="007379E1"/>
    <w:rsid w:val="00752530"/>
    <w:rsid w:val="007A3676"/>
    <w:rsid w:val="007B6F1B"/>
    <w:rsid w:val="007C542F"/>
    <w:rsid w:val="00812ECA"/>
    <w:rsid w:val="00846827"/>
    <w:rsid w:val="0086259C"/>
    <w:rsid w:val="00891985"/>
    <w:rsid w:val="008C4727"/>
    <w:rsid w:val="008C7733"/>
    <w:rsid w:val="0098755A"/>
    <w:rsid w:val="00992554"/>
    <w:rsid w:val="009F6DE6"/>
    <w:rsid w:val="00A03E2B"/>
    <w:rsid w:val="00A162BC"/>
    <w:rsid w:val="00A3418D"/>
    <w:rsid w:val="00A71841"/>
    <w:rsid w:val="00A91C86"/>
    <w:rsid w:val="00AA21C9"/>
    <w:rsid w:val="00AB4E00"/>
    <w:rsid w:val="00AE31F1"/>
    <w:rsid w:val="00B17EA5"/>
    <w:rsid w:val="00B370E0"/>
    <w:rsid w:val="00BE06C9"/>
    <w:rsid w:val="00C361B2"/>
    <w:rsid w:val="00CD2441"/>
    <w:rsid w:val="00D12569"/>
    <w:rsid w:val="00D3580A"/>
    <w:rsid w:val="00D6174D"/>
    <w:rsid w:val="00D80C8D"/>
    <w:rsid w:val="00DF367B"/>
    <w:rsid w:val="00DF6AFD"/>
    <w:rsid w:val="00E20769"/>
    <w:rsid w:val="00E551D4"/>
    <w:rsid w:val="00E57D79"/>
    <w:rsid w:val="00ED469C"/>
    <w:rsid w:val="00EF6185"/>
    <w:rsid w:val="00F00EF0"/>
    <w:rsid w:val="00F35532"/>
    <w:rsid w:val="00F4147E"/>
    <w:rsid w:val="00F947A2"/>
    <w:rsid w:val="00FA3B88"/>
    <w:rsid w:val="00FC13F0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6106"/>
  <w15:docId w15:val="{4EBCD718-6C62-42A7-AFB5-F5B7E37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04B30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val="x-none" w:eastAsia="hi-IN" w:bidi="hi-I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0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 w:eastAsia="x-none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4B30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rsid w:val="00A3418D"/>
    <w:rPr>
      <w:color w:val="000080"/>
      <w:u w:val="single"/>
    </w:rPr>
  </w:style>
  <w:style w:type="paragraph" w:styleId="Betarp">
    <w:name w:val="No Spacing"/>
    <w:uiPriority w:val="1"/>
    <w:qFormat/>
    <w:rsid w:val="00D8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204B30"/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04B30"/>
    <w:rPr>
      <w:rFonts w:ascii="Cambria" w:eastAsia="Times New Roman" w:hAnsi="Cambria" w:cs="Times New Roman"/>
      <w:b/>
      <w:bCs/>
      <w:i/>
      <w:iCs/>
      <w:sz w:val="28"/>
      <w:szCs w:val="28"/>
      <w:lang w:val="en-AU" w:eastAsia="x-none"/>
    </w:rPr>
  </w:style>
  <w:style w:type="character" w:customStyle="1" w:styleId="Antrat3Diagrama">
    <w:name w:val="Antraštė 3 Diagrama"/>
    <w:basedOn w:val="Numatytasispastraiposriftas"/>
    <w:link w:val="Antrat3"/>
    <w:rsid w:val="00204B30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numbering" w:customStyle="1" w:styleId="Sraonra1">
    <w:name w:val="Sąrašo nėra1"/>
    <w:next w:val="Sraonra"/>
    <w:semiHidden/>
    <w:unhideWhenUsed/>
    <w:rsid w:val="00204B30"/>
  </w:style>
  <w:style w:type="paragraph" w:customStyle="1" w:styleId="NoSpacing1">
    <w:name w:val="No Spacing1"/>
    <w:rsid w:val="00204B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ntrats">
    <w:name w:val="header"/>
    <w:basedOn w:val="prastasis"/>
    <w:link w:val="Antrats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204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04B30"/>
  </w:style>
  <w:style w:type="character" w:styleId="Emfaz">
    <w:name w:val="Emphasis"/>
    <w:uiPriority w:val="20"/>
    <w:qFormat/>
    <w:rsid w:val="00204B3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04B30"/>
  </w:style>
  <w:style w:type="paragraph" w:styleId="Sraopastraipa">
    <w:name w:val="List Paragraph"/>
    <w:basedOn w:val="prastasis"/>
    <w:uiPriority w:val="1"/>
    <w:qFormat/>
    <w:rsid w:val="00204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204B30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B30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paragraph" w:styleId="prastasiniatinklio">
    <w:name w:val="Normal (Web)"/>
    <w:basedOn w:val="prastasis"/>
    <w:uiPriority w:val="99"/>
    <w:unhideWhenUsed/>
    <w:rsid w:val="00204B30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Default">
    <w:name w:val="Default"/>
    <w:rsid w:val="0020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pple-converted-space">
    <w:name w:val="apple-converted-space"/>
    <w:rsid w:val="00204B30"/>
  </w:style>
  <w:style w:type="character" w:customStyle="1" w:styleId="textexposedshow">
    <w:name w:val="text_exposed_show"/>
    <w:rsid w:val="00204B30"/>
  </w:style>
  <w:style w:type="character" w:styleId="Grietas">
    <w:name w:val="Strong"/>
    <w:uiPriority w:val="22"/>
    <w:qFormat/>
    <w:rsid w:val="00204B30"/>
    <w:rPr>
      <w:b/>
      <w:bCs/>
    </w:rPr>
  </w:style>
  <w:style w:type="paragraph" w:styleId="Porat">
    <w:name w:val="footer"/>
    <w:basedOn w:val="prastasis"/>
    <w:link w:val="Porat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customStyle="1" w:styleId="prastasis1">
    <w:name w:val="Įprastasis1"/>
    <w:rsid w:val="00204B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1">
    <w:name w:val="Numatytasis pastraipos šriftas1"/>
    <w:rsid w:val="00204B30"/>
  </w:style>
  <w:style w:type="paragraph" w:styleId="Paantrat">
    <w:name w:val="Subtitle"/>
    <w:basedOn w:val="prastasis"/>
    <w:next w:val="prastasis"/>
    <w:link w:val="PaantratDiagrama"/>
    <w:qFormat/>
    <w:rsid w:val="00204B30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PaantratDiagrama">
    <w:name w:val="Paantraštė Diagrama"/>
    <w:basedOn w:val="Numatytasispastraiposriftas"/>
    <w:link w:val="Paantrat"/>
    <w:rsid w:val="00204B30"/>
    <w:rPr>
      <w:rFonts w:ascii="Cambria" w:eastAsia="Times New Roman" w:hAnsi="Cambria" w:cs="Mangal"/>
      <w:kern w:val="2"/>
      <w:sz w:val="24"/>
      <w:szCs w:val="21"/>
      <w:lang w:val="lt-LT" w:eastAsia="hi-IN" w:bidi="hi-IN"/>
    </w:rPr>
  </w:style>
  <w:style w:type="paragraph" w:customStyle="1" w:styleId="TableParagraph">
    <w:name w:val="Table Paragraph"/>
    <w:basedOn w:val="prastasis"/>
    <w:uiPriority w:val="1"/>
    <w:qFormat/>
    <w:rsid w:val="00204B3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6ECE-2444-45A1-9157-1D0E0548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6476</Words>
  <Characters>3692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5</cp:revision>
  <cp:lastPrinted>2023-04-27T06:28:00Z</cp:lastPrinted>
  <dcterms:created xsi:type="dcterms:W3CDTF">2023-04-28T05:07:00Z</dcterms:created>
  <dcterms:modified xsi:type="dcterms:W3CDTF">2023-04-28T07:35:00Z</dcterms:modified>
</cp:coreProperties>
</file>