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A3BBD" w:rsidRPr="00DA23CD" w:rsidRDefault="00FE006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:rsidR="005A3BBD" w:rsidRPr="00DA23CD" w:rsidRDefault="005A3BBD">
      <w:pPr>
        <w:pStyle w:val="Antrats"/>
        <w:jc w:val="center"/>
        <w:rPr>
          <w:sz w:val="28"/>
        </w:rPr>
      </w:pPr>
    </w:p>
    <w:p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B2534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EF6D2B" w:rsidRPr="00DA23CD">
        <w:rPr>
          <w:sz w:val="24"/>
          <w:szCs w:val="24"/>
        </w:rPr>
        <w:t>g</w:t>
      </w:r>
      <w:r w:rsidR="000A08FD" w:rsidRPr="00DA23CD">
        <w:rPr>
          <w:sz w:val="24"/>
          <w:szCs w:val="24"/>
        </w:rPr>
        <w:t xml:space="preserve">egužės </w:t>
      </w:r>
      <w:r w:rsidR="00CB2534" w:rsidRPr="00DA23CD">
        <w:rPr>
          <w:sz w:val="24"/>
          <w:szCs w:val="24"/>
        </w:rPr>
        <w:t>18</w:t>
      </w:r>
      <w:r w:rsidRPr="00DA23CD">
        <w:rPr>
          <w:sz w:val="24"/>
          <w:szCs w:val="24"/>
        </w:rPr>
        <w:t xml:space="preserve"> d. Nr. T-</w:t>
      </w:r>
    </w:p>
    <w:p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A77792" w:rsidRPr="00DA23CD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FE0060">
        <w:rPr>
          <w:sz w:val="24"/>
          <w:szCs w:val="24"/>
        </w:rPr>
        <w:t>u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="008E4AB0" w:rsidRPr="00DA23CD">
        <w:rPr>
          <w:sz w:val="24"/>
          <w:szCs w:val="24"/>
        </w:rPr>
        <w:t>202</w:t>
      </w:r>
      <w:r w:rsidR="00CB2534" w:rsidRPr="00DA23CD">
        <w:rPr>
          <w:sz w:val="24"/>
          <w:szCs w:val="24"/>
        </w:rPr>
        <w:t>3</w:t>
      </w:r>
      <w:r w:rsidR="008E4AB0" w:rsidRPr="00DA23CD">
        <w:rPr>
          <w:sz w:val="24"/>
          <w:szCs w:val="24"/>
        </w:rPr>
        <w:t xml:space="preserve"> m. </w:t>
      </w:r>
      <w:r w:rsidR="000A08FD" w:rsidRPr="00DA23CD">
        <w:rPr>
          <w:sz w:val="24"/>
          <w:szCs w:val="24"/>
        </w:rPr>
        <w:t xml:space="preserve">balandžio </w:t>
      </w:r>
      <w:r w:rsidR="00CB2534" w:rsidRPr="00DA23CD">
        <w:rPr>
          <w:sz w:val="24"/>
          <w:szCs w:val="24"/>
        </w:rPr>
        <w:t>11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7F7CAF" w:rsidRPr="00DA23CD">
        <w:rPr>
          <w:sz w:val="24"/>
          <w:szCs w:val="24"/>
        </w:rPr>
        <w:t xml:space="preserve">               </w:t>
      </w:r>
      <w:r w:rsidRPr="00DA23CD">
        <w:rPr>
          <w:sz w:val="24"/>
          <w:szCs w:val="24"/>
        </w:rPr>
        <w:t xml:space="preserve"> Nr. </w:t>
      </w:r>
      <w:r w:rsidR="008E4AB0" w:rsidRPr="00DA23CD">
        <w:rPr>
          <w:sz w:val="24"/>
          <w:szCs w:val="24"/>
        </w:rPr>
        <w:t>S</w:t>
      </w:r>
      <w:r w:rsidR="00F659AC" w:rsidRPr="00DA23CD">
        <w:rPr>
          <w:sz w:val="24"/>
          <w:szCs w:val="24"/>
        </w:rPr>
        <w:t>-</w:t>
      </w:r>
      <w:r w:rsidR="000A08FD" w:rsidRPr="00DA23CD">
        <w:rPr>
          <w:sz w:val="24"/>
          <w:szCs w:val="24"/>
        </w:rPr>
        <w:t>15</w:t>
      </w:r>
      <w:r w:rsidR="00CB2534" w:rsidRPr="00DA23CD">
        <w:rPr>
          <w:sz w:val="24"/>
          <w:szCs w:val="24"/>
        </w:rPr>
        <w:t xml:space="preserve">8 </w:t>
      </w:r>
      <w:r w:rsidR="00F659AC" w:rsidRPr="00DA23CD">
        <w:rPr>
          <w:sz w:val="24"/>
          <w:szCs w:val="24"/>
        </w:rPr>
        <w:t>„Dėl</w:t>
      </w:r>
      <w:r w:rsidR="00EF6D2B" w:rsidRPr="00DA23CD">
        <w:rPr>
          <w:sz w:val="24"/>
          <w:szCs w:val="24"/>
        </w:rPr>
        <w:t xml:space="preserve"> </w:t>
      </w:r>
      <w:r w:rsidR="000A08FD" w:rsidRPr="00DA23CD">
        <w:rPr>
          <w:sz w:val="24"/>
          <w:szCs w:val="24"/>
        </w:rPr>
        <w:t xml:space="preserve">turto </w:t>
      </w:r>
      <w:r w:rsidR="00CB2534" w:rsidRPr="00DA23CD">
        <w:rPr>
          <w:sz w:val="24"/>
          <w:szCs w:val="24"/>
        </w:rPr>
        <w:t>perdavimo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 (</w:t>
      </w:r>
      <w:r w:rsidR="00FC4753" w:rsidRPr="00DA23CD">
        <w:rPr>
          <w:sz w:val="24"/>
          <w:szCs w:val="24"/>
        </w:rPr>
        <w:t>1</w:t>
      </w:r>
      <w:r w:rsidR="00DA23CD" w:rsidRPr="00DA23CD">
        <w:rPr>
          <w:sz w:val="24"/>
          <w:szCs w:val="24"/>
        </w:rPr>
        <w:t xml:space="preserve"> ir</w:t>
      </w:r>
      <w:r w:rsidR="00FC4753" w:rsidRPr="00DA23CD">
        <w:rPr>
          <w:sz w:val="24"/>
          <w:szCs w:val="24"/>
        </w:rPr>
        <w:t xml:space="preserve"> 2 priedai)</w:t>
      </w:r>
      <w:r w:rsidRPr="00DA23CD">
        <w:rPr>
          <w:sz w:val="24"/>
          <w:szCs w:val="24"/>
        </w:rPr>
        <w:t>.</w:t>
      </w:r>
    </w:p>
    <w:p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 xml:space="preserve">savivaldybės savarankiškajai funkcijai – </w:t>
      </w:r>
      <w:r w:rsidR="00AF68C8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sz w:val="24"/>
          <w:szCs w:val="24"/>
        </w:rPr>
        <w:t xml:space="preserve"> – įgyvendinti</w:t>
      </w:r>
    </w:p>
    <w:p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 punkte nurodyto turto perdavimo–priėmimo aktus.</w:t>
      </w:r>
    </w:p>
    <w:p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DA23CD" w:rsidRDefault="005A3BBD">
      <w:pPr>
        <w:jc w:val="center"/>
        <w:rPr>
          <w:b/>
          <w:sz w:val="24"/>
          <w:szCs w:val="24"/>
        </w:rPr>
      </w:pPr>
    </w:p>
    <w:p w:rsidR="005A3BBD" w:rsidRPr="00DA23CD" w:rsidRDefault="005A3BBD">
      <w:pPr>
        <w:jc w:val="center"/>
        <w:rPr>
          <w:b/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>
      <w:pPr>
        <w:ind w:right="-15"/>
        <w:jc w:val="both"/>
        <w:rPr>
          <w:sz w:val="24"/>
          <w:szCs w:val="24"/>
        </w:rPr>
      </w:pPr>
    </w:p>
    <w:p w:rsidR="00837377" w:rsidRPr="00DA23CD" w:rsidRDefault="00837377">
      <w:pPr>
        <w:ind w:right="-15"/>
        <w:jc w:val="both"/>
        <w:rPr>
          <w:sz w:val="24"/>
          <w:szCs w:val="24"/>
        </w:rPr>
      </w:pPr>
    </w:p>
    <w:p w:rsidR="000A08FD" w:rsidRPr="00DA23CD" w:rsidRDefault="000A08FD" w:rsidP="000A08FD">
      <w:pPr>
        <w:jc w:val="both"/>
        <w:rPr>
          <w:rFonts w:eastAsiaTheme="minorHAnsi"/>
          <w:sz w:val="24"/>
          <w:szCs w:val="24"/>
          <w:lang w:eastAsia="en-US"/>
        </w:rPr>
      </w:pPr>
    </w:p>
    <w:p w:rsidR="000A08FD" w:rsidRPr="00DA23CD" w:rsidRDefault="000A08FD" w:rsidP="000A08FD">
      <w:pPr>
        <w:spacing w:line="360" w:lineRule="auto"/>
        <w:rPr>
          <w:sz w:val="24"/>
          <w:szCs w:val="24"/>
        </w:rPr>
      </w:pPr>
    </w:p>
    <w:p w:rsidR="00837377" w:rsidRPr="00DA23CD" w:rsidRDefault="00837377">
      <w:pPr>
        <w:ind w:right="-15"/>
        <w:jc w:val="both"/>
        <w:rPr>
          <w:sz w:val="24"/>
          <w:szCs w:val="24"/>
        </w:rPr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1D6A82" w:rsidRPr="00DA23CD" w:rsidRDefault="001D6A82">
      <w:pPr>
        <w:ind w:right="-15"/>
        <w:jc w:val="both"/>
      </w:pPr>
    </w:p>
    <w:p w:rsidR="005A3BBD" w:rsidRPr="00DA23CD" w:rsidRDefault="005A3BBD">
      <w:pPr>
        <w:ind w:right="-15"/>
        <w:jc w:val="both"/>
      </w:pPr>
    </w:p>
    <w:p w:rsidR="005E3BBF" w:rsidRPr="00DA23CD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DA23CD">
        <w:rPr>
          <w:sz w:val="24"/>
          <w:szCs w:val="24"/>
        </w:rPr>
        <w:t>Panevėžio rajono savivaldybės tarybos</w:t>
      </w:r>
    </w:p>
    <w:p w:rsidR="005E3BBF" w:rsidRPr="00DA23CD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202</w:t>
      </w:r>
      <w:r w:rsidR="00F83733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 </w:t>
      </w:r>
      <w:r w:rsidR="00C06D50" w:rsidRPr="00DA23CD">
        <w:rPr>
          <w:sz w:val="24"/>
          <w:szCs w:val="24"/>
        </w:rPr>
        <w:t xml:space="preserve">gegužės </w:t>
      </w:r>
      <w:r w:rsidR="00F83733" w:rsidRPr="00DA23CD">
        <w:rPr>
          <w:sz w:val="24"/>
          <w:szCs w:val="24"/>
        </w:rPr>
        <w:t>18</w:t>
      </w:r>
      <w:r w:rsidRPr="00DA23CD">
        <w:rPr>
          <w:sz w:val="24"/>
          <w:szCs w:val="24"/>
        </w:rPr>
        <w:t xml:space="preserve"> d. sprendimo Nr. T-</w:t>
      </w:r>
    </w:p>
    <w:p w:rsidR="00462CFA" w:rsidRPr="00DA23CD" w:rsidRDefault="001C678E" w:rsidP="00BD5CF4">
      <w:pPr>
        <w:pStyle w:val="Standard"/>
        <w:ind w:left="4320" w:firstLine="720"/>
        <w:rPr>
          <w:sz w:val="24"/>
          <w:szCs w:val="24"/>
        </w:rPr>
      </w:pPr>
      <w:r w:rsidRPr="00DA23CD">
        <w:rPr>
          <w:sz w:val="24"/>
          <w:szCs w:val="24"/>
        </w:rPr>
        <w:t xml:space="preserve">1 </w:t>
      </w:r>
      <w:r w:rsidR="00447922" w:rsidRPr="00DA23CD">
        <w:rPr>
          <w:sz w:val="24"/>
          <w:szCs w:val="24"/>
        </w:rPr>
        <w:t>p</w:t>
      </w:r>
      <w:r w:rsidR="005E3BBF" w:rsidRPr="00DA23CD">
        <w:rPr>
          <w:sz w:val="24"/>
          <w:szCs w:val="24"/>
        </w:rPr>
        <w:t>riedas</w:t>
      </w:r>
    </w:p>
    <w:p w:rsidR="00BD5CF4" w:rsidRPr="00DA23CD" w:rsidRDefault="00BD5CF4" w:rsidP="00BD5CF4">
      <w:pPr>
        <w:pStyle w:val="Standard"/>
        <w:ind w:left="4320" w:firstLine="720"/>
        <w:rPr>
          <w:sz w:val="24"/>
          <w:szCs w:val="24"/>
        </w:rPr>
      </w:pPr>
    </w:p>
    <w:p w:rsidR="00BC4686" w:rsidRPr="00DA23CD" w:rsidRDefault="001C678E" w:rsidP="00BD5CF4">
      <w:pPr>
        <w:jc w:val="center"/>
        <w:rPr>
          <w:sz w:val="24"/>
          <w:szCs w:val="24"/>
        </w:rPr>
      </w:pPr>
      <w:r w:rsidRPr="00DA23CD">
        <w:rPr>
          <w:rFonts w:eastAsia="Calibri"/>
          <w:b/>
          <w:sz w:val="22"/>
          <w:szCs w:val="22"/>
        </w:rPr>
        <w:t>Ilgalaikis materialusis turtas</w:t>
      </w:r>
      <w:r w:rsidRPr="00DA23CD">
        <w:rPr>
          <w:sz w:val="24"/>
          <w:szCs w:val="24"/>
        </w:rPr>
        <w:t xml:space="preserve"> </w:t>
      </w:r>
    </w:p>
    <w:p w:rsidR="001C678E" w:rsidRPr="00DA23CD" w:rsidRDefault="001C678E" w:rsidP="00BD5CF4">
      <w:pPr>
        <w:jc w:val="center"/>
        <w:rPr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9"/>
        <w:gridCol w:w="1198"/>
        <w:gridCol w:w="323"/>
        <w:gridCol w:w="1055"/>
        <w:gridCol w:w="128"/>
        <w:gridCol w:w="611"/>
        <w:gridCol w:w="291"/>
        <w:gridCol w:w="680"/>
        <w:gridCol w:w="456"/>
        <w:gridCol w:w="642"/>
        <w:gridCol w:w="311"/>
        <w:gridCol w:w="1684"/>
        <w:gridCol w:w="535"/>
        <w:gridCol w:w="1183"/>
      </w:tblGrid>
      <w:tr w:rsidR="00CB53FB" w:rsidRPr="00DA23CD" w:rsidTr="00CB53FB">
        <w:tc>
          <w:tcPr>
            <w:tcW w:w="53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Perduodamo turto pavadinimas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Inventorinis numeris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Kiekis vnt.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A23CD">
              <w:rPr>
                <w:color w:val="000000"/>
                <w:lang w:eastAsia="lt-LT"/>
              </w:rPr>
              <w:t>Vieneto įsigijimo vertė (eurais)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Bendra likutinė vertė (eurais)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Finansavimo šaltinis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Balansinė sąskaita</w:t>
            </w:r>
          </w:p>
        </w:tc>
      </w:tr>
      <w:tr w:rsidR="00CB53FB" w:rsidRPr="00DA23CD" w:rsidTr="00CB53FB">
        <w:tc>
          <w:tcPr>
            <w:tcW w:w="53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1.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</w:rPr>
            </w:pPr>
            <w:r w:rsidRPr="00DA23CD">
              <w:t>Paštomatas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ind w:right="247"/>
              <w:jc w:val="center"/>
            </w:pPr>
            <w:r w:rsidRPr="00DA23CD">
              <w:t>INV.</w:t>
            </w:r>
          </w:p>
          <w:p w:rsidR="001C678E" w:rsidRPr="00DA23CD" w:rsidRDefault="001C678E" w:rsidP="00322A53">
            <w:pPr>
              <w:ind w:right="247"/>
              <w:jc w:val="center"/>
              <w:rPr>
                <w:color w:val="FF0000"/>
              </w:rPr>
            </w:pPr>
            <w:r w:rsidRPr="00DA23CD">
              <w:t>1610330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rPr>
                <w:color w:val="000000"/>
              </w:rPr>
            </w:pPr>
            <w:r w:rsidRPr="00DA23CD">
              <w:rPr>
                <w:color w:val="000000"/>
              </w:rPr>
              <w:t>3</w:t>
            </w:r>
            <w:r w:rsidR="00637ECA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291,20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</w:t>
            </w:r>
            <w:r w:rsidR="00637ECA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236,35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</w:pPr>
            <w:r w:rsidRPr="00DA23CD">
              <w:t xml:space="preserve">Valstybės biudžeto lėšos 11118 </w:t>
            </w:r>
            <w:r w:rsidR="00CB53FB" w:rsidRPr="00DA23CD">
              <w:t>–</w:t>
            </w:r>
            <w:r w:rsidRPr="00DA23CD">
              <w:t xml:space="preserve"> </w:t>
            </w:r>
            <w:r w:rsidRPr="00DA23CD">
              <w:rPr>
                <w:color w:val="000000"/>
              </w:rPr>
              <w:t>3</w:t>
            </w:r>
            <w:r w:rsidR="00CB53FB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 xml:space="preserve">291,20 </w:t>
            </w:r>
            <w:r w:rsidRPr="00DA23CD">
              <w:t>Eur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1C678E" w:rsidRPr="00DA23CD" w:rsidRDefault="001C678E" w:rsidP="00322A53">
            <w:pPr>
              <w:jc w:val="center"/>
            </w:pPr>
            <w:r w:rsidRPr="00DA23CD">
              <w:t>1209400 (Kitas ilgalaikis materialusis turtas)</w:t>
            </w:r>
          </w:p>
        </w:tc>
      </w:tr>
      <w:tr w:rsidR="001C678E" w:rsidRPr="00DA23CD" w:rsidTr="00CB53FB">
        <w:tblPrEx>
          <w:jc w:val="center"/>
        </w:tblPrEx>
        <w:trPr>
          <w:trHeight w:val="555"/>
          <w:jc w:val="center"/>
        </w:trPr>
        <w:tc>
          <w:tcPr>
            <w:tcW w:w="9627" w:type="dxa"/>
            <w:gridSpan w:val="15"/>
            <w:shd w:val="clear" w:color="auto" w:fill="auto"/>
            <w:vAlign w:val="center"/>
          </w:tcPr>
          <w:p w:rsidR="001C678E" w:rsidRPr="00DA23CD" w:rsidRDefault="001C678E" w:rsidP="00637ECA">
            <w:pPr>
              <w:pStyle w:val="Antrat1"/>
            </w:pPr>
            <w:r w:rsidRPr="00DA23CD">
              <w:t>_________________</w:t>
            </w:r>
          </w:p>
          <w:p w:rsidR="001C678E" w:rsidRPr="00DA23CD" w:rsidRDefault="001C678E" w:rsidP="001C678E">
            <w:pPr>
              <w:ind w:left="5040"/>
              <w:jc w:val="both"/>
              <w:rPr>
                <w:sz w:val="24"/>
                <w:szCs w:val="24"/>
              </w:rPr>
            </w:pPr>
          </w:p>
          <w:p w:rsidR="001C678E" w:rsidRPr="00DA23CD" w:rsidRDefault="001C678E" w:rsidP="001C678E">
            <w:pPr>
              <w:ind w:left="5040"/>
              <w:jc w:val="both"/>
              <w:rPr>
                <w:sz w:val="24"/>
                <w:szCs w:val="24"/>
                <w:lang w:eastAsia="lt-LT"/>
              </w:rPr>
            </w:pPr>
            <w:r w:rsidRPr="00DA23CD">
              <w:rPr>
                <w:sz w:val="24"/>
                <w:szCs w:val="24"/>
              </w:rPr>
              <w:t>Panevėžio rajono savivaldybės tarybos</w:t>
            </w:r>
          </w:p>
          <w:p w:rsidR="001C678E" w:rsidRPr="00DA23CD" w:rsidRDefault="001C678E" w:rsidP="001C678E">
            <w:pPr>
              <w:pStyle w:val="Standard"/>
              <w:ind w:left="4320" w:firstLine="720"/>
              <w:jc w:val="both"/>
              <w:rPr>
                <w:sz w:val="24"/>
                <w:szCs w:val="24"/>
              </w:rPr>
            </w:pPr>
            <w:r w:rsidRPr="00DA23CD">
              <w:rPr>
                <w:sz w:val="24"/>
                <w:szCs w:val="24"/>
              </w:rPr>
              <w:t>202</w:t>
            </w:r>
            <w:r w:rsidR="00F83733" w:rsidRPr="00DA23CD">
              <w:rPr>
                <w:sz w:val="24"/>
                <w:szCs w:val="24"/>
              </w:rPr>
              <w:t>3</w:t>
            </w:r>
            <w:r w:rsidRPr="00DA23CD">
              <w:rPr>
                <w:sz w:val="24"/>
                <w:szCs w:val="24"/>
              </w:rPr>
              <w:t xml:space="preserve"> m. gegužės </w:t>
            </w:r>
            <w:r w:rsidR="00F83733" w:rsidRPr="00DA23CD">
              <w:rPr>
                <w:sz w:val="24"/>
                <w:szCs w:val="24"/>
              </w:rPr>
              <w:t>18</w:t>
            </w:r>
            <w:r w:rsidRPr="00DA23CD">
              <w:rPr>
                <w:sz w:val="24"/>
                <w:szCs w:val="24"/>
              </w:rPr>
              <w:t xml:space="preserve"> d. sprendimo Nr. T-</w:t>
            </w:r>
          </w:p>
          <w:p w:rsidR="001C678E" w:rsidRPr="00DA23CD" w:rsidRDefault="00637ECA" w:rsidP="001C678E">
            <w:pPr>
              <w:pStyle w:val="Standard"/>
              <w:ind w:left="4320" w:firstLine="720"/>
              <w:rPr>
                <w:sz w:val="24"/>
                <w:szCs w:val="24"/>
              </w:rPr>
            </w:pPr>
            <w:r w:rsidRPr="00DA23CD">
              <w:rPr>
                <w:sz w:val="24"/>
                <w:szCs w:val="24"/>
              </w:rPr>
              <w:t>2</w:t>
            </w:r>
            <w:r w:rsidR="001C678E" w:rsidRPr="00DA23CD">
              <w:rPr>
                <w:sz w:val="24"/>
                <w:szCs w:val="24"/>
              </w:rPr>
              <w:t xml:space="preserve"> priedas</w:t>
            </w:r>
          </w:p>
          <w:p w:rsidR="001C678E" w:rsidRPr="00DA23CD" w:rsidRDefault="001C678E" w:rsidP="00322A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C678E" w:rsidRPr="00DA23CD" w:rsidRDefault="001C678E" w:rsidP="00637EC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23CD">
              <w:rPr>
                <w:rFonts w:eastAsia="Calibri"/>
                <w:b/>
                <w:sz w:val="22"/>
                <w:szCs w:val="22"/>
              </w:rPr>
              <w:t>Ilgalaikis materialusis turtas</w:t>
            </w:r>
          </w:p>
          <w:p w:rsidR="00637ECA" w:rsidRPr="00DA23CD" w:rsidRDefault="00637ECA" w:rsidP="00637ECA">
            <w:pPr>
              <w:jc w:val="center"/>
              <w:rPr>
                <w:color w:val="000000"/>
              </w:rPr>
            </w:pPr>
          </w:p>
          <w:p w:rsidR="00637ECA" w:rsidRPr="00DA23CD" w:rsidRDefault="00637ECA" w:rsidP="00637ECA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r w:rsidRPr="00DA23CD">
              <w:rPr>
                <w:color w:val="000000"/>
                <w:lang w:eastAsia="lt-LT"/>
              </w:rPr>
              <w:t>Perduodamo turto pavadinimas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Inventorinis numeris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Kiekis</w:t>
            </w:r>
          </w:p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</w:rPr>
            </w:pPr>
            <w:r w:rsidRPr="00DA23CD">
              <w:rPr>
                <w:color w:val="000000"/>
                <w:lang w:eastAsia="lt-LT"/>
              </w:rPr>
              <w:t xml:space="preserve"> vnt.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A23CD">
              <w:rPr>
                <w:color w:val="000000"/>
                <w:lang w:eastAsia="lt-LT"/>
              </w:rPr>
              <w:t>Vieneto įsigijimo vertė (eurais)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  <w:lang w:eastAsia="lt-LT"/>
              </w:rPr>
              <w:t>Bendra likutinė vertė (eurais)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rPr>
                <w:color w:val="000000"/>
                <w:lang w:eastAsia="lt-LT"/>
              </w:rPr>
              <w:t>Finansavimo šaltinis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rPr>
                <w:color w:val="000000"/>
                <w:lang w:eastAsia="lt-LT"/>
              </w:rPr>
              <w:t>Balansinė sąskaita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1.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t>Knygų išdavimo-grąžinimo paštomatas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INV.1610325;</w:t>
            </w:r>
          </w:p>
          <w:p w:rsidR="00CB53FB" w:rsidRPr="00DA23CD" w:rsidRDefault="00CB53FB" w:rsidP="00CB53FB">
            <w:pPr>
              <w:jc w:val="center"/>
            </w:pPr>
            <w:r w:rsidRPr="00DA23CD">
              <w:t>INV.1610326</w:t>
            </w:r>
          </w:p>
          <w:p w:rsidR="00CB53FB" w:rsidRPr="00DA23CD" w:rsidRDefault="00CB53FB" w:rsidP="00CB53FB">
            <w:pPr>
              <w:ind w:right="311"/>
              <w:jc w:val="center"/>
              <w:rPr>
                <w:color w:val="FF0000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  <w:r w:rsidR="00DA23CD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250,60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4</w:t>
            </w:r>
            <w:r w:rsidR="00DA23CD" w:rsidRPr="00DA23CD">
              <w:rPr>
                <w:color w:val="000000"/>
              </w:rPr>
              <w:t xml:space="preserve"> </w:t>
            </w:r>
            <w:r w:rsidRPr="00DA23CD">
              <w:rPr>
                <w:color w:val="000000"/>
              </w:rPr>
              <w:t>501,20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225,06 Eur (2 vnt. 450,12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303,83 Eur (2 vnt. 607,66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1 721,71 Eur (2 vnt. 3 443,42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1209400 (Kitas ilgalaikis materialusis turtas)</w:t>
            </w:r>
          </w:p>
        </w:tc>
      </w:tr>
      <w:tr w:rsidR="00CB53FB" w:rsidRPr="00DA23CD" w:rsidTr="00CB53FB">
        <w:tblPrEx>
          <w:jc w:val="center"/>
        </w:tblPrEx>
        <w:trPr>
          <w:trHeight w:val="643"/>
          <w:jc w:val="center"/>
        </w:trPr>
        <w:tc>
          <w:tcPr>
            <w:tcW w:w="9627" w:type="dxa"/>
            <w:gridSpan w:val="15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color w:val="000000"/>
              </w:rPr>
            </w:pPr>
            <w:r w:rsidRPr="00DA23CD">
              <w:rPr>
                <w:rFonts w:eastAsia="Calibri"/>
                <w:b/>
                <w:sz w:val="22"/>
                <w:szCs w:val="22"/>
              </w:rPr>
              <w:t>Trumpalaikis materialusis turtas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2.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Knygų kolekcija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561,96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1123,92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56,20 Eur (2 vnt.</w:t>
            </w:r>
            <w:r w:rsidR="00DA23CD" w:rsidRPr="00DA23CD">
              <w:t xml:space="preserve"> </w:t>
            </w:r>
            <w:r w:rsidRPr="00DA23CD">
              <w:t>112,40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75,86 Eur (2 vnt. 151,72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429,90 Eur (2 vnt. 859,80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3.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Knygų lentynos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371,10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742,20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37,11 Eur (2 vnt.74,22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50,10 Eur (2 vnt.</w:t>
            </w:r>
            <w:r w:rsidR="00DA23CD" w:rsidRPr="00DA23CD">
              <w:t xml:space="preserve"> </w:t>
            </w:r>
            <w:r w:rsidRPr="00DA23CD">
              <w:t>100,20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283,89 Eur (2 vnt. 567,78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 xml:space="preserve">202001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t>(Ūkinis inventorius)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4.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Mobilieji telefonai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174,25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348,5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lėšos 11111 – 17,43 Eur (2 vnt. 34,86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23,52 Eur (2 vnt. 47,04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133,30 Eur (2 vnt. 266,60 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 xml:space="preserve">202001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t>(Ūkinis inventorius)</w:t>
            </w:r>
          </w:p>
        </w:tc>
      </w:tr>
      <w:tr w:rsidR="00CB53FB" w:rsidRPr="00DA23CD" w:rsidTr="00CB53FB">
        <w:tblPrEx>
          <w:jc w:val="center"/>
        </w:tblPrEx>
        <w:trPr>
          <w:trHeight w:val="70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5.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DA23CD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„</w:t>
            </w:r>
            <w:r w:rsidR="00CB53FB" w:rsidRPr="00DA23CD">
              <w:rPr>
                <w:color w:val="000000"/>
              </w:rPr>
              <w:t>X-banner</w:t>
            </w:r>
            <w:r w:rsidRPr="00DA23CD">
              <w:rPr>
                <w:color w:val="000000"/>
              </w:rPr>
              <w:t>“</w:t>
            </w:r>
            <w:r w:rsidR="00CB53FB" w:rsidRPr="00DA23CD">
              <w:rPr>
                <w:color w:val="000000"/>
              </w:rPr>
              <w:t xml:space="preserve"> stendas su plakatu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10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15.463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154,64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1,546 Eur (10 vnt. 15,46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 xml:space="preserve"> 2,088 Eur (10 vnt. 20,88 Eur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31112 – 11,83 Eur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(10 vnt. 118,3Eur)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6.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Pasakojimo stalo žaidimas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25,00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50,00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2,50 Eur (2 vnt. 5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3,38 Eur (2 vnt. 6,76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31112 – 19,12 Eur (2 vnt. 38,24 Eur)</w:t>
            </w:r>
          </w:p>
        </w:tc>
        <w:tc>
          <w:tcPr>
            <w:tcW w:w="1183" w:type="dxa"/>
            <w:shd w:val="clear" w:color="auto" w:fill="auto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  <w:r w:rsidRPr="00DA23CD">
              <w:rPr>
                <w:color w:val="000000"/>
                <w:lang w:eastAsia="lt-LT"/>
              </w:rPr>
              <w:t>7.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</w:rPr>
            </w:pPr>
            <w:r w:rsidRPr="00DA23CD">
              <w:rPr>
                <w:color w:val="000000"/>
              </w:rPr>
              <w:t>JENGA kaladėlė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23,31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>46,62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</w:pPr>
            <w:r w:rsidRPr="00DA23CD">
              <w:t>Valstybės biudžeto lėšos 11111 – 2,33 Eur (2 vnt. 4,66 Eur)</w:t>
            </w:r>
          </w:p>
          <w:p w:rsidR="00DA23CD" w:rsidRPr="00DA23CD" w:rsidRDefault="00CB53FB" w:rsidP="00CB53FB">
            <w:pPr>
              <w:jc w:val="center"/>
            </w:pPr>
            <w:r w:rsidRPr="00DA23CD">
              <w:t xml:space="preserve">Valstybės biudžeto pavedimų lėšos 31111 </w:t>
            </w:r>
            <w:r w:rsidR="00DA23CD" w:rsidRPr="00DA23CD">
              <w:t>–</w:t>
            </w:r>
          </w:p>
          <w:p w:rsidR="00CB53FB" w:rsidRPr="00DA23CD" w:rsidRDefault="00CB53FB" w:rsidP="00DA23CD">
            <w:r w:rsidRPr="00DA23CD">
              <w:t>3,15 Eur (2 vnt. 6,30 Eur)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Europos Sąjungos (finansinė parama) </w:t>
            </w:r>
          </w:p>
          <w:p w:rsidR="00CB53FB" w:rsidRPr="00DA23CD" w:rsidRDefault="00CB53FB" w:rsidP="00CB53FB">
            <w:pPr>
              <w:jc w:val="center"/>
              <w:rPr>
                <w:color w:val="000000"/>
              </w:rPr>
            </w:pPr>
            <w:r w:rsidRPr="00DA23CD">
              <w:rPr>
                <w:color w:val="000000"/>
              </w:rPr>
              <w:t xml:space="preserve">31112 – 17,83 Eur (2 vnt. 35,66 </w:t>
            </w:r>
            <w:r w:rsidRPr="00DA23CD">
              <w:t>Eur)</w:t>
            </w:r>
          </w:p>
        </w:tc>
        <w:tc>
          <w:tcPr>
            <w:tcW w:w="1183" w:type="dxa"/>
            <w:shd w:val="clear" w:color="auto" w:fill="auto"/>
          </w:tcPr>
          <w:p w:rsidR="00CB53FB" w:rsidRPr="00DA23CD" w:rsidRDefault="00CB53FB" w:rsidP="00CB53FB">
            <w:pPr>
              <w:jc w:val="center"/>
            </w:pPr>
            <w:r w:rsidRPr="00DA23CD">
              <w:t>201001 (Medžiagos ir žaliavos)</w:t>
            </w:r>
          </w:p>
        </w:tc>
      </w:tr>
      <w:tr w:rsidR="00CB53FB" w:rsidRPr="00DA23CD" w:rsidTr="00CB53FB">
        <w:tblPrEx>
          <w:jc w:val="center"/>
        </w:tblPrEx>
        <w:trPr>
          <w:trHeight w:val="491"/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CB53FB" w:rsidRPr="00DA23CD" w:rsidRDefault="00CB53FB" w:rsidP="00CB53FB">
            <w:pPr>
              <w:rPr>
                <w:color w:val="000000"/>
                <w:lang w:eastAsia="lt-LT"/>
              </w:rPr>
            </w:pP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color w:val="000000"/>
              </w:rPr>
            </w:pPr>
            <w:r w:rsidRPr="00DA23CD">
              <w:rPr>
                <w:rFonts w:eastAsia="Calibri"/>
                <w:b/>
                <w:color w:val="000000"/>
              </w:rPr>
              <w:t>Iš viso: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DA23CD">
              <w:rPr>
                <w:rFonts w:eastAsia="Calibri"/>
                <w:b/>
              </w:rPr>
              <w:t>23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spacing w:line="276" w:lineRule="auto"/>
              <w:ind w:left="-108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</w:rPr>
            </w:pPr>
            <w:r w:rsidRPr="00DA23CD">
              <w:rPr>
                <w:b/>
                <w:bCs/>
              </w:rPr>
              <w:t>10 203,43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CB53FB" w:rsidRPr="00DA23CD" w:rsidRDefault="00CB53FB" w:rsidP="00CB53FB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1C678E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  <w:r w:rsidRPr="00DA23CD">
        <w:rPr>
          <w:sz w:val="24"/>
          <w:szCs w:val="24"/>
          <w:shd w:val="clear" w:color="auto" w:fill="FFFFFF"/>
        </w:rPr>
        <w:t>______________</w:t>
      </w: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CB53FB" w:rsidRPr="00DA23CD" w:rsidRDefault="00CB53FB" w:rsidP="00CB53FB">
      <w:pPr>
        <w:tabs>
          <w:tab w:val="left" w:pos="1276"/>
        </w:tabs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E66A06" w:rsidRPr="00DA23CD" w:rsidRDefault="00C51919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PANEVĖŽIO RAJONO SAVIVALDYBĖS ADMINISTRACIJOS</w:t>
      </w:r>
    </w:p>
    <w:p w:rsidR="005A3BBD" w:rsidRPr="00DA23CD" w:rsidRDefault="005A3BBD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EKONOMIKOS IR TURTO VALDYMO SKYRIUS</w:t>
      </w:r>
    </w:p>
    <w:p w:rsidR="001D6A82" w:rsidRPr="00DA23CD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  <w:r w:rsidRPr="00DA23CD">
        <w:rPr>
          <w:sz w:val="24"/>
          <w:szCs w:val="24"/>
        </w:rPr>
        <w:t>Panevėžio rajono savivaldybės tarybai</w:t>
      </w:r>
    </w:p>
    <w:p w:rsidR="001D6A82" w:rsidRPr="00DA23CD" w:rsidRDefault="001D6A82">
      <w:pPr>
        <w:ind w:right="-1185"/>
        <w:rPr>
          <w:sz w:val="24"/>
          <w:szCs w:val="24"/>
        </w:rPr>
      </w:pPr>
    </w:p>
    <w:p w:rsidR="005A3BBD" w:rsidRPr="00DA23CD" w:rsidRDefault="005A3BBD">
      <w:pPr>
        <w:ind w:right="-1185"/>
        <w:rPr>
          <w:sz w:val="24"/>
          <w:szCs w:val="24"/>
        </w:rPr>
      </w:pPr>
    </w:p>
    <w:p w:rsidR="005A3BBD" w:rsidRPr="00DA23CD" w:rsidRDefault="001D6A82" w:rsidP="008470F3">
      <w:pPr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 xml:space="preserve">SAVIVALDYBĖS TARYBOS </w:t>
      </w:r>
      <w:r w:rsidR="005A3BBD" w:rsidRPr="00DA23CD">
        <w:rPr>
          <w:b/>
          <w:sz w:val="24"/>
          <w:szCs w:val="24"/>
        </w:rPr>
        <w:t>SPRENDIMO „</w:t>
      </w:r>
      <w:r w:rsidR="008470F3"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  <w:r w:rsidR="005A3BBD" w:rsidRPr="00DA23CD">
        <w:rPr>
          <w:b/>
          <w:bCs/>
          <w:caps/>
          <w:color w:val="000000"/>
          <w:sz w:val="24"/>
          <w:szCs w:val="24"/>
        </w:rPr>
        <w:t>“</w:t>
      </w:r>
      <w:r w:rsidR="005A3BBD" w:rsidRPr="00DA23CD">
        <w:rPr>
          <w:b/>
          <w:bCs/>
          <w:sz w:val="24"/>
          <w:szCs w:val="24"/>
        </w:rPr>
        <w:t xml:space="preserve"> </w:t>
      </w:r>
      <w:r w:rsidR="005A3BBD" w:rsidRPr="00DA23CD">
        <w:rPr>
          <w:b/>
          <w:sz w:val="24"/>
          <w:szCs w:val="24"/>
        </w:rPr>
        <w:t>PROJEKTO</w:t>
      </w:r>
      <w:r w:rsidR="002C52F3" w:rsidRPr="00DA23CD">
        <w:rPr>
          <w:b/>
          <w:sz w:val="24"/>
          <w:szCs w:val="24"/>
        </w:rPr>
        <w:t xml:space="preserve"> AIŠKINAMASIS RAŠTAS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146AC7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F659AC" w:rsidRPr="00DA23CD">
        <w:rPr>
          <w:sz w:val="24"/>
          <w:szCs w:val="24"/>
        </w:rPr>
        <w:t>2</w:t>
      </w:r>
      <w:r w:rsidR="003E2BCB" w:rsidRPr="00DA23CD">
        <w:rPr>
          <w:sz w:val="24"/>
          <w:szCs w:val="24"/>
        </w:rPr>
        <w:t>3</w:t>
      </w:r>
      <w:r w:rsidR="006473A0" w:rsidRPr="00DA23CD">
        <w:rPr>
          <w:sz w:val="24"/>
          <w:szCs w:val="24"/>
        </w:rPr>
        <w:t xml:space="preserve"> m. </w:t>
      </w:r>
      <w:r w:rsidR="003E2BCB" w:rsidRPr="00DA23CD">
        <w:rPr>
          <w:sz w:val="24"/>
          <w:szCs w:val="24"/>
        </w:rPr>
        <w:t>gegužės 2</w:t>
      </w:r>
      <w:r w:rsidRPr="00DA23CD">
        <w:rPr>
          <w:sz w:val="24"/>
          <w:szCs w:val="24"/>
        </w:rPr>
        <w:t xml:space="preserve"> d.</w:t>
      </w:r>
    </w:p>
    <w:p w:rsidR="005A3BBD" w:rsidRPr="00DA23CD" w:rsidRDefault="005A3BBD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C51919" w:rsidRPr="00DA23CD" w:rsidRDefault="00C51919" w:rsidP="00F83733">
      <w:pPr>
        <w:rPr>
          <w:sz w:val="24"/>
          <w:szCs w:val="24"/>
        </w:rPr>
      </w:pPr>
    </w:p>
    <w:p w:rsidR="00CD2930" w:rsidRPr="00DA23CD" w:rsidRDefault="002C52F3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1</w:t>
      </w:r>
      <w:r w:rsidR="00CD2930" w:rsidRPr="00DA23CD">
        <w:rPr>
          <w:b/>
          <w:sz w:val="24"/>
          <w:szCs w:val="24"/>
        </w:rPr>
        <w:t>. Sprendimo projekto tikslai ir uždaviniai</w:t>
      </w:r>
    </w:p>
    <w:p w:rsidR="00CD2930" w:rsidRPr="00DA23CD" w:rsidRDefault="00CD2930" w:rsidP="00F83733">
      <w:pPr>
        <w:jc w:val="both"/>
        <w:rPr>
          <w:color w:val="000000"/>
          <w:spacing w:val="7"/>
          <w:sz w:val="24"/>
          <w:szCs w:val="24"/>
        </w:rPr>
      </w:pPr>
      <w:r w:rsidRPr="00DA23CD">
        <w:rPr>
          <w:b/>
          <w:sz w:val="24"/>
          <w:szCs w:val="24"/>
        </w:rPr>
        <w:tab/>
      </w:r>
      <w:r w:rsidRPr="00DA23CD">
        <w:rPr>
          <w:sz w:val="24"/>
          <w:szCs w:val="24"/>
        </w:rPr>
        <w:t xml:space="preserve">Parengtas sprendimo projektas </w:t>
      </w:r>
      <w:r w:rsidR="00C51919" w:rsidRPr="00DA23CD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3E2BCB" w:rsidRPr="00DA23CD">
        <w:rPr>
          <w:sz w:val="24"/>
          <w:szCs w:val="24"/>
        </w:rPr>
        <w:t xml:space="preserve">Panevėžio apskrities </w:t>
      </w:r>
      <w:bookmarkStart w:id="0" w:name="_Hlk133913807"/>
      <w:r w:rsidR="003E2BCB" w:rsidRPr="00DA23CD">
        <w:rPr>
          <w:sz w:val="24"/>
          <w:szCs w:val="24"/>
        </w:rPr>
        <w:t>Gabrielės Petkevičaitės-Bitės viešosios bibliotekos</w:t>
      </w:r>
      <w:r w:rsidR="00C51919" w:rsidRPr="00DA23CD">
        <w:rPr>
          <w:sz w:val="24"/>
          <w:szCs w:val="24"/>
        </w:rPr>
        <w:t xml:space="preserve"> </w:t>
      </w:r>
      <w:bookmarkEnd w:id="0"/>
      <w:r w:rsidR="00C51919" w:rsidRPr="00DA23CD">
        <w:rPr>
          <w:sz w:val="24"/>
          <w:szCs w:val="24"/>
        </w:rPr>
        <w:t>patikėjimo teise valdomą turtą</w:t>
      </w:r>
      <w:r w:rsidR="00CB53FB" w:rsidRPr="00DA23CD">
        <w:rPr>
          <w:sz w:val="24"/>
          <w:szCs w:val="24"/>
        </w:rPr>
        <w:t xml:space="preserve"> ir  perimtą turtą perduoti Panevėžio rajono savivaldybės viešajai bibliotekai valdyti, naudoti ir disponuoti juo patikėjimo teise.</w:t>
      </w:r>
    </w:p>
    <w:p w:rsidR="00CD2930" w:rsidRPr="00DA23CD" w:rsidRDefault="00CD2930" w:rsidP="00F83733">
      <w:pPr>
        <w:jc w:val="both"/>
        <w:rPr>
          <w:b/>
          <w:bCs/>
          <w:sz w:val="24"/>
          <w:szCs w:val="24"/>
        </w:rPr>
      </w:pPr>
      <w:r w:rsidRPr="00DA23CD">
        <w:rPr>
          <w:color w:val="000000"/>
          <w:spacing w:val="7"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>2.</w:t>
      </w:r>
      <w:r w:rsidRPr="00DA23CD">
        <w:rPr>
          <w:b/>
          <w:sz w:val="24"/>
          <w:szCs w:val="24"/>
        </w:rPr>
        <w:t xml:space="preserve"> Siūlomos teisinio reguliavimo nuostatos</w:t>
      </w:r>
      <w:r w:rsidR="003E2BCB" w:rsidRPr="00DA23CD">
        <w:rPr>
          <w:b/>
          <w:sz w:val="24"/>
          <w:szCs w:val="24"/>
        </w:rPr>
        <w:t xml:space="preserve"> ir laukiami rezultatai</w:t>
      </w:r>
      <w:r w:rsidRPr="00DA23CD">
        <w:rPr>
          <w:b/>
          <w:bCs/>
          <w:sz w:val="24"/>
          <w:szCs w:val="24"/>
        </w:rPr>
        <w:t xml:space="preserve"> </w:t>
      </w:r>
    </w:p>
    <w:p w:rsidR="00C51919" w:rsidRPr="00DA23CD" w:rsidRDefault="00CD2930" w:rsidP="00F83733">
      <w:pPr>
        <w:jc w:val="both"/>
        <w:rPr>
          <w:color w:val="000000"/>
          <w:sz w:val="24"/>
          <w:szCs w:val="24"/>
        </w:rPr>
      </w:pPr>
      <w:r w:rsidRPr="00DA23CD">
        <w:rPr>
          <w:color w:val="000000"/>
          <w:spacing w:val="-3"/>
          <w:sz w:val="24"/>
          <w:szCs w:val="24"/>
        </w:rPr>
        <w:tab/>
      </w:r>
      <w:r w:rsidR="00C51919" w:rsidRPr="00DA23CD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DA23CD">
        <w:rPr>
          <w:sz w:val="24"/>
          <w:szCs w:val="24"/>
        </w:rPr>
        <w:t>s</w:t>
      </w:r>
      <w:r w:rsidR="00C51919" w:rsidRPr="00DA23CD">
        <w:rPr>
          <w:sz w:val="24"/>
          <w:szCs w:val="24"/>
        </w:rPr>
        <w:t xml:space="preserve">avivaldybė turtą įgyja </w:t>
      </w:r>
      <w:r w:rsidR="002C52F3" w:rsidRPr="00DA23CD">
        <w:rPr>
          <w:color w:val="000000"/>
          <w:sz w:val="24"/>
          <w:szCs w:val="24"/>
        </w:rPr>
        <w:t>S</w:t>
      </w:r>
      <w:r w:rsidR="00C51919" w:rsidRPr="00DA23CD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CB53FB" w:rsidRPr="00DA23CD">
        <w:rPr>
          <w:sz w:val="24"/>
          <w:szCs w:val="24"/>
        </w:rPr>
        <w:t xml:space="preserve">– </w:t>
      </w:r>
      <w:r w:rsidR="00F32621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color w:val="000000"/>
          <w:sz w:val="24"/>
          <w:szCs w:val="24"/>
        </w:rPr>
        <w:t xml:space="preserve"> – įgyvendinti</w:t>
      </w:r>
      <w:r w:rsidR="00FE0060">
        <w:rPr>
          <w:color w:val="000000"/>
          <w:sz w:val="24"/>
          <w:szCs w:val="24"/>
        </w:rPr>
        <w:t>.</w:t>
      </w:r>
    </w:p>
    <w:p w:rsidR="00C51919" w:rsidRPr="00DA23CD" w:rsidRDefault="00C51919" w:rsidP="00F83733">
      <w:pPr>
        <w:jc w:val="both"/>
        <w:rPr>
          <w:sz w:val="24"/>
          <w:szCs w:val="24"/>
        </w:rPr>
      </w:pPr>
      <w:r w:rsidRPr="00DA23CD">
        <w:rPr>
          <w:color w:val="000000"/>
          <w:sz w:val="24"/>
          <w:szCs w:val="24"/>
        </w:rPr>
        <w:tab/>
        <w:t xml:space="preserve">Valstybės turtas </w:t>
      </w:r>
      <w:r w:rsidRPr="00DA23CD">
        <w:rPr>
          <w:sz w:val="24"/>
          <w:szCs w:val="24"/>
        </w:rPr>
        <w:t>savivaldybės nuosavybėn bus perduodamas Savivaldybės taryb</w:t>
      </w:r>
      <w:r w:rsidR="001D6A82" w:rsidRPr="00DA23CD">
        <w:rPr>
          <w:sz w:val="24"/>
          <w:szCs w:val="24"/>
        </w:rPr>
        <w:t>ai</w:t>
      </w:r>
      <w:r w:rsidRPr="00DA23CD">
        <w:rPr>
          <w:sz w:val="24"/>
          <w:szCs w:val="24"/>
        </w:rPr>
        <w:t xml:space="preserve"> </w:t>
      </w:r>
      <w:r w:rsidR="001D6A82" w:rsidRPr="00DA23CD">
        <w:rPr>
          <w:sz w:val="24"/>
          <w:szCs w:val="24"/>
        </w:rPr>
        <w:t xml:space="preserve">priėmus </w:t>
      </w:r>
      <w:r w:rsidRPr="00DA23CD">
        <w:rPr>
          <w:sz w:val="24"/>
          <w:szCs w:val="24"/>
        </w:rPr>
        <w:t>sprendim</w:t>
      </w:r>
      <w:r w:rsidR="001D6A82" w:rsidRPr="00DA23CD">
        <w:rPr>
          <w:sz w:val="24"/>
          <w:szCs w:val="24"/>
        </w:rPr>
        <w:t>ą</w:t>
      </w:r>
      <w:r w:rsidRPr="00DA23CD">
        <w:rPr>
          <w:sz w:val="24"/>
          <w:szCs w:val="24"/>
        </w:rPr>
        <w:t xml:space="preserve">. </w:t>
      </w:r>
    </w:p>
    <w:p w:rsidR="001C678E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ab/>
      </w:r>
      <w:r w:rsidR="00F32621" w:rsidRPr="00DA23CD">
        <w:rPr>
          <w:sz w:val="24"/>
          <w:szCs w:val="24"/>
        </w:rPr>
        <w:t>Panevėžio apskrities  Gabrielės Petkevičaitės-Bitės viešoji bibliotek</w:t>
      </w:r>
      <w:r w:rsidR="004A6B54" w:rsidRPr="00DA23CD">
        <w:rPr>
          <w:sz w:val="24"/>
          <w:szCs w:val="24"/>
        </w:rPr>
        <w:t>a</w:t>
      </w:r>
      <w:r w:rsidR="00F32621" w:rsidRPr="00DA23CD">
        <w:rPr>
          <w:sz w:val="24"/>
          <w:szCs w:val="24"/>
        </w:rPr>
        <w:t xml:space="preserve"> įgyvendina </w:t>
      </w:r>
      <w:r w:rsidR="00DA23CD">
        <w:rPr>
          <w:sz w:val="24"/>
          <w:szCs w:val="24"/>
        </w:rPr>
        <w:t xml:space="preserve">                 </w:t>
      </w:r>
      <w:r w:rsidR="00F32621" w:rsidRPr="00DA23CD">
        <w:rPr>
          <w:sz w:val="24"/>
          <w:szCs w:val="24"/>
        </w:rPr>
        <w:t>2021</w:t>
      </w:r>
      <w:r w:rsidR="00DA23CD">
        <w:rPr>
          <w:sz w:val="24"/>
          <w:szCs w:val="24"/>
        </w:rPr>
        <w:t>–</w:t>
      </w:r>
      <w:r w:rsidR="00F32621" w:rsidRPr="00DA23CD">
        <w:rPr>
          <w:sz w:val="24"/>
          <w:szCs w:val="24"/>
        </w:rPr>
        <w:t>2030 metų Lie</w:t>
      </w:r>
      <w:r w:rsidR="004A6B54" w:rsidRPr="00DA23CD">
        <w:rPr>
          <w:sz w:val="24"/>
          <w:szCs w:val="24"/>
        </w:rPr>
        <w:t>t</w:t>
      </w:r>
      <w:r w:rsidR="00F32621" w:rsidRPr="00DA23CD">
        <w:rPr>
          <w:sz w:val="24"/>
          <w:szCs w:val="24"/>
        </w:rPr>
        <w:t>uvos Respublikos kultūros ministerijos kultūros ir kūrybingumo plėtros programos pažangos priemonės Nr. 08-001-04-01-01 (PP) „Aukštos meninės vertės, įvairaus ir įtraukaus kultū</w:t>
      </w:r>
      <w:r w:rsidR="00183417" w:rsidRPr="00DA23CD">
        <w:rPr>
          <w:sz w:val="24"/>
          <w:szCs w:val="24"/>
        </w:rPr>
        <w:t>r</w:t>
      </w:r>
      <w:r w:rsidR="00F32621" w:rsidRPr="00DA23CD">
        <w:rPr>
          <w:sz w:val="24"/>
          <w:szCs w:val="24"/>
        </w:rPr>
        <w:t>os turinio prieinamumo didinimas“ veiklą 4.1.1.6 „Keitimasis knygomis tarp bibliotekų“</w:t>
      </w:r>
      <w:r w:rsidR="00183417" w:rsidRPr="00DA23CD">
        <w:rPr>
          <w:sz w:val="24"/>
          <w:szCs w:val="24"/>
        </w:rPr>
        <w:t xml:space="preserve"> </w:t>
      </w:r>
      <w:r w:rsidR="004A6B54" w:rsidRPr="00DA23CD">
        <w:rPr>
          <w:sz w:val="24"/>
          <w:szCs w:val="24"/>
        </w:rPr>
        <w:t xml:space="preserve">(1 </w:t>
      </w:r>
      <w:r w:rsidR="00CB53FB" w:rsidRPr="00DA23CD">
        <w:rPr>
          <w:sz w:val="24"/>
          <w:szCs w:val="24"/>
        </w:rPr>
        <w:t>priedas</w:t>
      </w:r>
      <w:r w:rsidR="004A6B54" w:rsidRPr="00DA23CD">
        <w:rPr>
          <w:sz w:val="24"/>
          <w:szCs w:val="24"/>
        </w:rPr>
        <w:t xml:space="preserve">) ir projektą </w:t>
      </w:r>
      <w:bookmarkStart w:id="1" w:name="_Hlk133917374"/>
      <w:r w:rsidR="004A6B54" w:rsidRPr="00DA23CD">
        <w:rPr>
          <w:sz w:val="24"/>
          <w:szCs w:val="24"/>
        </w:rPr>
        <w:t>„Inovatyvūs Lietuvos</w:t>
      </w:r>
      <w:r w:rsidR="00183417" w:rsidRPr="00DA23CD">
        <w:rPr>
          <w:sz w:val="24"/>
          <w:szCs w:val="24"/>
        </w:rPr>
        <w:t xml:space="preserve"> bibliotekų skaitymo skatinimo sprendimai vaikų ir jaunimo socialinių santykių kūrimui su aplinka“, </w:t>
      </w:r>
      <w:bookmarkEnd w:id="1"/>
      <w:r w:rsidR="00183417" w:rsidRPr="00DA23CD">
        <w:rPr>
          <w:sz w:val="24"/>
          <w:szCs w:val="24"/>
        </w:rPr>
        <w:t>kuris finansuojamas 2014</w:t>
      </w:r>
      <w:r w:rsidR="00DA23CD">
        <w:rPr>
          <w:sz w:val="24"/>
          <w:szCs w:val="24"/>
        </w:rPr>
        <w:t>–</w:t>
      </w:r>
      <w:r w:rsidR="00183417" w:rsidRPr="00DA23CD">
        <w:rPr>
          <w:sz w:val="24"/>
          <w:szCs w:val="24"/>
        </w:rPr>
        <w:t xml:space="preserve">2021 m. Europos ekonominės erdvės finansinio mechanizmo priemonės „Kultūros prieinamumo plėtojimas ir kultūrinio švietimo stiprinimas“ lėšomis (2 </w:t>
      </w:r>
      <w:r w:rsidR="00CB53FB" w:rsidRPr="00DA23CD">
        <w:rPr>
          <w:sz w:val="24"/>
          <w:szCs w:val="24"/>
        </w:rPr>
        <w:t>priedas</w:t>
      </w:r>
      <w:r w:rsidR="00183417" w:rsidRPr="00DA23CD">
        <w:rPr>
          <w:sz w:val="24"/>
          <w:szCs w:val="24"/>
        </w:rPr>
        <w:t xml:space="preserve">). Perėmus savivaldybės nuosavybėn turtą, jis bus perduotas Panevėžio rajono savivaldybės viešajai bibliotekai </w:t>
      </w:r>
      <w:r w:rsidR="001C678E" w:rsidRPr="00DA23CD">
        <w:rPr>
          <w:sz w:val="24"/>
          <w:szCs w:val="24"/>
        </w:rPr>
        <w:t>a</w:t>
      </w:r>
      <w:r w:rsidR="00DA23CD">
        <w:rPr>
          <w:sz w:val="24"/>
          <w:szCs w:val="24"/>
        </w:rPr>
        <w:t>nks</w:t>
      </w:r>
      <w:r w:rsidR="001C678E" w:rsidRPr="00DA23CD">
        <w:rPr>
          <w:sz w:val="24"/>
          <w:szCs w:val="24"/>
        </w:rPr>
        <w:t>čiau minėtoms veikloms vykdyti.</w:t>
      </w:r>
    </w:p>
    <w:p w:rsidR="00CD2930" w:rsidRPr="00DA23CD" w:rsidRDefault="003E2BCB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bCs/>
          <w:color w:val="000000"/>
          <w:spacing w:val="-3"/>
          <w:sz w:val="24"/>
          <w:szCs w:val="24"/>
        </w:rPr>
        <w:t>3</w:t>
      </w:r>
      <w:r w:rsidR="00CD2930" w:rsidRPr="00DA23CD">
        <w:rPr>
          <w:b/>
          <w:bCs/>
          <w:color w:val="000000"/>
          <w:spacing w:val="-3"/>
          <w:sz w:val="24"/>
          <w:szCs w:val="24"/>
        </w:rPr>
        <w:t>.</w:t>
      </w:r>
      <w:r w:rsidR="00CD2930" w:rsidRPr="00DA23CD">
        <w:rPr>
          <w:color w:val="000000"/>
          <w:spacing w:val="-3"/>
          <w:sz w:val="24"/>
          <w:szCs w:val="24"/>
        </w:rPr>
        <w:t xml:space="preserve"> </w:t>
      </w:r>
      <w:r w:rsidR="00CD2930" w:rsidRPr="00DA23CD">
        <w:rPr>
          <w:b/>
          <w:sz w:val="24"/>
          <w:szCs w:val="24"/>
        </w:rPr>
        <w:t>Lėšų poreikis ir šaltiniai</w:t>
      </w:r>
    </w:p>
    <w:p w:rsidR="00CD2930" w:rsidRPr="00DA23CD" w:rsidRDefault="005630DD" w:rsidP="00DA23CD">
      <w:pPr>
        <w:ind w:firstLine="720"/>
        <w:jc w:val="both"/>
        <w:rPr>
          <w:sz w:val="24"/>
          <w:szCs w:val="24"/>
        </w:rPr>
      </w:pPr>
      <w:r w:rsidRPr="00DA23CD">
        <w:rPr>
          <w:bCs/>
          <w:color w:val="000000"/>
          <w:spacing w:val="-3"/>
          <w:sz w:val="24"/>
          <w:szCs w:val="24"/>
        </w:rPr>
        <w:t>Panevėžio rajono savivaldybės viešoji biblioteka, gavusi projekto Nr. LT04-1-KM-K01-019</w:t>
      </w:r>
      <w:r w:rsidR="00DA23CD">
        <w:rPr>
          <w:bCs/>
          <w:color w:val="000000"/>
          <w:spacing w:val="-3"/>
          <w:sz w:val="24"/>
          <w:szCs w:val="24"/>
        </w:rPr>
        <w:t xml:space="preserve"> </w:t>
      </w:r>
      <w:r w:rsidRPr="00DA23CD">
        <w:rPr>
          <w:bCs/>
          <w:sz w:val="24"/>
          <w:szCs w:val="24"/>
        </w:rPr>
        <w:t xml:space="preserve">„Inovatyvūs Lietuvos bibliotekų skaitymo skatinimo sprendimai vaikų ir jaunimo socialinių </w:t>
      </w:r>
      <w:r w:rsidRPr="00DA23CD">
        <w:rPr>
          <w:sz w:val="24"/>
          <w:szCs w:val="24"/>
        </w:rPr>
        <w:t xml:space="preserve">santykių kūrimui su aplinka“ ilgalaikį turtą </w:t>
      </w:r>
      <w:r w:rsidR="00DA23CD">
        <w:rPr>
          <w:sz w:val="24"/>
          <w:szCs w:val="24"/>
        </w:rPr>
        <w:t xml:space="preserve">– </w:t>
      </w:r>
      <w:r w:rsidRPr="00DA23CD">
        <w:rPr>
          <w:sz w:val="24"/>
          <w:szCs w:val="24"/>
        </w:rPr>
        <w:t>knygų išdavimo-grąžinimo paštomatą, privalės jį apdrausti ir užtikrinti jo priežiūrą visą projekto vykdymo tęstinumo laikotarpį</w:t>
      </w:r>
      <w:r w:rsidR="00DA23CD">
        <w:rPr>
          <w:sz w:val="24"/>
          <w:szCs w:val="24"/>
        </w:rPr>
        <w:t>,</w:t>
      </w:r>
      <w:r w:rsidRPr="00DA23CD">
        <w:rPr>
          <w:sz w:val="24"/>
          <w:szCs w:val="24"/>
        </w:rPr>
        <w:t xml:space="preserve"> t.</w:t>
      </w:r>
      <w:r w:rsidR="00F83733"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y. nuo 2024-01-01 iki </w:t>
      </w:r>
      <w:r w:rsidR="00DA23CD">
        <w:rPr>
          <w:sz w:val="24"/>
          <w:szCs w:val="24"/>
        </w:rPr>
        <w:t xml:space="preserve">              </w:t>
      </w:r>
      <w:r w:rsidRPr="00DA23CD">
        <w:rPr>
          <w:sz w:val="24"/>
          <w:szCs w:val="24"/>
        </w:rPr>
        <w:t xml:space="preserve">2028-12-31. </w:t>
      </w:r>
    </w:p>
    <w:p w:rsidR="00CD2930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b/>
          <w:color w:val="000000"/>
          <w:sz w:val="24"/>
          <w:szCs w:val="24"/>
        </w:rPr>
        <w:tab/>
      </w:r>
      <w:r w:rsidR="003E2BCB" w:rsidRPr="00DA23CD">
        <w:rPr>
          <w:b/>
          <w:color w:val="000000"/>
          <w:sz w:val="24"/>
          <w:szCs w:val="24"/>
        </w:rPr>
        <w:t>4</w:t>
      </w:r>
      <w:r w:rsidRPr="00DA23CD">
        <w:rPr>
          <w:b/>
          <w:bCs/>
          <w:sz w:val="24"/>
          <w:szCs w:val="24"/>
        </w:rPr>
        <w:t>. Kiti reikalingi pagrindimai, skaičiavimai</w:t>
      </w:r>
      <w:r w:rsidR="003E2BCB" w:rsidRPr="00DA23CD">
        <w:rPr>
          <w:b/>
          <w:bCs/>
          <w:sz w:val="24"/>
          <w:szCs w:val="24"/>
        </w:rPr>
        <w:t xml:space="preserve"> ar </w:t>
      </w:r>
      <w:r w:rsidRPr="00DA23CD">
        <w:rPr>
          <w:b/>
          <w:bCs/>
          <w:sz w:val="24"/>
          <w:szCs w:val="24"/>
        </w:rPr>
        <w:t>paaiškinimai</w:t>
      </w:r>
    </w:p>
    <w:p w:rsidR="00CD2930" w:rsidRPr="00DA23CD" w:rsidRDefault="00CD2930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Nėra.</w:t>
      </w:r>
    </w:p>
    <w:p w:rsidR="005A3BBD" w:rsidRPr="00DA23CD" w:rsidRDefault="005A3BBD" w:rsidP="00F83733">
      <w:pPr>
        <w:jc w:val="both"/>
        <w:rPr>
          <w:sz w:val="24"/>
          <w:szCs w:val="24"/>
        </w:rPr>
      </w:pPr>
    </w:p>
    <w:p w:rsidR="00E20E1B" w:rsidRPr="00DA23CD" w:rsidRDefault="005A3BBD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>Vyr. specialistė</w:t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  <w:t>Jadvyga Balčienė</w:t>
      </w:r>
    </w:p>
    <w:sectPr w:rsidR="00E20E1B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4D40" w:rsidRDefault="00544D40">
      <w:r>
        <w:separator/>
      </w:r>
    </w:p>
  </w:endnote>
  <w:endnote w:type="continuationSeparator" w:id="0">
    <w:p w:rsidR="00544D40" w:rsidRDefault="005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4D40" w:rsidRDefault="00544D40">
      <w:r>
        <w:separator/>
      </w:r>
    </w:p>
  </w:footnote>
  <w:footnote w:type="continuationSeparator" w:id="0">
    <w:p w:rsidR="00544D40" w:rsidRDefault="0054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72E97"/>
    <w:rsid w:val="00183417"/>
    <w:rsid w:val="001C678E"/>
    <w:rsid w:val="001D6A82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5D94"/>
    <w:rsid w:val="00592B18"/>
    <w:rsid w:val="005A3BBD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F57A5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A417E5"/>
    <w:rsid w:val="00A77792"/>
    <w:rsid w:val="00AE73A6"/>
    <w:rsid w:val="00AF68C8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E4BF2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753EF6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78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4507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2023-05-03T05:02:00Z</cp:lastPrinted>
  <dcterms:created xsi:type="dcterms:W3CDTF">2023-05-03T05:04:00Z</dcterms:created>
  <dcterms:modified xsi:type="dcterms:W3CDTF">2023-05-04T13:34:00Z</dcterms:modified>
</cp:coreProperties>
</file>