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FAC6B0" w14:textId="77777777" w:rsidR="005A3BBD" w:rsidRPr="00DA23CD" w:rsidRDefault="00777023">
      <w:pPr>
        <w:pStyle w:val="Antrats"/>
        <w:jc w:val="center"/>
        <w:rPr>
          <w:b/>
          <w:bCs/>
          <w:sz w:val="24"/>
          <w:szCs w:val="24"/>
        </w:rPr>
      </w:pPr>
      <w:r>
        <w:pict w14:anchorId="3444F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7DA52560" w14:textId="77777777"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  <w:t>Projektas</w:t>
      </w:r>
    </w:p>
    <w:p w14:paraId="4397D31A" w14:textId="77777777"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14:paraId="328A76C5" w14:textId="77777777" w:rsidR="005A3BBD" w:rsidRPr="00DA23CD" w:rsidRDefault="005A3BBD">
      <w:pPr>
        <w:pStyle w:val="Antrats"/>
        <w:jc w:val="center"/>
        <w:rPr>
          <w:sz w:val="28"/>
        </w:rPr>
      </w:pPr>
    </w:p>
    <w:p w14:paraId="04FB33BE" w14:textId="77777777"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14:paraId="33FCC123" w14:textId="3BE1E7EE"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bookmarkStart w:id="0" w:name="_Hlk140131531"/>
      <w:r w:rsidRPr="00DA23CD">
        <w:rPr>
          <w:b/>
          <w:sz w:val="24"/>
          <w:szCs w:val="24"/>
        </w:rPr>
        <w:t xml:space="preserve">DĖL </w:t>
      </w:r>
      <w:r w:rsidR="002F2D59">
        <w:rPr>
          <w:b/>
          <w:sz w:val="24"/>
          <w:szCs w:val="24"/>
        </w:rPr>
        <w:t xml:space="preserve">TRUMPALAIKIO </w:t>
      </w:r>
      <w:r w:rsidRPr="00DA23CD">
        <w:rPr>
          <w:b/>
          <w:sz w:val="24"/>
          <w:szCs w:val="24"/>
        </w:rPr>
        <w:t>TURTO PERĖMIMO SAVIVALDYBĖS NUOSAVYBĖN IR JO PERDAVIMO VALDYTI, NAUDOTI IR DISPONUOTI JUO PATIKĖJIMO TEISE</w:t>
      </w:r>
    </w:p>
    <w:bookmarkEnd w:id="0"/>
    <w:p w14:paraId="028A2FA3" w14:textId="77777777" w:rsidR="005A3BBD" w:rsidRPr="00DA23CD" w:rsidRDefault="005A3BBD">
      <w:pPr>
        <w:jc w:val="center"/>
        <w:rPr>
          <w:sz w:val="24"/>
          <w:szCs w:val="24"/>
        </w:rPr>
      </w:pPr>
    </w:p>
    <w:p w14:paraId="0A52447A" w14:textId="643E11D8"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CB2534" w:rsidRPr="00DA23CD">
        <w:rPr>
          <w:sz w:val="24"/>
          <w:szCs w:val="24"/>
        </w:rPr>
        <w:t>3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A71C76">
        <w:rPr>
          <w:sz w:val="24"/>
          <w:szCs w:val="24"/>
        </w:rPr>
        <w:t xml:space="preserve">rugpjūčio 29 </w:t>
      </w:r>
      <w:r w:rsidRPr="00DA23CD">
        <w:rPr>
          <w:sz w:val="24"/>
          <w:szCs w:val="24"/>
        </w:rPr>
        <w:t>d. Nr. T-</w:t>
      </w:r>
    </w:p>
    <w:p w14:paraId="1119C202" w14:textId="77777777"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24348E5A" w14:textId="77777777" w:rsidR="005A3BBD" w:rsidRPr="00DA23CD" w:rsidRDefault="005A3BBD">
      <w:pPr>
        <w:rPr>
          <w:sz w:val="24"/>
          <w:szCs w:val="24"/>
        </w:rPr>
      </w:pPr>
    </w:p>
    <w:p w14:paraId="0F45CFCD" w14:textId="25A5BA38" w:rsidR="005A3BBD" w:rsidRPr="00DA23C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Vadovaudamasi Lietuvos Respublikos vietos savivaldos įstatymo 6</w:t>
      </w:r>
      <w:r w:rsidR="00625882" w:rsidRPr="00DA23CD">
        <w:rPr>
          <w:sz w:val="24"/>
          <w:szCs w:val="24"/>
        </w:rPr>
        <w:t xml:space="preserve"> straipsnio </w:t>
      </w:r>
      <w:r w:rsidR="002F2D59">
        <w:rPr>
          <w:sz w:val="24"/>
          <w:szCs w:val="24"/>
        </w:rPr>
        <w:t>5 ir 6</w:t>
      </w:r>
      <w:r w:rsidR="00A71C76">
        <w:rPr>
          <w:sz w:val="24"/>
          <w:szCs w:val="24"/>
        </w:rPr>
        <w:t xml:space="preserve"> </w:t>
      </w:r>
      <w:r w:rsidR="007A26FD" w:rsidRPr="00DA23CD">
        <w:rPr>
          <w:sz w:val="24"/>
          <w:szCs w:val="24"/>
        </w:rPr>
        <w:t>p</w:t>
      </w:r>
      <w:r w:rsidRPr="00DA23CD">
        <w:rPr>
          <w:sz w:val="24"/>
          <w:szCs w:val="24"/>
        </w:rPr>
        <w:t>unkt</w:t>
      </w:r>
      <w:r w:rsidR="00A71C76">
        <w:rPr>
          <w:sz w:val="24"/>
          <w:szCs w:val="24"/>
        </w:rPr>
        <w:t>ais</w:t>
      </w:r>
      <w:r w:rsidRPr="00DA23CD">
        <w:rPr>
          <w:sz w:val="24"/>
          <w:szCs w:val="24"/>
        </w:rPr>
        <w:t xml:space="preserve">, Lietuvos Respublikos valstybės ir savivaldybių turto valdymo, naudojimo ir disponavimo juo įstatymo 6 straipsnio 2 punktu ir </w:t>
      </w:r>
      <w:r w:rsidR="002F2D59">
        <w:rPr>
          <w:sz w:val="24"/>
          <w:szCs w:val="24"/>
        </w:rPr>
        <w:t xml:space="preserve"> 20 straipsnio 1 dalies 4 punktu bei </w:t>
      </w:r>
      <w:r w:rsidRPr="00DA23CD">
        <w:rPr>
          <w:sz w:val="24"/>
          <w:szCs w:val="24"/>
        </w:rPr>
        <w:t xml:space="preserve">atsižvelgdama </w:t>
      </w:r>
      <w:bookmarkStart w:id="1" w:name="_Hlk140064203"/>
      <w:r w:rsidRPr="00DA23CD">
        <w:rPr>
          <w:sz w:val="24"/>
          <w:szCs w:val="24"/>
        </w:rPr>
        <w:t xml:space="preserve">į </w:t>
      </w:r>
      <w:bookmarkStart w:id="2" w:name="_Hlk140049297"/>
      <w:r w:rsidR="002F2D59">
        <w:rPr>
          <w:sz w:val="24"/>
          <w:szCs w:val="24"/>
        </w:rPr>
        <w:t>Nacionalin</w:t>
      </w:r>
      <w:r w:rsidR="009342BE">
        <w:rPr>
          <w:sz w:val="24"/>
          <w:szCs w:val="24"/>
        </w:rPr>
        <w:t>ė</w:t>
      </w:r>
      <w:r w:rsidR="002F2D59">
        <w:rPr>
          <w:sz w:val="24"/>
          <w:szCs w:val="24"/>
        </w:rPr>
        <w:t xml:space="preserve">s </w:t>
      </w:r>
      <w:r w:rsidR="005A6842">
        <w:rPr>
          <w:sz w:val="24"/>
          <w:szCs w:val="24"/>
        </w:rPr>
        <w:t>š</w:t>
      </w:r>
      <w:r w:rsidR="002F2D59">
        <w:rPr>
          <w:sz w:val="24"/>
          <w:szCs w:val="24"/>
        </w:rPr>
        <w:t>vietimo agent</w:t>
      </w:r>
      <w:r w:rsidR="005A6842">
        <w:rPr>
          <w:sz w:val="24"/>
          <w:szCs w:val="24"/>
        </w:rPr>
        <w:t>ū</w:t>
      </w:r>
      <w:r w:rsidR="002F2D59">
        <w:rPr>
          <w:sz w:val="24"/>
          <w:szCs w:val="24"/>
        </w:rPr>
        <w:t>ros 2023 m. birželio 14 d. raštą Nr. SD-1873(1.6)E</w:t>
      </w:r>
      <w:bookmarkEnd w:id="1"/>
      <w:bookmarkEnd w:id="2"/>
      <w:r w:rsidR="002F2D59">
        <w:rPr>
          <w:sz w:val="24"/>
          <w:szCs w:val="24"/>
        </w:rPr>
        <w:t xml:space="preserve"> </w:t>
      </w:r>
      <w:r w:rsidR="00F659AC" w:rsidRPr="00DA23CD">
        <w:rPr>
          <w:sz w:val="24"/>
          <w:szCs w:val="24"/>
        </w:rPr>
        <w:t>„Dėl</w:t>
      </w:r>
      <w:r w:rsidR="00A71C76">
        <w:rPr>
          <w:sz w:val="24"/>
          <w:szCs w:val="24"/>
        </w:rPr>
        <w:t xml:space="preserve"> </w:t>
      </w:r>
      <w:r w:rsidR="00F7410B">
        <w:rPr>
          <w:sz w:val="24"/>
          <w:szCs w:val="24"/>
        </w:rPr>
        <w:t>trumpalaikio turto perėmimo savivaldybės nuosavybėn ir jo perdavimo valdyti, naudoti ir disponuoti juo patikėjimo teise</w:t>
      </w:r>
      <w:r w:rsidR="00E57A72" w:rsidRPr="00DA23CD">
        <w:rPr>
          <w:sz w:val="24"/>
          <w:szCs w:val="24"/>
        </w:rPr>
        <w:t>“</w:t>
      </w:r>
      <w:r w:rsidRPr="00DA23CD">
        <w:rPr>
          <w:sz w:val="24"/>
          <w:szCs w:val="24"/>
        </w:rPr>
        <w:t xml:space="preserve">, Savivaldybės taryba </w:t>
      </w:r>
      <w:r w:rsidRPr="00DA23CD">
        <w:rPr>
          <w:spacing w:val="60"/>
          <w:sz w:val="24"/>
          <w:szCs w:val="24"/>
        </w:rPr>
        <w:t>nusprendži</w:t>
      </w:r>
      <w:r w:rsidRPr="00DA23CD">
        <w:rPr>
          <w:sz w:val="24"/>
          <w:szCs w:val="24"/>
        </w:rPr>
        <w:t>a:</w:t>
      </w:r>
    </w:p>
    <w:p w14:paraId="0441B70B" w14:textId="60610A10" w:rsidR="005A3BB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1. </w:t>
      </w:r>
      <w:r w:rsidR="00F659AC" w:rsidRPr="00DA23CD">
        <w:rPr>
          <w:sz w:val="24"/>
          <w:szCs w:val="24"/>
        </w:rPr>
        <w:t>Sutikti p</w:t>
      </w:r>
      <w:r w:rsidRPr="00DA23CD">
        <w:rPr>
          <w:sz w:val="24"/>
          <w:szCs w:val="24"/>
        </w:rPr>
        <w:t>erimti Panevėžio rajono savivaldybės nuosavybėn</w:t>
      </w:r>
      <w:r w:rsidR="00247F63">
        <w:rPr>
          <w:sz w:val="24"/>
          <w:szCs w:val="24"/>
        </w:rPr>
        <w:t xml:space="preserve"> Nacionalinės švietimo agentūros patikėjimo teise valdomą toliau lentelėje pateikiamą valstybės trumpalaikį turtą</w:t>
      </w:r>
      <w:r w:rsidR="00574CF1">
        <w:rPr>
          <w:sz w:val="24"/>
          <w:szCs w:val="24"/>
        </w:rPr>
        <w:t>: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418"/>
        <w:gridCol w:w="992"/>
        <w:gridCol w:w="1134"/>
        <w:gridCol w:w="1276"/>
        <w:gridCol w:w="1269"/>
      </w:tblGrid>
      <w:tr w:rsidR="00777023" w:rsidRPr="00522025" w14:paraId="5CAFA466" w14:textId="77777777" w:rsidTr="00777023">
        <w:trPr>
          <w:trHeight w:val="571"/>
        </w:trPr>
        <w:tc>
          <w:tcPr>
            <w:tcW w:w="709" w:type="dxa"/>
          </w:tcPr>
          <w:p w14:paraId="6452A77A" w14:textId="1889101F" w:rsidR="00777023" w:rsidRPr="00522025" w:rsidRDefault="00777023" w:rsidP="007770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835" w:type="dxa"/>
            <w:vAlign w:val="center"/>
          </w:tcPr>
          <w:p w14:paraId="2BAAAC2C" w14:textId="1BBE085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b/>
                <w:sz w:val="24"/>
                <w:szCs w:val="24"/>
              </w:rPr>
              <w:t>Turto pavadinimas</w:t>
            </w:r>
          </w:p>
        </w:tc>
        <w:tc>
          <w:tcPr>
            <w:tcW w:w="1418" w:type="dxa"/>
            <w:vAlign w:val="center"/>
          </w:tcPr>
          <w:p w14:paraId="06CB6ADB" w14:textId="0714AE8E" w:rsidR="00777023" w:rsidRDefault="00777023" w:rsidP="003F4497">
            <w:pPr>
              <w:jc w:val="center"/>
              <w:rPr>
                <w:b/>
                <w:sz w:val="24"/>
                <w:szCs w:val="24"/>
              </w:rPr>
            </w:pPr>
            <w:r w:rsidRPr="00522025">
              <w:rPr>
                <w:b/>
                <w:sz w:val="24"/>
                <w:szCs w:val="24"/>
              </w:rPr>
              <w:t>Inv</w:t>
            </w:r>
            <w:r>
              <w:rPr>
                <w:b/>
                <w:sz w:val="24"/>
                <w:szCs w:val="24"/>
              </w:rPr>
              <w:t>ento-rinis</w:t>
            </w:r>
          </w:p>
          <w:p w14:paraId="4D9BDF5D" w14:textId="3E776E33" w:rsidR="00777023" w:rsidRPr="00522025" w:rsidRDefault="00777023" w:rsidP="003F4497">
            <w:pPr>
              <w:jc w:val="center"/>
              <w:rPr>
                <w:b/>
                <w:sz w:val="24"/>
                <w:szCs w:val="24"/>
              </w:rPr>
            </w:pPr>
            <w:r w:rsidRPr="00522025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992" w:type="dxa"/>
            <w:vAlign w:val="center"/>
          </w:tcPr>
          <w:p w14:paraId="6FD4C248" w14:textId="77777777" w:rsidR="00777023" w:rsidRPr="00522025" w:rsidRDefault="00777023" w:rsidP="003F4497">
            <w:pPr>
              <w:jc w:val="center"/>
              <w:rPr>
                <w:b/>
                <w:sz w:val="24"/>
                <w:szCs w:val="24"/>
              </w:rPr>
            </w:pPr>
            <w:r w:rsidRPr="00522025">
              <w:rPr>
                <w:b/>
                <w:sz w:val="24"/>
                <w:szCs w:val="24"/>
              </w:rPr>
              <w:t>Kiekis, vnt.</w:t>
            </w:r>
          </w:p>
        </w:tc>
        <w:tc>
          <w:tcPr>
            <w:tcW w:w="1134" w:type="dxa"/>
            <w:vAlign w:val="center"/>
          </w:tcPr>
          <w:p w14:paraId="502E39A5" w14:textId="0C496005" w:rsidR="00777023" w:rsidRPr="00522025" w:rsidRDefault="00777023" w:rsidP="003F4497">
            <w:pPr>
              <w:jc w:val="center"/>
              <w:rPr>
                <w:b/>
                <w:sz w:val="24"/>
                <w:szCs w:val="24"/>
              </w:rPr>
            </w:pPr>
            <w:r w:rsidRPr="00522025">
              <w:rPr>
                <w:b/>
                <w:sz w:val="24"/>
                <w:szCs w:val="24"/>
              </w:rPr>
              <w:t>Įsig</w:t>
            </w:r>
            <w:r>
              <w:rPr>
                <w:b/>
                <w:sz w:val="24"/>
                <w:szCs w:val="24"/>
              </w:rPr>
              <w:t>i-jimo</w:t>
            </w:r>
            <w:r w:rsidRPr="00522025">
              <w:rPr>
                <w:b/>
                <w:sz w:val="24"/>
                <w:szCs w:val="24"/>
              </w:rPr>
              <w:t xml:space="preserve"> metai</w:t>
            </w:r>
          </w:p>
        </w:tc>
        <w:tc>
          <w:tcPr>
            <w:tcW w:w="1276" w:type="dxa"/>
            <w:vAlign w:val="center"/>
          </w:tcPr>
          <w:p w14:paraId="18664197" w14:textId="77777777" w:rsidR="00777023" w:rsidRPr="00522025" w:rsidRDefault="00777023" w:rsidP="003F4497">
            <w:pPr>
              <w:jc w:val="center"/>
              <w:rPr>
                <w:b/>
                <w:sz w:val="24"/>
                <w:szCs w:val="24"/>
              </w:rPr>
            </w:pPr>
            <w:r w:rsidRPr="00522025">
              <w:rPr>
                <w:b/>
                <w:sz w:val="24"/>
                <w:szCs w:val="24"/>
              </w:rPr>
              <w:t>Vieneto įsigijimo vertė, Eur</w:t>
            </w:r>
          </w:p>
        </w:tc>
        <w:tc>
          <w:tcPr>
            <w:tcW w:w="1269" w:type="dxa"/>
            <w:vAlign w:val="center"/>
          </w:tcPr>
          <w:p w14:paraId="25EEFEBF" w14:textId="77777777" w:rsidR="00777023" w:rsidRPr="00522025" w:rsidRDefault="00777023" w:rsidP="003F4497">
            <w:pPr>
              <w:jc w:val="center"/>
              <w:rPr>
                <w:b/>
                <w:sz w:val="24"/>
                <w:szCs w:val="24"/>
              </w:rPr>
            </w:pPr>
            <w:r w:rsidRPr="00522025">
              <w:rPr>
                <w:b/>
                <w:sz w:val="24"/>
                <w:szCs w:val="24"/>
              </w:rPr>
              <w:t>Bendra įsigijimo vertė, Eur</w:t>
            </w:r>
          </w:p>
        </w:tc>
      </w:tr>
      <w:tr w:rsidR="00777023" w:rsidRPr="00522025" w14:paraId="260A911A" w14:textId="77777777" w:rsidTr="00777023">
        <w:trPr>
          <w:trHeight w:val="551"/>
        </w:trPr>
        <w:tc>
          <w:tcPr>
            <w:tcW w:w="709" w:type="dxa"/>
            <w:tcBorders>
              <w:bottom w:val="single" w:sz="4" w:space="0" w:color="auto"/>
            </w:tcBorders>
          </w:tcPr>
          <w:p w14:paraId="7B10E7DC" w14:textId="1AF6E061" w:rsidR="00777023" w:rsidRPr="00522025" w:rsidRDefault="00777023" w:rsidP="0077702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42D40A" w14:textId="51EFE429" w:rsidR="00777023" w:rsidRPr="00522025" w:rsidRDefault="00777023" w:rsidP="003F4497">
            <w:pPr>
              <w:pStyle w:val="Paprastas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025">
              <w:rPr>
                <w:rFonts w:ascii="Times New Roman" w:hAnsi="Times New Roman"/>
                <w:sz w:val="24"/>
                <w:szCs w:val="24"/>
              </w:rPr>
              <w:t>Planšetinis kompiuteris „Lenovo TAB M10“ (10.1", 1920x1200, 3GB/32GB, 7000 mAh, WLAN, „Bluetooth“, „Wi-Fi“) ir dėklas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CD6E8D" w14:textId="77777777" w:rsidR="00777023" w:rsidRPr="00522025" w:rsidRDefault="00777023" w:rsidP="003F4497">
            <w:pPr>
              <w:jc w:val="center"/>
              <w:rPr>
                <w:sz w:val="24"/>
                <w:szCs w:val="24"/>
                <w:lang w:eastAsia="lt-LT"/>
              </w:rPr>
            </w:pPr>
            <w:r w:rsidRPr="00522025">
              <w:rPr>
                <w:sz w:val="24"/>
                <w:szCs w:val="24"/>
              </w:rPr>
              <w:t>AT003536/596-605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171F25" w14:textId="77777777" w:rsidR="00777023" w:rsidRPr="00522025" w:rsidRDefault="00777023" w:rsidP="003F4497">
            <w:pPr>
              <w:jc w:val="center"/>
              <w:rPr>
                <w:sz w:val="24"/>
                <w:szCs w:val="24"/>
                <w:lang w:eastAsia="lt-LT"/>
              </w:rPr>
            </w:pPr>
            <w:r w:rsidRPr="0052202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12951A" w14:textId="77777777" w:rsidR="00777023" w:rsidRPr="00522025" w:rsidRDefault="00777023" w:rsidP="003F4497">
            <w:pPr>
              <w:jc w:val="center"/>
              <w:rPr>
                <w:noProof/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EEC4F0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180,14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5305F165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1801,40</w:t>
            </w:r>
          </w:p>
        </w:tc>
      </w:tr>
      <w:tr w:rsidR="00777023" w:rsidRPr="00522025" w14:paraId="6FAF5588" w14:textId="77777777" w:rsidTr="00777023">
        <w:trPr>
          <w:trHeight w:val="551"/>
        </w:trPr>
        <w:tc>
          <w:tcPr>
            <w:tcW w:w="709" w:type="dxa"/>
          </w:tcPr>
          <w:p w14:paraId="417373A7" w14:textId="0F899A61" w:rsidR="00777023" w:rsidRPr="00522025" w:rsidRDefault="00777023" w:rsidP="0077702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7E6D4B03" w14:textId="529BE37F" w:rsidR="00777023" w:rsidRPr="00522025" w:rsidRDefault="00777023" w:rsidP="003F4497">
            <w:pPr>
              <w:pStyle w:val="Paprastas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025">
              <w:rPr>
                <w:rFonts w:ascii="Times New Roman" w:hAnsi="Times New Roman"/>
                <w:sz w:val="24"/>
                <w:szCs w:val="24"/>
              </w:rPr>
              <w:t>Edukacinio roboto „Codey Rocky“ komplektas</w:t>
            </w:r>
          </w:p>
        </w:tc>
        <w:tc>
          <w:tcPr>
            <w:tcW w:w="1418" w:type="dxa"/>
            <w:shd w:val="clear" w:color="auto" w:fill="auto"/>
          </w:tcPr>
          <w:p w14:paraId="41E3B79D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AT003584/33-34</w:t>
            </w:r>
          </w:p>
        </w:tc>
        <w:tc>
          <w:tcPr>
            <w:tcW w:w="992" w:type="dxa"/>
          </w:tcPr>
          <w:p w14:paraId="5807CFE2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EBF06BD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14:paraId="4172613E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93,17</w:t>
            </w:r>
          </w:p>
        </w:tc>
        <w:tc>
          <w:tcPr>
            <w:tcW w:w="1269" w:type="dxa"/>
            <w:shd w:val="clear" w:color="auto" w:fill="auto"/>
          </w:tcPr>
          <w:p w14:paraId="5C096688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186,34</w:t>
            </w:r>
          </w:p>
        </w:tc>
      </w:tr>
      <w:tr w:rsidR="00777023" w:rsidRPr="00522025" w14:paraId="7EDB8E2D" w14:textId="77777777" w:rsidTr="00777023">
        <w:trPr>
          <w:trHeight w:val="551"/>
        </w:trPr>
        <w:tc>
          <w:tcPr>
            <w:tcW w:w="709" w:type="dxa"/>
          </w:tcPr>
          <w:p w14:paraId="00873C3E" w14:textId="2E047BEA" w:rsidR="00777023" w:rsidRPr="00522025" w:rsidRDefault="00777023" w:rsidP="0077702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3471325A" w14:textId="05289275" w:rsidR="00777023" w:rsidRPr="00522025" w:rsidRDefault="00777023" w:rsidP="003F4497">
            <w:pPr>
              <w:pStyle w:val="Paprastas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025">
              <w:rPr>
                <w:rFonts w:ascii="Times New Roman" w:hAnsi="Times New Roman"/>
                <w:sz w:val="24"/>
                <w:szCs w:val="24"/>
              </w:rPr>
              <w:t>Edukacinė interaktyvi ugdymo priemonė „Scottie Go!“</w:t>
            </w:r>
          </w:p>
        </w:tc>
        <w:tc>
          <w:tcPr>
            <w:tcW w:w="1418" w:type="dxa"/>
            <w:shd w:val="clear" w:color="auto" w:fill="auto"/>
          </w:tcPr>
          <w:p w14:paraId="75A5688E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AT003555/95-102</w:t>
            </w:r>
          </w:p>
        </w:tc>
        <w:tc>
          <w:tcPr>
            <w:tcW w:w="992" w:type="dxa"/>
          </w:tcPr>
          <w:p w14:paraId="65A902D3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FDE4095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14:paraId="2C604522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95,59</w:t>
            </w:r>
          </w:p>
        </w:tc>
        <w:tc>
          <w:tcPr>
            <w:tcW w:w="1269" w:type="dxa"/>
            <w:shd w:val="clear" w:color="auto" w:fill="auto"/>
          </w:tcPr>
          <w:p w14:paraId="0448FB41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764,72</w:t>
            </w:r>
          </w:p>
        </w:tc>
      </w:tr>
      <w:tr w:rsidR="00777023" w:rsidRPr="00522025" w14:paraId="779F3A93" w14:textId="77777777" w:rsidTr="00777023">
        <w:trPr>
          <w:trHeight w:val="551"/>
        </w:trPr>
        <w:tc>
          <w:tcPr>
            <w:tcW w:w="709" w:type="dxa"/>
          </w:tcPr>
          <w:p w14:paraId="3C38082A" w14:textId="4A635102" w:rsidR="00777023" w:rsidRPr="00522025" w:rsidRDefault="00777023" w:rsidP="00777023">
            <w:pPr>
              <w:pStyle w:val="Paprastasisteksta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47EA62F0" w14:textId="5F1ED0AB" w:rsidR="00777023" w:rsidRPr="00522025" w:rsidRDefault="00777023" w:rsidP="003F4497">
            <w:pPr>
              <w:pStyle w:val="Paprastas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025">
              <w:rPr>
                <w:rFonts w:ascii="Times New Roman" w:hAnsi="Times New Roman"/>
                <w:sz w:val="24"/>
                <w:szCs w:val="24"/>
              </w:rPr>
              <w:t>Edukacinių stalo žaidimų komplektas (9 vnt.)</w:t>
            </w:r>
          </w:p>
        </w:tc>
        <w:tc>
          <w:tcPr>
            <w:tcW w:w="1418" w:type="dxa"/>
            <w:shd w:val="clear" w:color="auto" w:fill="auto"/>
          </w:tcPr>
          <w:p w14:paraId="05E25E25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AT003606/30-32</w:t>
            </w:r>
          </w:p>
        </w:tc>
        <w:tc>
          <w:tcPr>
            <w:tcW w:w="992" w:type="dxa"/>
          </w:tcPr>
          <w:p w14:paraId="58425375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3889B2E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14:paraId="2AB5E7DD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81,07</w:t>
            </w:r>
          </w:p>
        </w:tc>
        <w:tc>
          <w:tcPr>
            <w:tcW w:w="1269" w:type="dxa"/>
            <w:shd w:val="clear" w:color="auto" w:fill="auto"/>
          </w:tcPr>
          <w:p w14:paraId="1F8CCCF3" w14:textId="77777777" w:rsidR="00777023" w:rsidRPr="00522025" w:rsidRDefault="00777023" w:rsidP="003F4497">
            <w:pPr>
              <w:jc w:val="center"/>
              <w:rPr>
                <w:sz w:val="24"/>
                <w:szCs w:val="24"/>
              </w:rPr>
            </w:pPr>
            <w:r w:rsidRPr="00522025">
              <w:rPr>
                <w:sz w:val="24"/>
                <w:szCs w:val="24"/>
              </w:rPr>
              <w:t>243,21</w:t>
            </w:r>
          </w:p>
        </w:tc>
      </w:tr>
      <w:tr w:rsidR="00777023" w:rsidRPr="00522025" w14:paraId="5BC57678" w14:textId="77777777" w:rsidTr="00777023">
        <w:trPr>
          <w:trHeight w:val="463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center"/>
          </w:tcPr>
          <w:p w14:paraId="3297115D" w14:textId="4C9E029B" w:rsidR="00777023" w:rsidRPr="00777023" w:rsidRDefault="00777023" w:rsidP="00777023">
            <w:pPr>
              <w:jc w:val="center"/>
              <w:rPr>
                <w:bCs/>
                <w:sz w:val="24"/>
                <w:szCs w:val="24"/>
              </w:rPr>
            </w:pPr>
            <w:r w:rsidRPr="00777023">
              <w:rPr>
                <w:bCs/>
                <w:sz w:val="24"/>
                <w:szCs w:val="24"/>
              </w:rPr>
              <w:t>Iš viso: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E61A65" w14:textId="125926B1" w:rsidR="00777023" w:rsidRPr="00777023" w:rsidRDefault="00777023" w:rsidP="00777023">
            <w:pPr>
              <w:jc w:val="center"/>
              <w:rPr>
                <w:bCs/>
                <w:sz w:val="24"/>
                <w:szCs w:val="24"/>
              </w:rPr>
            </w:pPr>
            <w:r w:rsidRPr="00777023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4D343F" w14:textId="012E0A54" w:rsidR="00777023" w:rsidRPr="00777023" w:rsidRDefault="00777023" w:rsidP="00777023">
            <w:pPr>
              <w:jc w:val="center"/>
              <w:rPr>
                <w:bCs/>
                <w:sz w:val="24"/>
                <w:szCs w:val="24"/>
              </w:rPr>
            </w:pPr>
            <w:r w:rsidRPr="00777023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17E39B" w14:textId="5E4EEA91" w:rsidR="00777023" w:rsidRPr="00777023" w:rsidRDefault="00777023" w:rsidP="00777023">
            <w:pPr>
              <w:jc w:val="center"/>
              <w:rPr>
                <w:bCs/>
                <w:sz w:val="24"/>
                <w:szCs w:val="24"/>
              </w:rPr>
            </w:pPr>
            <w:r w:rsidRPr="00777023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6881EF47" w14:textId="7914AC03" w:rsidR="00777023" w:rsidRPr="00777023" w:rsidRDefault="00777023" w:rsidP="00777023">
            <w:pPr>
              <w:jc w:val="center"/>
              <w:rPr>
                <w:bCs/>
                <w:sz w:val="24"/>
                <w:szCs w:val="24"/>
              </w:rPr>
            </w:pPr>
            <w:r w:rsidRPr="00777023">
              <w:rPr>
                <w:bCs/>
                <w:sz w:val="24"/>
                <w:szCs w:val="24"/>
              </w:rPr>
              <w:t>2 995,67</w:t>
            </w:r>
          </w:p>
        </w:tc>
      </w:tr>
    </w:tbl>
    <w:p w14:paraId="6817C85E" w14:textId="00A31639" w:rsidR="00CB2534" w:rsidRPr="00DA23CD" w:rsidRDefault="00CB2534" w:rsidP="00CB2534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2. </w:t>
      </w:r>
      <w:r w:rsidR="00A468A4">
        <w:rPr>
          <w:sz w:val="24"/>
          <w:szCs w:val="24"/>
        </w:rPr>
        <w:t xml:space="preserve">Perduoti </w:t>
      </w:r>
      <w:r w:rsidRPr="00DA23CD">
        <w:rPr>
          <w:sz w:val="24"/>
          <w:szCs w:val="24"/>
        </w:rPr>
        <w:t>sprendimo 1 punkte nurodytą turtą</w:t>
      </w:r>
      <w:r w:rsidR="00A468A4">
        <w:rPr>
          <w:sz w:val="24"/>
          <w:szCs w:val="24"/>
        </w:rPr>
        <w:t>, jį perėmus savivaldybės nuosavybėn,  Panevėžio r. Naujamiesčio mokyklai</w:t>
      </w:r>
      <w:r w:rsidRPr="00DA23CD">
        <w:rPr>
          <w:sz w:val="24"/>
          <w:szCs w:val="24"/>
        </w:rPr>
        <w:t xml:space="preserve"> valdyti, naudoti ir disponuoti juo patikėjimo teise.</w:t>
      </w:r>
    </w:p>
    <w:p w14:paraId="736EBC83" w14:textId="5B21712E" w:rsidR="00CB2534" w:rsidRPr="00DA23CD" w:rsidRDefault="00CB2534" w:rsidP="00DA23C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3.  Savivaldybės nuosavybėn  perduotas turtas bus naudojamas </w:t>
      </w:r>
      <w:r w:rsidR="00840F25">
        <w:rPr>
          <w:sz w:val="24"/>
          <w:szCs w:val="24"/>
        </w:rPr>
        <w:t xml:space="preserve"> diegti atnaujintą informatikos ugdymo turinį pradiniame ugdyme.</w:t>
      </w:r>
      <w:bookmarkStart w:id="3" w:name="_Hlk140063474"/>
    </w:p>
    <w:bookmarkEnd w:id="3"/>
    <w:p w14:paraId="7A42E792" w14:textId="1D74D71F" w:rsidR="00CB2534" w:rsidRPr="00DA23CD" w:rsidRDefault="00CB2534" w:rsidP="00CB2534">
      <w:pPr>
        <w:autoSpaceDE w:val="0"/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4. Įgalioti Panevėžio rajono savivaldybės administracijos Švietimo, kultūros ir sporto  skyriaus vedėją Algirdą Kęstutį Rimkų Panevėžio rajono savivaldybės vardu pasirašyti sprendimo     1</w:t>
      </w:r>
      <w:r w:rsidR="00840F25">
        <w:rPr>
          <w:sz w:val="24"/>
          <w:szCs w:val="24"/>
        </w:rPr>
        <w:t xml:space="preserve"> ir 2 </w:t>
      </w:r>
      <w:r w:rsidRPr="00DA23CD">
        <w:rPr>
          <w:sz w:val="24"/>
          <w:szCs w:val="24"/>
        </w:rPr>
        <w:t>punkt</w:t>
      </w:r>
      <w:r w:rsidR="00840F25">
        <w:rPr>
          <w:sz w:val="24"/>
          <w:szCs w:val="24"/>
        </w:rPr>
        <w:t>uose</w:t>
      </w:r>
      <w:r w:rsidRPr="00DA23CD">
        <w:rPr>
          <w:sz w:val="24"/>
          <w:szCs w:val="24"/>
        </w:rPr>
        <w:t xml:space="preserve"> nurodyto turto perdavimo–priėmimo akt</w:t>
      </w:r>
      <w:r w:rsidR="000E487F">
        <w:rPr>
          <w:sz w:val="24"/>
          <w:szCs w:val="24"/>
        </w:rPr>
        <w:t>us</w:t>
      </w:r>
      <w:r w:rsidRPr="00DA23CD">
        <w:rPr>
          <w:sz w:val="24"/>
          <w:szCs w:val="24"/>
        </w:rPr>
        <w:t>.</w:t>
      </w:r>
    </w:p>
    <w:p w14:paraId="73BAC126" w14:textId="77777777" w:rsidR="00CB2534" w:rsidRPr="00DA23CD" w:rsidRDefault="00CB2534" w:rsidP="00CB2534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5E90CB69" w14:textId="77777777" w:rsidR="005A3BBD" w:rsidRPr="00DA23CD" w:rsidRDefault="005A3BBD" w:rsidP="00CB2534">
      <w:pPr>
        <w:jc w:val="both"/>
        <w:rPr>
          <w:b/>
          <w:bCs/>
          <w:caps/>
          <w:color w:val="000000"/>
          <w:sz w:val="24"/>
          <w:szCs w:val="24"/>
        </w:rPr>
      </w:pPr>
    </w:p>
    <w:p w14:paraId="73D857AE" w14:textId="77777777" w:rsidR="005A3BBD" w:rsidRPr="00DA23CD" w:rsidRDefault="005A3BBD">
      <w:pPr>
        <w:jc w:val="center"/>
        <w:rPr>
          <w:b/>
          <w:sz w:val="24"/>
          <w:szCs w:val="24"/>
        </w:rPr>
      </w:pPr>
    </w:p>
    <w:p w14:paraId="4DA89490" w14:textId="77777777" w:rsidR="005A3BBD" w:rsidRPr="00DA23CD" w:rsidRDefault="005A3BBD">
      <w:pPr>
        <w:jc w:val="center"/>
        <w:rPr>
          <w:b/>
          <w:sz w:val="24"/>
          <w:szCs w:val="24"/>
        </w:rPr>
      </w:pPr>
    </w:p>
    <w:p w14:paraId="575836F2" w14:textId="77777777" w:rsidR="005A3BBD" w:rsidRPr="00DA23CD" w:rsidRDefault="005A3BBD">
      <w:pPr>
        <w:jc w:val="center"/>
        <w:rPr>
          <w:sz w:val="24"/>
          <w:szCs w:val="24"/>
        </w:rPr>
      </w:pPr>
    </w:p>
    <w:p w14:paraId="6E40CB8F" w14:textId="77777777" w:rsidR="005A3BBD" w:rsidRPr="00DA23CD" w:rsidRDefault="005A3BBD">
      <w:pPr>
        <w:jc w:val="center"/>
        <w:rPr>
          <w:sz w:val="24"/>
          <w:szCs w:val="24"/>
        </w:rPr>
      </w:pPr>
    </w:p>
    <w:p w14:paraId="4361030C" w14:textId="77777777" w:rsidR="00E66A06" w:rsidRPr="00DA23CD" w:rsidRDefault="00C51919">
      <w:pPr>
        <w:ind w:right="-1185"/>
        <w:jc w:val="center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t>PANEVĖŽIO RAJONO SAVIVALDYBĖS ADMINISTRACIJOS</w:t>
      </w:r>
    </w:p>
    <w:p w14:paraId="7BBEAF8F" w14:textId="77777777" w:rsidR="005A3BBD" w:rsidRPr="00DA23CD" w:rsidRDefault="005A3BBD">
      <w:pPr>
        <w:ind w:right="-1185"/>
        <w:jc w:val="center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t>EKONOMIKOS IR TURTO VALDYMO SKYRIUS</w:t>
      </w:r>
    </w:p>
    <w:p w14:paraId="5D61F6BC" w14:textId="77777777" w:rsidR="001D6A82" w:rsidRPr="00DA23CD" w:rsidRDefault="001D6A82">
      <w:pPr>
        <w:ind w:right="-1185"/>
        <w:jc w:val="center"/>
        <w:rPr>
          <w:b/>
          <w:sz w:val="24"/>
          <w:szCs w:val="24"/>
        </w:rPr>
      </w:pPr>
    </w:p>
    <w:p w14:paraId="124378D2" w14:textId="77777777" w:rsidR="005A3BBD" w:rsidRPr="00DA23CD" w:rsidRDefault="005A3BBD">
      <w:pPr>
        <w:ind w:right="-1185"/>
        <w:rPr>
          <w:sz w:val="24"/>
          <w:szCs w:val="24"/>
        </w:rPr>
      </w:pPr>
    </w:p>
    <w:p w14:paraId="417EC0B1" w14:textId="77777777" w:rsidR="005A3BBD" w:rsidRPr="00DA23CD" w:rsidRDefault="005A3BBD">
      <w:pPr>
        <w:ind w:right="-1185"/>
        <w:rPr>
          <w:sz w:val="24"/>
          <w:szCs w:val="24"/>
        </w:rPr>
      </w:pPr>
      <w:r w:rsidRPr="00DA23CD">
        <w:rPr>
          <w:sz w:val="24"/>
          <w:szCs w:val="24"/>
        </w:rPr>
        <w:t>Panevėžio rajono savivaldybės tarybai</w:t>
      </w:r>
    </w:p>
    <w:p w14:paraId="36B32D2E" w14:textId="77777777" w:rsidR="001D6A82" w:rsidRPr="00DA23CD" w:rsidRDefault="001D6A82">
      <w:pPr>
        <w:ind w:right="-1185"/>
        <w:rPr>
          <w:sz w:val="24"/>
          <w:szCs w:val="24"/>
        </w:rPr>
      </w:pPr>
    </w:p>
    <w:p w14:paraId="12D90040" w14:textId="77777777" w:rsidR="005A3BBD" w:rsidRPr="00DA23CD" w:rsidRDefault="005A3BBD">
      <w:pPr>
        <w:ind w:right="-1185"/>
        <w:rPr>
          <w:sz w:val="24"/>
          <w:szCs w:val="24"/>
        </w:rPr>
      </w:pPr>
    </w:p>
    <w:p w14:paraId="475FA94D" w14:textId="77777777" w:rsidR="00840F25" w:rsidRDefault="001D6A82" w:rsidP="008470F3">
      <w:pPr>
        <w:jc w:val="center"/>
        <w:rPr>
          <w:b/>
          <w:bCs/>
          <w:caps/>
          <w:color w:val="000000"/>
          <w:sz w:val="24"/>
          <w:szCs w:val="24"/>
        </w:rPr>
      </w:pPr>
      <w:r w:rsidRPr="00DA23CD">
        <w:rPr>
          <w:b/>
          <w:sz w:val="24"/>
          <w:szCs w:val="24"/>
        </w:rPr>
        <w:t xml:space="preserve">SAVIVALDYBĖS TARYBOS </w:t>
      </w:r>
      <w:r w:rsidR="005A3BBD" w:rsidRPr="00DA23CD">
        <w:rPr>
          <w:b/>
          <w:sz w:val="24"/>
          <w:szCs w:val="24"/>
        </w:rPr>
        <w:t>SPRENDIMO „</w:t>
      </w:r>
      <w:r w:rsidR="00840F25" w:rsidRPr="00DA23CD">
        <w:rPr>
          <w:b/>
          <w:sz w:val="24"/>
          <w:szCs w:val="24"/>
        </w:rPr>
        <w:t xml:space="preserve">DĖL </w:t>
      </w:r>
      <w:r w:rsidR="00840F25">
        <w:rPr>
          <w:b/>
          <w:sz w:val="24"/>
          <w:szCs w:val="24"/>
        </w:rPr>
        <w:t xml:space="preserve">TRUMPALAIKIO </w:t>
      </w:r>
      <w:r w:rsidR="00840F25" w:rsidRPr="00DA23CD">
        <w:rPr>
          <w:b/>
          <w:sz w:val="24"/>
          <w:szCs w:val="24"/>
        </w:rPr>
        <w:t>TURTO PERĖMIMO SAVIVALDYBĖS NUOSAVYBĖN IR JO PERDAVIMO VALDYTI, NAUDOTI IR DISPONUOTI JUO PATIKĖJIMO TEISE</w:t>
      </w:r>
      <w:r w:rsidR="005A3BBD" w:rsidRPr="00DA23CD">
        <w:rPr>
          <w:b/>
          <w:bCs/>
          <w:caps/>
          <w:color w:val="000000"/>
          <w:sz w:val="24"/>
          <w:szCs w:val="24"/>
        </w:rPr>
        <w:t>“</w:t>
      </w:r>
    </w:p>
    <w:p w14:paraId="29EB561E" w14:textId="471D3AA5" w:rsidR="005A3BBD" w:rsidRPr="00DA23CD" w:rsidRDefault="005A3BBD" w:rsidP="008470F3">
      <w:pPr>
        <w:jc w:val="center"/>
        <w:rPr>
          <w:b/>
          <w:sz w:val="24"/>
          <w:szCs w:val="24"/>
        </w:rPr>
      </w:pPr>
      <w:r w:rsidRPr="00DA23CD">
        <w:rPr>
          <w:b/>
          <w:bCs/>
          <w:sz w:val="24"/>
          <w:szCs w:val="24"/>
        </w:rPr>
        <w:t xml:space="preserve"> </w:t>
      </w:r>
      <w:r w:rsidRPr="00DA23CD">
        <w:rPr>
          <w:b/>
          <w:sz w:val="24"/>
          <w:szCs w:val="24"/>
        </w:rPr>
        <w:t>PROJEKTO</w:t>
      </w:r>
      <w:r w:rsidR="002C52F3" w:rsidRPr="00DA23CD">
        <w:rPr>
          <w:b/>
          <w:sz w:val="24"/>
          <w:szCs w:val="24"/>
        </w:rPr>
        <w:t xml:space="preserve"> AIŠKINAMASIS RAŠTAS</w:t>
      </w:r>
    </w:p>
    <w:p w14:paraId="44537F96" w14:textId="77777777" w:rsidR="005A3BBD" w:rsidRPr="00DA23CD" w:rsidRDefault="005A3BBD">
      <w:pPr>
        <w:rPr>
          <w:sz w:val="24"/>
          <w:szCs w:val="24"/>
        </w:rPr>
      </w:pPr>
    </w:p>
    <w:p w14:paraId="52526A4B" w14:textId="5477CFC4" w:rsidR="005A3BBD" w:rsidRPr="00DA23CD" w:rsidRDefault="005A3BBD" w:rsidP="00146AC7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F659AC" w:rsidRPr="00DA23CD">
        <w:rPr>
          <w:sz w:val="24"/>
          <w:szCs w:val="24"/>
        </w:rPr>
        <w:t>2</w:t>
      </w:r>
      <w:r w:rsidR="003E2BCB" w:rsidRPr="00DA23CD">
        <w:rPr>
          <w:sz w:val="24"/>
          <w:szCs w:val="24"/>
        </w:rPr>
        <w:t>3</w:t>
      </w:r>
      <w:r w:rsidR="006473A0" w:rsidRPr="00DA23CD">
        <w:rPr>
          <w:sz w:val="24"/>
          <w:szCs w:val="24"/>
        </w:rPr>
        <w:t xml:space="preserve"> m. </w:t>
      </w:r>
      <w:r w:rsidR="00F27D00">
        <w:rPr>
          <w:sz w:val="24"/>
          <w:szCs w:val="24"/>
        </w:rPr>
        <w:t>liepos 1</w:t>
      </w:r>
      <w:r w:rsidR="00840F25">
        <w:rPr>
          <w:sz w:val="24"/>
          <w:szCs w:val="24"/>
        </w:rPr>
        <w:t>3</w:t>
      </w:r>
      <w:r w:rsidR="00F27D00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>d.</w:t>
      </w:r>
    </w:p>
    <w:p w14:paraId="3EC4A00E" w14:textId="77777777" w:rsidR="005A3BBD" w:rsidRPr="00DA23CD" w:rsidRDefault="005A3BBD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183D06A4" w14:textId="77777777" w:rsidR="00C51919" w:rsidRPr="00DA23CD" w:rsidRDefault="00C51919" w:rsidP="00F83733">
      <w:pPr>
        <w:rPr>
          <w:sz w:val="24"/>
          <w:szCs w:val="24"/>
        </w:rPr>
      </w:pPr>
    </w:p>
    <w:p w14:paraId="783474FA" w14:textId="77777777" w:rsidR="00CD2930" w:rsidRPr="00DA23CD" w:rsidRDefault="002C52F3" w:rsidP="00F83733">
      <w:pPr>
        <w:ind w:firstLine="720"/>
        <w:jc w:val="both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t>1</w:t>
      </w:r>
      <w:r w:rsidR="00CD2930" w:rsidRPr="00DA23CD">
        <w:rPr>
          <w:b/>
          <w:sz w:val="24"/>
          <w:szCs w:val="24"/>
        </w:rPr>
        <w:t>. Sprendimo projekto tikslai ir uždaviniai</w:t>
      </w:r>
    </w:p>
    <w:p w14:paraId="0F788BE4" w14:textId="5EE76F16" w:rsidR="00CD2930" w:rsidRPr="00DA23CD" w:rsidRDefault="00CD2930" w:rsidP="00437D26">
      <w:pPr>
        <w:ind w:firstLine="720"/>
        <w:jc w:val="both"/>
        <w:rPr>
          <w:color w:val="000000"/>
          <w:spacing w:val="7"/>
          <w:sz w:val="24"/>
          <w:szCs w:val="24"/>
        </w:rPr>
      </w:pPr>
      <w:r w:rsidRPr="00DA23CD">
        <w:rPr>
          <w:sz w:val="24"/>
          <w:szCs w:val="24"/>
        </w:rPr>
        <w:t xml:space="preserve">Parengtas sprendimo projektas </w:t>
      </w:r>
      <w:r w:rsidR="00C51919" w:rsidRPr="00DA23CD">
        <w:rPr>
          <w:sz w:val="24"/>
          <w:szCs w:val="24"/>
        </w:rPr>
        <w:t xml:space="preserve">sutikti perimti Panevėžio rajono savivaldybės nuosavybėn valstybei nuosavybės teise priklausantį ir šiuo metu </w:t>
      </w:r>
      <w:r w:rsidR="00954660" w:rsidRPr="00DA23CD">
        <w:rPr>
          <w:sz w:val="24"/>
          <w:szCs w:val="24"/>
        </w:rPr>
        <w:t>nuosavybėn</w:t>
      </w:r>
      <w:r w:rsidR="00954660">
        <w:rPr>
          <w:sz w:val="24"/>
          <w:szCs w:val="24"/>
        </w:rPr>
        <w:t xml:space="preserve"> Nacionalinės švietimo agentūros patikėjimo </w:t>
      </w:r>
      <w:r w:rsidR="00437D26" w:rsidRPr="00DA23CD">
        <w:rPr>
          <w:sz w:val="24"/>
          <w:szCs w:val="24"/>
        </w:rPr>
        <w:t>teise valdomą turtą</w:t>
      </w:r>
      <w:r w:rsidR="00437D26">
        <w:rPr>
          <w:sz w:val="24"/>
          <w:szCs w:val="24"/>
        </w:rPr>
        <w:t xml:space="preserve"> </w:t>
      </w:r>
      <w:r w:rsidR="00CB53FB" w:rsidRPr="00DA23CD">
        <w:rPr>
          <w:sz w:val="24"/>
          <w:szCs w:val="24"/>
        </w:rPr>
        <w:t>ir</w:t>
      </w:r>
      <w:r w:rsidR="00437D26">
        <w:rPr>
          <w:sz w:val="24"/>
          <w:szCs w:val="24"/>
        </w:rPr>
        <w:t xml:space="preserve"> </w:t>
      </w:r>
      <w:r w:rsidR="00CB53FB" w:rsidRPr="00DA23CD">
        <w:rPr>
          <w:sz w:val="24"/>
          <w:szCs w:val="24"/>
        </w:rPr>
        <w:t>perimtą turtą perduoti Panevėžio r</w:t>
      </w:r>
      <w:r w:rsidR="00954660">
        <w:rPr>
          <w:sz w:val="24"/>
          <w:szCs w:val="24"/>
        </w:rPr>
        <w:t>. Naujamiesčio mokyklai</w:t>
      </w:r>
      <w:r w:rsidR="00CB53FB" w:rsidRPr="00DA23CD">
        <w:rPr>
          <w:sz w:val="24"/>
          <w:szCs w:val="24"/>
        </w:rPr>
        <w:t xml:space="preserve"> valdyti, naudoti ir disponuoti juo patikėjimo teise.</w:t>
      </w:r>
    </w:p>
    <w:p w14:paraId="1E9B610D" w14:textId="77777777" w:rsidR="00CD2930" w:rsidRPr="00DA23CD" w:rsidRDefault="00CD2930" w:rsidP="00F83733">
      <w:pPr>
        <w:jc w:val="both"/>
        <w:rPr>
          <w:b/>
          <w:bCs/>
          <w:sz w:val="24"/>
          <w:szCs w:val="24"/>
        </w:rPr>
      </w:pPr>
      <w:r w:rsidRPr="00DA23CD">
        <w:rPr>
          <w:color w:val="000000"/>
          <w:spacing w:val="7"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>2.</w:t>
      </w:r>
      <w:r w:rsidRPr="00DA23CD">
        <w:rPr>
          <w:b/>
          <w:sz w:val="24"/>
          <w:szCs w:val="24"/>
        </w:rPr>
        <w:t xml:space="preserve"> Siūlomos teisinio reguliavimo nuostatos</w:t>
      </w:r>
      <w:r w:rsidR="003E2BCB" w:rsidRPr="00DA23CD">
        <w:rPr>
          <w:b/>
          <w:sz w:val="24"/>
          <w:szCs w:val="24"/>
        </w:rPr>
        <w:t xml:space="preserve"> ir laukiami rezultatai</w:t>
      </w:r>
      <w:r w:rsidRPr="00DA23CD">
        <w:rPr>
          <w:b/>
          <w:bCs/>
          <w:sz w:val="24"/>
          <w:szCs w:val="24"/>
        </w:rPr>
        <w:t xml:space="preserve"> </w:t>
      </w:r>
    </w:p>
    <w:p w14:paraId="6E7FA815" w14:textId="1B428270" w:rsidR="00F56CD6" w:rsidRDefault="00C51919" w:rsidP="00F56CD6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 w:rsidRPr="00DA23CD">
        <w:rPr>
          <w:sz w:val="24"/>
          <w:szCs w:val="24"/>
        </w:rPr>
        <w:t>s</w:t>
      </w:r>
      <w:r w:rsidRPr="00DA23CD">
        <w:rPr>
          <w:sz w:val="24"/>
          <w:szCs w:val="24"/>
        </w:rPr>
        <w:t xml:space="preserve">avivaldybė turtą įgyja </w:t>
      </w:r>
      <w:r w:rsidR="002C52F3" w:rsidRPr="00DA23CD">
        <w:rPr>
          <w:color w:val="000000"/>
          <w:sz w:val="24"/>
          <w:szCs w:val="24"/>
        </w:rPr>
        <w:t>S</w:t>
      </w:r>
      <w:r w:rsidRPr="00DA23CD">
        <w:rPr>
          <w:color w:val="000000"/>
          <w:sz w:val="24"/>
          <w:szCs w:val="24"/>
        </w:rPr>
        <w:t>avivaldybės tarybos sutikimu perimdama</w:t>
      </w:r>
      <w:r w:rsidR="00954660">
        <w:rPr>
          <w:color w:val="000000"/>
          <w:sz w:val="24"/>
          <w:szCs w:val="24"/>
        </w:rPr>
        <w:t xml:space="preserve"> </w:t>
      </w:r>
      <w:r w:rsidRPr="00DA23CD">
        <w:rPr>
          <w:color w:val="000000"/>
          <w:sz w:val="24"/>
          <w:szCs w:val="24"/>
        </w:rPr>
        <w:t>valstybės</w:t>
      </w:r>
      <w:r w:rsidR="00954660">
        <w:rPr>
          <w:color w:val="000000"/>
          <w:sz w:val="24"/>
          <w:szCs w:val="24"/>
        </w:rPr>
        <w:t xml:space="preserve"> </w:t>
      </w:r>
      <w:r w:rsidRPr="00DA23CD">
        <w:rPr>
          <w:color w:val="000000"/>
          <w:sz w:val="24"/>
          <w:szCs w:val="24"/>
        </w:rPr>
        <w:t xml:space="preserve">turtą </w:t>
      </w:r>
      <w:r w:rsidR="00954660">
        <w:rPr>
          <w:color w:val="000000"/>
          <w:sz w:val="24"/>
          <w:szCs w:val="24"/>
        </w:rPr>
        <w:t xml:space="preserve">Lietuvos Respublikos vietos savivaldos įstatymo 6 straipsnio 5 ir 6 punktais nurodytos savivaldybės </w:t>
      </w:r>
      <w:r w:rsidRPr="00DA23CD">
        <w:rPr>
          <w:color w:val="000000"/>
          <w:sz w:val="24"/>
          <w:szCs w:val="24"/>
        </w:rPr>
        <w:t>savarankiškosioms</w:t>
      </w:r>
      <w:r w:rsidR="00AD6C3D">
        <w:rPr>
          <w:color w:val="000000"/>
          <w:sz w:val="24"/>
          <w:szCs w:val="24"/>
        </w:rPr>
        <w:t xml:space="preserve"> ir valstybės perduotos savivaldybės funkcijoms įgyvendinti</w:t>
      </w:r>
      <w:r w:rsidR="00437D26">
        <w:rPr>
          <w:sz w:val="24"/>
          <w:szCs w:val="24"/>
        </w:rPr>
        <w:t xml:space="preserve">. </w:t>
      </w:r>
    </w:p>
    <w:p w14:paraId="3EA613A6" w14:textId="32602058" w:rsidR="00C51919" w:rsidRPr="00DA23CD" w:rsidRDefault="00C51919" w:rsidP="00F56CD6">
      <w:pPr>
        <w:ind w:firstLine="720"/>
        <w:jc w:val="both"/>
        <w:rPr>
          <w:sz w:val="24"/>
          <w:szCs w:val="24"/>
        </w:rPr>
      </w:pPr>
      <w:r w:rsidRPr="00DA23CD">
        <w:rPr>
          <w:color w:val="000000"/>
          <w:sz w:val="24"/>
          <w:szCs w:val="24"/>
        </w:rPr>
        <w:t xml:space="preserve">Valstybės turtas </w:t>
      </w:r>
      <w:r w:rsidRPr="00DA23CD">
        <w:rPr>
          <w:sz w:val="24"/>
          <w:szCs w:val="24"/>
        </w:rPr>
        <w:t>savivaldybės nuosavybėn bus perduodamas Savivaldybės taryb</w:t>
      </w:r>
      <w:r w:rsidR="001D6A82" w:rsidRPr="00DA23CD">
        <w:rPr>
          <w:sz w:val="24"/>
          <w:szCs w:val="24"/>
        </w:rPr>
        <w:t>ai</w:t>
      </w:r>
      <w:r w:rsidRPr="00DA23CD">
        <w:rPr>
          <w:sz w:val="24"/>
          <w:szCs w:val="24"/>
        </w:rPr>
        <w:t xml:space="preserve"> </w:t>
      </w:r>
      <w:r w:rsidR="001D6A82" w:rsidRPr="00DA23CD">
        <w:rPr>
          <w:sz w:val="24"/>
          <w:szCs w:val="24"/>
        </w:rPr>
        <w:t xml:space="preserve">priėmus </w:t>
      </w:r>
      <w:r w:rsidRPr="00DA23CD">
        <w:rPr>
          <w:sz w:val="24"/>
          <w:szCs w:val="24"/>
        </w:rPr>
        <w:t>sprendim</w:t>
      </w:r>
      <w:r w:rsidR="001D6A82" w:rsidRPr="00DA23CD">
        <w:rPr>
          <w:sz w:val="24"/>
          <w:szCs w:val="24"/>
        </w:rPr>
        <w:t>ą</w:t>
      </w:r>
      <w:r w:rsidRPr="00DA23CD">
        <w:rPr>
          <w:sz w:val="24"/>
          <w:szCs w:val="24"/>
        </w:rPr>
        <w:t xml:space="preserve">. </w:t>
      </w:r>
    </w:p>
    <w:p w14:paraId="044CA844" w14:textId="11A4FBE1" w:rsidR="001C678E" w:rsidRPr="00836227" w:rsidRDefault="00CD2930" w:rsidP="00F83733">
      <w:pPr>
        <w:jc w:val="both"/>
        <w:rPr>
          <w:sz w:val="24"/>
          <w:szCs w:val="24"/>
          <w:lang w:val="en-US"/>
        </w:rPr>
      </w:pPr>
      <w:r w:rsidRPr="00DA23CD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ab/>
      </w:r>
      <w:r w:rsidR="00AD6C3D">
        <w:rPr>
          <w:sz w:val="24"/>
          <w:szCs w:val="24"/>
        </w:rPr>
        <w:t>Nacionalinė švietimo agentūra</w:t>
      </w:r>
      <w:r w:rsidR="00B91CC9">
        <w:rPr>
          <w:sz w:val="24"/>
          <w:szCs w:val="24"/>
        </w:rPr>
        <w:t xml:space="preserve">, vykdydama projektą „Bendrojo ugdymo turinio ir organizavimo modelių sukūrimas ir išbandymas bendrajame ugdyme“, nupirko ir perdavė  naudotis planšetinius kompiuterius ir kitas edukacines </w:t>
      </w:r>
      <w:r w:rsidR="00777023">
        <w:rPr>
          <w:sz w:val="24"/>
          <w:szCs w:val="24"/>
        </w:rPr>
        <w:t xml:space="preserve">mokymosi </w:t>
      </w:r>
      <w:r w:rsidR="004B59BC">
        <w:rPr>
          <w:sz w:val="24"/>
          <w:szCs w:val="24"/>
        </w:rPr>
        <w:t>priemones.</w:t>
      </w:r>
    </w:p>
    <w:p w14:paraId="0BDFEDD5" w14:textId="77777777" w:rsidR="00CD2930" w:rsidRDefault="003E2BCB" w:rsidP="00F83733">
      <w:pPr>
        <w:ind w:firstLine="720"/>
        <w:jc w:val="both"/>
        <w:rPr>
          <w:b/>
          <w:sz w:val="24"/>
          <w:szCs w:val="24"/>
        </w:rPr>
      </w:pPr>
      <w:r w:rsidRPr="00DA23CD">
        <w:rPr>
          <w:b/>
          <w:bCs/>
          <w:color w:val="000000"/>
          <w:spacing w:val="-3"/>
          <w:sz w:val="24"/>
          <w:szCs w:val="24"/>
        </w:rPr>
        <w:t>3</w:t>
      </w:r>
      <w:r w:rsidR="00CD2930" w:rsidRPr="00DA23CD">
        <w:rPr>
          <w:b/>
          <w:bCs/>
          <w:color w:val="000000"/>
          <w:spacing w:val="-3"/>
          <w:sz w:val="24"/>
          <w:szCs w:val="24"/>
        </w:rPr>
        <w:t>.</w:t>
      </w:r>
      <w:r w:rsidR="00CD2930" w:rsidRPr="00DA23CD">
        <w:rPr>
          <w:color w:val="000000"/>
          <w:spacing w:val="-3"/>
          <w:sz w:val="24"/>
          <w:szCs w:val="24"/>
        </w:rPr>
        <w:t xml:space="preserve"> </w:t>
      </w:r>
      <w:r w:rsidR="00CD2930" w:rsidRPr="00DA23CD">
        <w:rPr>
          <w:b/>
          <w:sz w:val="24"/>
          <w:szCs w:val="24"/>
        </w:rPr>
        <w:t>Lėšų poreikis ir šaltiniai</w:t>
      </w:r>
    </w:p>
    <w:p w14:paraId="25E48AD4" w14:textId="58E7FA6A" w:rsidR="001F3255" w:rsidRPr="001F3255" w:rsidRDefault="001F3255" w:rsidP="00F83733">
      <w:pPr>
        <w:ind w:firstLine="720"/>
        <w:jc w:val="both"/>
        <w:rPr>
          <w:bCs/>
          <w:sz w:val="24"/>
          <w:szCs w:val="24"/>
        </w:rPr>
      </w:pPr>
      <w:r w:rsidRPr="001F3255">
        <w:rPr>
          <w:bCs/>
          <w:sz w:val="24"/>
          <w:szCs w:val="24"/>
        </w:rPr>
        <w:t>Nėra.</w:t>
      </w:r>
    </w:p>
    <w:p w14:paraId="10620C97" w14:textId="77777777" w:rsidR="00CD2930" w:rsidRPr="00DA23CD" w:rsidRDefault="00CD2930" w:rsidP="00F83733">
      <w:pPr>
        <w:jc w:val="both"/>
        <w:rPr>
          <w:sz w:val="24"/>
          <w:szCs w:val="24"/>
        </w:rPr>
      </w:pPr>
      <w:r w:rsidRPr="00DA23CD">
        <w:rPr>
          <w:b/>
          <w:color w:val="000000"/>
          <w:sz w:val="24"/>
          <w:szCs w:val="24"/>
        </w:rPr>
        <w:tab/>
      </w:r>
      <w:r w:rsidR="003E2BCB" w:rsidRPr="00DA23CD">
        <w:rPr>
          <w:b/>
          <w:color w:val="000000"/>
          <w:sz w:val="24"/>
          <w:szCs w:val="24"/>
        </w:rPr>
        <w:t>4</w:t>
      </w:r>
      <w:r w:rsidRPr="00DA23CD">
        <w:rPr>
          <w:b/>
          <w:bCs/>
          <w:sz w:val="24"/>
          <w:szCs w:val="24"/>
        </w:rPr>
        <w:t>. Kiti reikalingi pagrindimai, skaičiavimai</w:t>
      </w:r>
      <w:r w:rsidR="003E2BCB" w:rsidRPr="00DA23CD">
        <w:rPr>
          <w:b/>
          <w:bCs/>
          <w:sz w:val="24"/>
          <w:szCs w:val="24"/>
        </w:rPr>
        <w:t xml:space="preserve"> ar </w:t>
      </w:r>
      <w:r w:rsidRPr="00DA23CD">
        <w:rPr>
          <w:b/>
          <w:bCs/>
          <w:sz w:val="24"/>
          <w:szCs w:val="24"/>
        </w:rPr>
        <w:t>paaiškinimai</w:t>
      </w:r>
    </w:p>
    <w:p w14:paraId="1C89ACF6" w14:textId="77777777" w:rsidR="00CD2930" w:rsidRPr="00DA23CD" w:rsidRDefault="00CD2930" w:rsidP="00DA23C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Nėra.</w:t>
      </w:r>
    </w:p>
    <w:p w14:paraId="68BD245E" w14:textId="77777777" w:rsidR="005A3BBD" w:rsidRPr="00DA23CD" w:rsidRDefault="005A3BBD" w:rsidP="00F83733">
      <w:pPr>
        <w:jc w:val="both"/>
        <w:rPr>
          <w:sz w:val="24"/>
          <w:szCs w:val="24"/>
        </w:rPr>
      </w:pPr>
    </w:p>
    <w:p w14:paraId="3B292388" w14:textId="77777777" w:rsidR="00E20E1B" w:rsidRPr="00DA23CD" w:rsidRDefault="005A3BBD" w:rsidP="00F83733">
      <w:pPr>
        <w:jc w:val="both"/>
        <w:rPr>
          <w:sz w:val="24"/>
          <w:szCs w:val="24"/>
        </w:rPr>
      </w:pPr>
      <w:r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>Vyr. specialistė</w:t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</w:r>
      <w:r w:rsidR="00935FF7" w:rsidRPr="00DA23CD">
        <w:rPr>
          <w:sz w:val="24"/>
          <w:szCs w:val="24"/>
        </w:rPr>
        <w:tab/>
        <w:t>Jadvyga Balčienė</w:t>
      </w:r>
    </w:p>
    <w:sectPr w:rsidR="00E20E1B" w:rsidRPr="00DA23CD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C294" w14:textId="77777777" w:rsidR="0013714C" w:rsidRDefault="0013714C">
      <w:r>
        <w:separator/>
      </w:r>
    </w:p>
  </w:endnote>
  <w:endnote w:type="continuationSeparator" w:id="0">
    <w:p w14:paraId="37ED496D" w14:textId="77777777" w:rsidR="0013714C" w:rsidRDefault="0013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A698" w14:textId="77777777" w:rsidR="0013714C" w:rsidRDefault="0013714C">
      <w:r>
        <w:separator/>
      </w:r>
    </w:p>
  </w:footnote>
  <w:footnote w:type="continuationSeparator" w:id="0">
    <w:p w14:paraId="2D6ECD5C" w14:textId="77777777" w:rsidR="0013714C" w:rsidRDefault="0013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7431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034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7259"/>
    <w:rsid w:val="000240CD"/>
    <w:rsid w:val="0002552A"/>
    <w:rsid w:val="00037029"/>
    <w:rsid w:val="00042F00"/>
    <w:rsid w:val="00057FCE"/>
    <w:rsid w:val="00096D10"/>
    <w:rsid w:val="00096F0F"/>
    <w:rsid w:val="000A08FD"/>
    <w:rsid w:val="000D2968"/>
    <w:rsid w:val="000E487F"/>
    <w:rsid w:val="000F2C4F"/>
    <w:rsid w:val="000F536F"/>
    <w:rsid w:val="0013714C"/>
    <w:rsid w:val="00146AC7"/>
    <w:rsid w:val="00172E97"/>
    <w:rsid w:val="00183417"/>
    <w:rsid w:val="001C678E"/>
    <w:rsid w:val="001D6A82"/>
    <w:rsid w:val="001F3255"/>
    <w:rsid w:val="00247F63"/>
    <w:rsid w:val="00252C8D"/>
    <w:rsid w:val="0026656E"/>
    <w:rsid w:val="002708FB"/>
    <w:rsid w:val="002B03FC"/>
    <w:rsid w:val="002B4AF9"/>
    <w:rsid w:val="002C52F3"/>
    <w:rsid w:val="002F2D59"/>
    <w:rsid w:val="00302B83"/>
    <w:rsid w:val="0031166B"/>
    <w:rsid w:val="00332E55"/>
    <w:rsid w:val="00343451"/>
    <w:rsid w:val="00397200"/>
    <w:rsid w:val="003D4CEE"/>
    <w:rsid w:val="003E2BCB"/>
    <w:rsid w:val="003E6A4D"/>
    <w:rsid w:val="003E6E6B"/>
    <w:rsid w:val="00406F1C"/>
    <w:rsid w:val="0041657F"/>
    <w:rsid w:val="00423437"/>
    <w:rsid w:val="00427088"/>
    <w:rsid w:val="004277F9"/>
    <w:rsid w:val="00437D26"/>
    <w:rsid w:val="004405E9"/>
    <w:rsid w:val="00447922"/>
    <w:rsid w:val="00457DD5"/>
    <w:rsid w:val="00462CFA"/>
    <w:rsid w:val="00467708"/>
    <w:rsid w:val="00476434"/>
    <w:rsid w:val="00486367"/>
    <w:rsid w:val="004A6B54"/>
    <w:rsid w:val="004B59BC"/>
    <w:rsid w:val="004E19A6"/>
    <w:rsid w:val="004E37D3"/>
    <w:rsid w:val="004F381D"/>
    <w:rsid w:val="005067D5"/>
    <w:rsid w:val="0052095E"/>
    <w:rsid w:val="00521032"/>
    <w:rsid w:val="00544D40"/>
    <w:rsid w:val="005630DD"/>
    <w:rsid w:val="00566307"/>
    <w:rsid w:val="00574CF1"/>
    <w:rsid w:val="00575D94"/>
    <w:rsid w:val="00584FE8"/>
    <w:rsid w:val="00592B18"/>
    <w:rsid w:val="005A3BBD"/>
    <w:rsid w:val="005A62E1"/>
    <w:rsid w:val="005A6842"/>
    <w:rsid w:val="005D3CB3"/>
    <w:rsid w:val="005D6DBF"/>
    <w:rsid w:val="005E2AAA"/>
    <w:rsid w:val="005E3BBF"/>
    <w:rsid w:val="00606221"/>
    <w:rsid w:val="00613409"/>
    <w:rsid w:val="00625882"/>
    <w:rsid w:val="00637ECA"/>
    <w:rsid w:val="006473A0"/>
    <w:rsid w:val="00662E12"/>
    <w:rsid w:val="006F57A5"/>
    <w:rsid w:val="0074089C"/>
    <w:rsid w:val="0074275C"/>
    <w:rsid w:val="00766132"/>
    <w:rsid w:val="00777023"/>
    <w:rsid w:val="0079080A"/>
    <w:rsid w:val="007A02DD"/>
    <w:rsid w:val="007A26FD"/>
    <w:rsid w:val="007A5B9B"/>
    <w:rsid w:val="007B14FC"/>
    <w:rsid w:val="007C17BC"/>
    <w:rsid w:val="007D19D3"/>
    <w:rsid w:val="007F5606"/>
    <w:rsid w:val="007F7CAF"/>
    <w:rsid w:val="008073EA"/>
    <w:rsid w:val="00836227"/>
    <w:rsid w:val="00837377"/>
    <w:rsid w:val="00840F25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907F14"/>
    <w:rsid w:val="00916844"/>
    <w:rsid w:val="00930B42"/>
    <w:rsid w:val="009342BE"/>
    <w:rsid w:val="00935FF7"/>
    <w:rsid w:val="009445EB"/>
    <w:rsid w:val="00954660"/>
    <w:rsid w:val="00960129"/>
    <w:rsid w:val="009D5E43"/>
    <w:rsid w:val="009E3E1B"/>
    <w:rsid w:val="00A417E5"/>
    <w:rsid w:val="00A468A4"/>
    <w:rsid w:val="00A71C76"/>
    <w:rsid w:val="00A77792"/>
    <w:rsid w:val="00AB29C8"/>
    <w:rsid w:val="00AD6C3D"/>
    <w:rsid w:val="00AE73A6"/>
    <w:rsid w:val="00AF68C8"/>
    <w:rsid w:val="00B26591"/>
    <w:rsid w:val="00B30D79"/>
    <w:rsid w:val="00B401B9"/>
    <w:rsid w:val="00B52EC0"/>
    <w:rsid w:val="00B63DF1"/>
    <w:rsid w:val="00B71A48"/>
    <w:rsid w:val="00B91CC9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2534"/>
    <w:rsid w:val="00CB34F0"/>
    <w:rsid w:val="00CB53FB"/>
    <w:rsid w:val="00CC3C47"/>
    <w:rsid w:val="00CD2930"/>
    <w:rsid w:val="00CF2869"/>
    <w:rsid w:val="00CF3250"/>
    <w:rsid w:val="00D01222"/>
    <w:rsid w:val="00D14283"/>
    <w:rsid w:val="00D46FD2"/>
    <w:rsid w:val="00D710A5"/>
    <w:rsid w:val="00D72E2B"/>
    <w:rsid w:val="00DA23CD"/>
    <w:rsid w:val="00DC750E"/>
    <w:rsid w:val="00DD28DC"/>
    <w:rsid w:val="00DF4B97"/>
    <w:rsid w:val="00E0442B"/>
    <w:rsid w:val="00E13D1E"/>
    <w:rsid w:val="00E20E1B"/>
    <w:rsid w:val="00E478FE"/>
    <w:rsid w:val="00E57A72"/>
    <w:rsid w:val="00E622DC"/>
    <w:rsid w:val="00E6439F"/>
    <w:rsid w:val="00E66A06"/>
    <w:rsid w:val="00EB55AC"/>
    <w:rsid w:val="00EC777D"/>
    <w:rsid w:val="00EE4BF2"/>
    <w:rsid w:val="00EF6D2B"/>
    <w:rsid w:val="00F02644"/>
    <w:rsid w:val="00F27D00"/>
    <w:rsid w:val="00F32621"/>
    <w:rsid w:val="00F56CD6"/>
    <w:rsid w:val="00F659AC"/>
    <w:rsid w:val="00F73925"/>
    <w:rsid w:val="00F7410B"/>
    <w:rsid w:val="00F77ED7"/>
    <w:rsid w:val="00F83733"/>
    <w:rsid w:val="00F83CA0"/>
    <w:rsid w:val="00F90CFB"/>
    <w:rsid w:val="00FC4753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4CEF81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0F25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574CF1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247F63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47F6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DBFD-F093-49DF-9007-4C1503BA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2361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5</cp:revision>
  <cp:lastPrinted>2023-05-03T05:02:00Z</cp:lastPrinted>
  <dcterms:created xsi:type="dcterms:W3CDTF">2023-07-13T08:17:00Z</dcterms:created>
  <dcterms:modified xsi:type="dcterms:W3CDTF">2023-07-18T07:54:00Z</dcterms:modified>
</cp:coreProperties>
</file>