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rsidP="00266721">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696BEE">
        <w:rPr>
          <w:b/>
          <w:szCs w:val="24"/>
          <w:lang w:eastAsia="lt-LT"/>
        </w:rPr>
        <w:t>1</w:t>
      </w:r>
      <w:r w:rsidR="00B157A6">
        <w:rPr>
          <w:b/>
          <w:szCs w:val="24"/>
          <w:lang w:eastAsia="lt-LT"/>
        </w:rPr>
        <w:t>9</w:t>
      </w:r>
    </w:p>
    <w:p w:rsidR="00B157A6" w:rsidRDefault="00D44316" w:rsidP="00B80026">
      <w:pPr>
        <w:suppressAutoHyphens/>
        <w:ind w:right="424"/>
        <w:jc w:val="both"/>
        <w:rPr>
          <w:b/>
          <w:spacing w:val="-1"/>
          <w:szCs w:val="24"/>
        </w:rPr>
      </w:pPr>
      <w:r>
        <w:rPr>
          <w:szCs w:val="24"/>
          <w:lang w:eastAsia="lt-LT"/>
        </w:rPr>
        <w:t xml:space="preserve">Teisės akto projekto pavadinimas </w:t>
      </w:r>
      <w:r w:rsidR="00252FC8" w:rsidRPr="00FF57B4">
        <w:rPr>
          <w:b/>
          <w:spacing w:val="-1"/>
          <w:szCs w:val="24"/>
        </w:rPr>
        <w:t xml:space="preserve">DĖL </w:t>
      </w:r>
      <w:r w:rsidR="00B157A6">
        <w:rPr>
          <w:b/>
          <w:spacing w:val="-1"/>
          <w:szCs w:val="24"/>
        </w:rPr>
        <w:t xml:space="preserve">PANEVĖŽIO RAJONO SAVIVALDYBĖS HUMANITARINĖS PAGALBOS TEIKIMO TVARKOS APRAŠO PATVIRTINIMO, PANEVĖŽIO RAJONO SAVIVALDYBĖS HUMANITARINĖS PAGALBOS TEIKIMO KOMISIJOS SUDARYMO IR JOS VEIKLOS NUOSTATŲ PATVIRTINIMO </w:t>
      </w:r>
    </w:p>
    <w:p w:rsidR="00B157A6" w:rsidRDefault="00B157A6" w:rsidP="00B80026">
      <w:pPr>
        <w:suppressAutoHyphens/>
        <w:ind w:right="424"/>
        <w:jc w:val="both"/>
        <w:rPr>
          <w:b/>
          <w:spacing w:val="-1"/>
          <w:szCs w:val="24"/>
        </w:rPr>
      </w:pPr>
    </w:p>
    <w:p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B157A6">
        <w:rPr>
          <w:szCs w:val="24"/>
          <w:lang w:eastAsia="lt-LT"/>
        </w:rPr>
        <w:t>Investicijų ir užsienio ryšių skyriaus vedėja Miglė Bražėnienė</w:t>
      </w:r>
      <w:r w:rsidR="00C256B4">
        <w:rPr>
          <w:szCs w:val="24"/>
          <w:lang w:eastAsia="lt-LT"/>
        </w:rPr>
        <w:t xml:space="preserve"> </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CA42AF">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D04258">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57A6" w:rsidRDefault="0015041E" w:rsidP="003145B0">
            <w:pPr>
              <w:jc w:val="both"/>
            </w:pPr>
            <w:r>
              <w:t xml:space="preserve">Tvarkos aprašo </w:t>
            </w:r>
            <w:r w:rsidR="00B157A6">
              <w:t xml:space="preserve">3 p. numatyta, kad sprendimus dėl humanitarinės pagalbos teikimo priima Savivaldybės taryba. Tvarkos aprašo 6 p. nurodytais atvejais Savivaldybės tarybos sprendimui priimti būtina humanitarinės pagalbos teikimo komisijos rekomendacija (Tvarkos aprašo 6 p. nukreipia į Tvarkos aprašo 14 ir 18 p. nurodytus atvejus). </w:t>
            </w:r>
            <w:r w:rsidR="009443E2">
              <w:t>Dėl kontrolę vykdančio subjekto žiūrėti į lentelės 14 eilutę.</w:t>
            </w:r>
          </w:p>
          <w:p w:rsidR="00B336F0" w:rsidRPr="000F4B50" w:rsidRDefault="00B336F0" w:rsidP="003145B0">
            <w:pPr>
              <w:jc w:val="both"/>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nustatyti subjekto įgaliojimai (teisės) </w:t>
            </w:r>
            <w:r>
              <w:rPr>
                <w:szCs w:val="24"/>
                <w:lang w:eastAsia="lt-LT"/>
              </w:rPr>
              <w:lastRenderedPageBreak/>
              <w:t>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212D92" w:rsidP="0081025E">
            <w:pPr>
              <w:suppressAutoHyphens/>
              <w:spacing w:line="276" w:lineRule="auto"/>
              <w:textAlignment w:val="baseline"/>
              <w:rPr>
                <w:szCs w:val="24"/>
                <w:lang w:eastAsia="lt-LT"/>
              </w:rPr>
            </w:pPr>
            <w:r>
              <w:rPr>
                <w:szCs w:val="24"/>
                <w:lang w:eastAsia="lt-LT"/>
              </w:rPr>
              <w:lastRenderedPageBreak/>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499B" w:rsidRDefault="00212D92" w:rsidP="00B157A6">
            <w:pPr>
              <w:suppressAutoHyphens/>
              <w:spacing w:line="276" w:lineRule="auto"/>
              <w:jc w:val="both"/>
              <w:textAlignment w:val="baseline"/>
            </w:pPr>
            <w:r>
              <w:t xml:space="preserve">Tvarkos aprašo </w:t>
            </w:r>
            <w:r w:rsidR="00B157A6">
              <w:t xml:space="preserve">11 </w:t>
            </w:r>
            <w:r w:rsidR="005908C9">
              <w:t xml:space="preserve">p. numatytas </w:t>
            </w:r>
            <w:r w:rsidR="00B157A6">
              <w:t xml:space="preserve">baigtinis </w:t>
            </w:r>
            <w:r w:rsidR="0096499B">
              <w:t xml:space="preserve">skubios ir ilgalaikės humanitarinės pagalbos teikimo būdų sąrašas. </w:t>
            </w:r>
          </w:p>
          <w:p w:rsidR="00CE2D9E" w:rsidRDefault="00CE2D9E" w:rsidP="00B157A6">
            <w:pPr>
              <w:suppressAutoHyphens/>
              <w:spacing w:line="276" w:lineRule="auto"/>
              <w:jc w:val="both"/>
              <w:textAlignment w:val="baseline"/>
              <w:rPr>
                <w:szCs w:val="24"/>
                <w:lang w:eastAsia="lt-LT"/>
              </w:rPr>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81025E" w:rsidP="00F97C84">
            <w:pPr>
              <w:suppressAutoHyphens/>
              <w:spacing w:line="276" w:lineRule="auto"/>
              <w:textAlignment w:val="baseline"/>
              <w:rPr>
                <w:szCs w:val="24"/>
                <w:lang w:eastAsia="lt-LT"/>
              </w:rPr>
            </w:pPr>
            <w:r>
              <w:rPr>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212D92" w:rsidP="0096499B">
            <w:pPr>
              <w:suppressAutoHyphens/>
              <w:spacing w:line="276" w:lineRule="auto"/>
              <w:textAlignment w:val="baseline"/>
              <w:rPr>
                <w:szCs w:val="24"/>
                <w:lang w:eastAsia="lt-LT"/>
              </w:rPr>
            </w:pPr>
            <w:r>
              <w:rPr>
                <w:szCs w:val="24"/>
                <w:lang w:eastAsia="lt-LT"/>
              </w:rPr>
              <w:t>Savivaldybės taryba priima sprendimus (Tvarkos aprašo 1</w:t>
            </w:r>
            <w:r w:rsidR="0096499B">
              <w:rPr>
                <w:szCs w:val="24"/>
                <w:lang w:eastAsia="lt-LT"/>
              </w:rPr>
              <w:t>7</w:t>
            </w:r>
            <w:r>
              <w:rPr>
                <w:szCs w:val="24"/>
                <w:lang w:eastAsia="lt-LT"/>
              </w:rPr>
              <w:t xml:space="preserve"> p.).</w:t>
            </w:r>
            <w:r w:rsidR="0096499B">
              <w:rPr>
                <w:szCs w:val="24"/>
                <w:lang w:eastAsia="lt-LT"/>
              </w:rPr>
              <w:t xml:space="preserve"> Komisijos sprendimai įforminami posėdžio protokolu (Komisijos veiklos nuostatų 14 p.). Informacijos apie humanitarinės pagalbos teikimą viešinimą reglamentuoja Tvarkos aprašo 19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 xml:space="preserve">9.1. konkretus narių skaičius, užtikrinantis kolegialaus </w:t>
            </w:r>
            <w:r>
              <w:rPr>
                <w:szCs w:val="24"/>
              </w:rPr>
              <w:lastRenderedPageBreak/>
              <w:t>sprendimus priimančio subjekto veiklos objektyvumą</w:t>
            </w:r>
          </w:p>
          <w:p w:rsidR="0034635B" w:rsidRDefault="0034635B" w:rsidP="0034635B">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2D92" w:rsidRDefault="00212D92" w:rsidP="00212D92">
            <w:pPr>
              <w:spacing w:line="256" w:lineRule="auto"/>
              <w:jc w:val="both"/>
              <w:rPr>
                <w:szCs w:val="24"/>
              </w:rPr>
            </w:pPr>
            <w:r w:rsidRPr="004115F7">
              <w:rPr>
                <w:szCs w:val="24"/>
              </w:rPr>
              <w:lastRenderedPageBreak/>
              <w:t xml:space="preserve">Sprendimą priimančio kolegialaus subjekto – Panevėžio rajono savivaldybės tarybos konkretų narių skaičių ir kt. šis Tvarkos aprašas nereglamentuoja, tai reglamentuoja kiti teisės aktai – Vietos savivaldos įstatymas, Panevėžio rajono savivaldybės tarybos veiklos reglamentas. </w:t>
            </w:r>
          </w:p>
          <w:p w:rsidR="0034635B" w:rsidRPr="00553EC3" w:rsidRDefault="00180B21" w:rsidP="00180B21">
            <w:pPr>
              <w:spacing w:line="256" w:lineRule="auto"/>
            </w:pPr>
            <w:r>
              <w:lastRenderedPageBreak/>
              <w:t>K</w:t>
            </w:r>
            <w:r w:rsidR="007039BD">
              <w:t>omisija</w:t>
            </w:r>
            <w:r>
              <w:t xml:space="preserve"> sudaroma </w:t>
            </w:r>
            <w:r>
              <w:t>Savivalybės tarybos sprendimu</w:t>
            </w:r>
            <w:r w:rsidR="007039BD">
              <w:t xml:space="preserve"> </w:t>
            </w:r>
            <w:bookmarkStart w:id="0" w:name="_GoBack"/>
            <w:bookmarkEnd w:id="0"/>
            <w:r>
              <w:t xml:space="preserve">iš 6 narių, kurie į komisijos posėdį šaukiami, gavus kreipimąsi ar prašymą teikti humanitarinę pagalbą (Komisijos veiklos nuostatų 8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2F0C67" w:rsidP="00C556B0">
            <w:pPr>
              <w:suppressAutoHyphens/>
              <w:spacing w:line="276" w:lineRule="auto"/>
              <w:textAlignment w:val="baseline"/>
              <w:rPr>
                <w:szCs w:val="24"/>
                <w:lang w:eastAsia="lt-LT"/>
              </w:rPr>
            </w:pPr>
            <w:r>
              <w:rPr>
                <w:szCs w:val="24"/>
                <w:lang w:eastAsia="lt-LT"/>
              </w:rPr>
              <w:t xml:space="preserve">Procedūros numatytos Tvarkos aprašo </w:t>
            </w:r>
            <w:r w:rsidR="00C556B0">
              <w:rPr>
                <w:szCs w:val="24"/>
                <w:lang w:eastAsia="lt-LT"/>
              </w:rPr>
              <w:t xml:space="preserve">II </w:t>
            </w:r>
            <w:r>
              <w:rPr>
                <w:szCs w:val="24"/>
                <w:lang w:eastAsia="lt-LT"/>
              </w:rPr>
              <w:t>skyriu</w:t>
            </w:r>
            <w:r w:rsidR="00C556B0">
              <w:rPr>
                <w:szCs w:val="24"/>
                <w:lang w:eastAsia="lt-LT"/>
              </w:rPr>
              <w:t xml:space="preserve">je.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r w:rsidR="00B34269">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2F0C67" w:rsidP="00C556B0">
            <w:pPr>
              <w:suppressAutoHyphens/>
              <w:spacing w:line="276" w:lineRule="auto"/>
              <w:textAlignment w:val="baseline"/>
            </w:pPr>
            <w:r>
              <w:lastRenderedPageBreak/>
              <w:t xml:space="preserve">Terminai numatyti Tvarkos aprašo </w:t>
            </w:r>
            <w:r w:rsidR="00C556B0">
              <w:t xml:space="preserve">6, 15 p., </w:t>
            </w:r>
            <w:r w:rsidR="00A34927">
              <w:t xml:space="preserve">Komisijos veiklos nuostatų </w:t>
            </w:r>
            <w:r w:rsidR="00C556B0">
              <w:t xml:space="preserve">14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F97C84">
            <w:pPr>
              <w:suppressAutoHyphens/>
              <w:spacing w:line="276" w:lineRule="auto"/>
              <w:textAlignment w:val="baseline"/>
              <w:rPr>
                <w:szCs w:val="24"/>
                <w:lang w:eastAsia="lt-LT"/>
              </w:rPr>
            </w:pPr>
            <w:r>
              <w:rPr>
                <w:szCs w:val="24"/>
                <w:lang w:eastAsia="lt-LT"/>
              </w:rPr>
              <w:t>Ne</w:t>
            </w:r>
            <w:r w:rsidR="00F97C84">
              <w:rPr>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C556B0" w:rsidP="00C556B0">
            <w:pPr>
              <w:suppressAutoHyphens/>
              <w:spacing w:line="276" w:lineRule="auto"/>
              <w:textAlignment w:val="baseline"/>
            </w:pPr>
            <w:r>
              <w:t xml:space="preserve">Kaip naudojamas savivaldybės turtas ir biudžetas kontrolę vykdo Kontrolės ir audito tarnyba.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3B676B">
            <w:pPr>
              <w:suppressAutoHyphens/>
              <w:spacing w:line="276" w:lineRule="auto"/>
              <w:textAlignment w:val="baseline"/>
              <w:rPr>
                <w:szCs w:val="24"/>
                <w:lang w:eastAsia="lt-LT"/>
              </w:rPr>
            </w:pPr>
            <w:r>
              <w:rPr>
                <w:szCs w:val="24"/>
                <w:lang w:eastAsia="lt-LT"/>
              </w:rPr>
              <w:t>Neaktualu</w:t>
            </w:r>
            <w:r w:rsidR="003B676B">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C556B0" w:rsidP="00641674">
            <w:pPr>
              <w:suppressAutoHyphens/>
              <w:spacing w:line="276" w:lineRule="auto"/>
              <w:textAlignment w:val="baseline"/>
              <w:rPr>
                <w:szCs w:val="24"/>
                <w:lang w:eastAsia="lt-LT"/>
              </w:rPr>
            </w:pPr>
            <w:r>
              <w:rPr>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7E6950" w:rsidP="00F97C84">
            <w:pPr>
              <w:spacing w:line="256" w:lineRule="auto"/>
              <w:jc w:val="both"/>
              <w:rPr>
                <w:szCs w:val="24"/>
                <w:lang w:eastAsia="lt-LT"/>
              </w:rPr>
            </w:pPr>
            <w:r>
              <w:t>N</w:t>
            </w:r>
            <w:r w:rsidR="00F97C84">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r w:rsidR="00C556B0">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59" w:rsidRDefault="009F7C59">
      <w:pPr>
        <w:rPr>
          <w:lang w:eastAsia="lt-LT"/>
        </w:rPr>
      </w:pPr>
      <w:r>
        <w:rPr>
          <w:lang w:eastAsia="lt-LT"/>
        </w:rPr>
        <w:separator/>
      </w:r>
    </w:p>
  </w:endnote>
  <w:endnote w:type="continuationSeparator" w:id="0">
    <w:p w:rsidR="009F7C59" w:rsidRDefault="009F7C5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59" w:rsidRDefault="009F7C59">
      <w:pPr>
        <w:rPr>
          <w:lang w:eastAsia="lt-LT"/>
        </w:rPr>
      </w:pPr>
      <w:r>
        <w:rPr>
          <w:lang w:eastAsia="lt-LT"/>
        </w:rPr>
        <w:separator/>
      </w:r>
    </w:p>
  </w:footnote>
  <w:footnote w:type="continuationSeparator" w:id="0">
    <w:p w:rsidR="009F7C59" w:rsidRDefault="009F7C59">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7039BD">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517ED"/>
    <w:rsid w:val="000A4700"/>
    <w:rsid w:val="000C3459"/>
    <w:rsid w:val="000D532D"/>
    <w:rsid w:val="000F4B50"/>
    <w:rsid w:val="00114EBC"/>
    <w:rsid w:val="00143E29"/>
    <w:rsid w:val="0015041E"/>
    <w:rsid w:val="00162ADE"/>
    <w:rsid w:val="00180B21"/>
    <w:rsid w:val="00212D92"/>
    <w:rsid w:val="00216961"/>
    <w:rsid w:val="00247DC2"/>
    <w:rsid w:val="00252FC8"/>
    <w:rsid w:val="00266721"/>
    <w:rsid w:val="002B197E"/>
    <w:rsid w:val="002B41A6"/>
    <w:rsid w:val="002F0C67"/>
    <w:rsid w:val="003145B0"/>
    <w:rsid w:val="00330A1C"/>
    <w:rsid w:val="0034635B"/>
    <w:rsid w:val="003755D1"/>
    <w:rsid w:val="003A0E5C"/>
    <w:rsid w:val="003B676B"/>
    <w:rsid w:val="003F11D8"/>
    <w:rsid w:val="004115F7"/>
    <w:rsid w:val="00494587"/>
    <w:rsid w:val="004B5D2E"/>
    <w:rsid w:val="004C66E7"/>
    <w:rsid w:val="004E1C2C"/>
    <w:rsid w:val="004F38E2"/>
    <w:rsid w:val="005852D0"/>
    <w:rsid w:val="005908C9"/>
    <w:rsid w:val="005E3409"/>
    <w:rsid w:val="00641674"/>
    <w:rsid w:val="006815C3"/>
    <w:rsid w:val="00690980"/>
    <w:rsid w:val="00696BEE"/>
    <w:rsid w:val="006B20C2"/>
    <w:rsid w:val="006E2EF9"/>
    <w:rsid w:val="006F12B6"/>
    <w:rsid w:val="007039BD"/>
    <w:rsid w:val="00734E44"/>
    <w:rsid w:val="007419F9"/>
    <w:rsid w:val="007516B4"/>
    <w:rsid w:val="007878E6"/>
    <w:rsid w:val="00791F6D"/>
    <w:rsid w:val="007A1193"/>
    <w:rsid w:val="007E6950"/>
    <w:rsid w:val="0081025E"/>
    <w:rsid w:val="0081430E"/>
    <w:rsid w:val="00816584"/>
    <w:rsid w:val="008578D1"/>
    <w:rsid w:val="00862D8A"/>
    <w:rsid w:val="00881ADD"/>
    <w:rsid w:val="008E2AA7"/>
    <w:rsid w:val="008E535B"/>
    <w:rsid w:val="009443E2"/>
    <w:rsid w:val="0096499B"/>
    <w:rsid w:val="00981B29"/>
    <w:rsid w:val="009F7C59"/>
    <w:rsid w:val="00A05A9C"/>
    <w:rsid w:val="00A34927"/>
    <w:rsid w:val="00A52D7B"/>
    <w:rsid w:val="00A75117"/>
    <w:rsid w:val="00A831B5"/>
    <w:rsid w:val="00AA0448"/>
    <w:rsid w:val="00AC0201"/>
    <w:rsid w:val="00B039C6"/>
    <w:rsid w:val="00B157A6"/>
    <w:rsid w:val="00B21B1D"/>
    <w:rsid w:val="00B23918"/>
    <w:rsid w:val="00B336F0"/>
    <w:rsid w:val="00B34269"/>
    <w:rsid w:val="00B80026"/>
    <w:rsid w:val="00C256B4"/>
    <w:rsid w:val="00C556B0"/>
    <w:rsid w:val="00CA42AF"/>
    <w:rsid w:val="00CA5F4D"/>
    <w:rsid w:val="00CE2D9E"/>
    <w:rsid w:val="00D04258"/>
    <w:rsid w:val="00D44316"/>
    <w:rsid w:val="00D47761"/>
    <w:rsid w:val="00D86C74"/>
    <w:rsid w:val="00DB0F11"/>
    <w:rsid w:val="00DC1C54"/>
    <w:rsid w:val="00DD00C8"/>
    <w:rsid w:val="00DF788C"/>
    <w:rsid w:val="00E33466"/>
    <w:rsid w:val="00E531FF"/>
    <w:rsid w:val="00EE7F67"/>
    <w:rsid w:val="00F300F3"/>
    <w:rsid w:val="00F42F63"/>
    <w:rsid w:val="00F95E59"/>
    <w:rsid w:val="00F97C84"/>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5240</Words>
  <Characters>2987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8211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Aušra Vyšniauskienė</cp:lastModifiedBy>
  <cp:revision>4</cp:revision>
  <cp:lastPrinted>2023-05-06T08:40:00Z</cp:lastPrinted>
  <dcterms:created xsi:type="dcterms:W3CDTF">2023-05-06T08:33:00Z</dcterms:created>
  <dcterms:modified xsi:type="dcterms:W3CDTF">2023-05-06T08:42:00Z</dcterms:modified>
</cp:coreProperties>
</file>