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C81592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DĖL </w:t>
      </w:r>
      <w:r w:rsidR="00EF6D2B">
        <w:rPr>
          <w:b/>
          <w:sz w:val="24"/>
          <w:szCs w:val="24"/>
        </w:rPr>
        <w:t xml:space="preserve">ILGALAIKIO IR </w:t>
      </w:r>
      <w:r w:rsidR="00476434" w:rsidRPr="00FE1381">
        <w:rPr>
          <w:b/>
          <w:sz w:val="24"/>
          <w:szCs w:val="24"/>
        </w:rPr>
        <w:t>TRUMPALAIKIO</w:t>
      </w:r>
      <w:r w:rsidR="00343451" w:rsidRPr="00FE1381">
        <w:rPr>
          <w:b/>
          <w:sz w:val="24"/>
          <w:szCs w:val="24"/>
        </w:rPr>
        <w:t xml:space="preserve"> TURTO</w:t>
      </w:r>
      <w:r w:rsidRPr="00FE1381">
        <w:rPr>
          <w:b/>
          <w:sz w:val="24"/>
          <w:szCs w:val="24"/>
        </w:rPr>
        <w:t xml:space="preserve"> PERĖMIMO SAVIVALDYBĖS NUOSAVYBĖN IR JO PERDAVIMO VALDYTI, NAUDOTI IR DISPONUOTI </w:t>
      </w:r>
      <w:r w:rsidR="000F2C4F" w:rsidRPr="00FE1381">
        <w:rPr>
          <w:b/>
          <w:sz w:val="24"/>
          <w:szCs w:val="24"/>
        </w:rPr>
        <w:t xml:space="preserve">JUO </w:t>
      </w:r>
      <w:r w:rsidRPr="00FE1381">
        <w:rPr>
          <w:b/>
          <w:sz w:val="24"/>
          <w:szCs w:val="24"/>
        </w:rPr>
        <w:t xml:space="preserve">PATIKĖJIMO TEISE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8729C4" w:rsidRPr="00FE1381">
        <w:rPr>
          <w:sz w:val="24"/>
          <w:szCs w:val="24"/>
        </w:rPr>
        <w:t>1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EF6D2B">
        <w:rPr>
          <w:sz w:val="24"/>
          <w:szCs w:val="24"/>
        </w:rPr>
        <w:t>gruodžio 2</w:t>
      </w:r>
      <w:r w:rsidRPr="00FE1381">
        <w:rPr>
          <w:sz w:val="24"/>
          <w:szCs w:val="24"/>
        </w:rPr>
        <w:t xml:space="preserve"> d. Nr. T-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343451" w:rsidRPr="00FE1381">
        <w:rPr>
          <w:sz w:val="24"/>
          <w:szCs w:val="24"/>
        </w:rPr>
        <w:t>5</w:t>
      </w:r>
      <w:r w:rsidR="00625882" w:rsidRPr="00FE1381">
        <w:rPr>
          <w:sz w:val="24"/>
          <w:szCs w:val="24"/>
        </w:rPr>
        <w:t xml:space="preserve"> ir </w:t>
      </w:r>
      <w:r w:rsidR="00343451" w:rsidRPr="00FE1381">
        <w:rPr>
          <w:sz w:val="24"/>
          <w:szCs w:val="24"/>
        </w:rPr>
        <w:t>6</w:t>
      </w:r>
      <w:r w:rsidRPr="00FE1381">
        <w:rPr>
          <w:sz w:val="24"/>
          <w:szCs w:val="24"/>
        </w:rPr>
        <w:t xml:space="preserve">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 w:rsidRPr="00FE1381">
        <w:rPr>
          <w:sz w:val="24"/>
          <w:szCs w:val="24"/>
        </w:rPr>
        <w:t xml:space="preserve">Nacionalinės </w:t>
      </w:r>
      <w:r w:rsidRPr="00FE1381">
        <w:rPr>
          <w:sz w:val="24"/>
          <w:szCs w:val="24"/>
        </w:rPr>
        <w:t>švietimo</w:t>
      </w:r>
      <w:r w:rsidR="008E4AB0" w:rsidRPr="00FE1381">
        <w:rPr>
          <w:sz w:val="24"/>
          <w:szCs w:val="24"/>
        </w:rPr>
        <w:t xml:space="preserve"> agentūros 202</w:t>
      </w:r>
      <w:r w:rsidR="00343451" w:rsidRPr="00FE1381">
        <w:rPr>
          <w:sz w:val="24"/>
          <w:szCs w:val="24"/>
        </w:rPr>
        <w:t>1</w:t>
      </w:r>
      <w:r w:rsidR="008E4AB0" w:rsidRPr="00FE1381">
        <w:rPr>
          <w:sz w:val="24"/>
          <w:szCs w:val="24"/>
        </w:rPr>
        <w:t xml:space="preserve"> m. </w:t>
      </w:r>
      <w:r w:rsidR="00476434" w:rsidRPr="00FE1381">
        <w:rPr>
          <w:sz w:val="24"/>
          <w:szCs w:val="24"/>
        </w:rPr>
        <w:t>l</w:t>
      </w:r>
      <w:r w:rsidR="00EF6D2B">
        <w:rPr>
          <w:sz w:val="24"/>
          <w:szCs w:val="24"/>
        </w:rPr>
        <w:t>apkričio 8</w:t>
      </w:r>
      <w:r w:rsidR="008729C4" w:rsidRPr="00FE1381">
        <w:rPr>
          <w:sz w:val="24"/>
          <w:szCs w:val="24"/>
        </w:rPr>
        <w:t xml:space="preserve">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EF6D2B">
        <w:rPr>
          <w:sz w:val="24"/>
          <w:szCs w:val="24"/>
        </w:rPr>
        <w:t>3509</w:t>
      </w:r>
      <w:r w:rsidR="00F659AC" w:rsidRPr="00FE1381">
        <w:rPr>
          <w:sz w:val="24"/>
          <w:szCs w:val="24"/>
        </w:rPr>
        <w:t>(1.6E)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ilgalaikio ir </w:t>
      </w:r>
      <w:r w:rsidR="00343451" w:rsidRPr="00FE1381">
        <w:rPr>
          <w:sz w:val="24"/>
          <w:szCs w:val="24"/>
        </w:rPr>
        <w:t xml:space="preserve">trumpalaikio turto perdavimo </w:t>
      </w:r>
      <w:r w:rsidR="00476434" w:rsidRPr="00FE1381">
        <w:rPr>
          <w:sz w:val="24"/>
          <w:szCs w:val="24"/>
        </w:rPr>
        <w:t xml:space="preserve">nuosavybės </w:t>
      </w:r>
      <w:r w:rsidR="00343451" w:rsidRPr="00FE1381">
        <w:rPr>
          <w:sz w:val="24"/>
          <w:szCs w:val="24"/>
        </w:rPr>
        <w:t>teise</w:t>
      </w:r>
      <w:r w:rsidR="00476434" w:rsidRPr="00FE1381">
        <w:rPr>
          <w:sz w:val="24"/>
          <w:szCs w:val="24"/>
        </w:rPr>
        <w:t xml:space="preserve"> valdyti</w:t>
      </w:r>
      <w:r w:rsidR="00E57A72" w:rsidRPr="00FE1381">
        <w:rPr>
          <w:sz w:val="24"/>
          <w:szCs w:val="24"/>
        </w:rPr>
        <w:t>“</w:t>
      </w:r>
      <w:r w:rsidRPr="00FE1381">
        <w:rPr>
          <w:sz w:val="24"/>
          <w:szCs w:val="24"/>
        </w:rPr>
        <w:t xml:space="preserve">, 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savarankiškosioms funkcijoms įgyvendinti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F659AC" w:rsidRPr="00FE1381">
        <w:rPr>
          <w:sz w:val="24"/>
          <w:szCs w:val="24"/>
        </w:rPr>
        <w:t xml:space="preserve">Nacionalinės švietimo agentūros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343451" w:rsidRPr="00FE1381">
        <w:rPr>
          <w:sz w:val="24"/>
          <w:szCs w:val="24"/>
        </w:rPr>
        <w:t>turtą (</w:t>
      </w:r>
      <w:r w:rsidR="00476434" w:rsidRPr="00FE1381">
        <w:rPr>
          <w:sz w:val="24"/>
          <w:szCs w:val="24"/>
        </w:rPr>
        <w:t>pridedama</w:t>
      </w:r>
      <w:r w:rsidR="00343451" w:rsidRPr="00FE1381">
        <w:rPr>
          <w:sz w:val="24"/>
          <w:szCs w:val="24"/>
        </w:rPr>
        <w:t>)</w:t>
      </w:r>
      <w:r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</w:t>
      </w:r>
      <w:r w:rsidR="001D6A82">
        <w:rPr>
          <w:sz w:val="24"/>
          <w:szCs w:val="24"/>
        </w:rPr>
        <w:t>imtą</w:t>
      </w:r>
      <w:r w:rsidR="00CD2930" w:rsidRPr="00FE1381">
        <w:rPr>
          <w:sz w:val="24"/>
          <w:szCs w:val="24"/>
        </w:rPr>
        <w:t xml:space="preserve"> savivaldybės nuosavybėn sprendimo 1 punkte nurodytą turtą perduoti </w:t>
      </w:r>
      <w:r w:rsidR="0074089C">
        <w:rPr>
          <w:sz w:val="24"/>
          <w:szCs w:val="24"/>
        </w:rPr>
        <w:t xml:space="preserve">Panevėžio rajono pedagoginei psichologinei tarnybai </w:t>
      </w:r>
      <w:r w:rsidRPr="00FE1381">
        <w:rPr>
          <w:sz w:val="24"/>
          <w:szCs w:val="24"/>
        </w:rPr>
        <w:t>valdyti, naudoti ir disponuoti juo patikėjimo teise.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3.  Savivaldybės nuosavybėn  perduotas turtas bus naudojamas </w:t>
      </w:r>
      <w:r w:rsidR="0074089C">
        <w:rPr>
          <w:sz w:val="24"/>
          <w:szCs w:val="24"/>
        </w:rPr>
        <w:t>atliekant vaiko kognityvinių (pažintinių) funkcijų, elgesio ir emocijų sunkumų, raidos lygio vertinimą</w:t>
      </w:r>
      <w:r w:rsidR="00575D94">
        <w:rPr>
          <w:sz w:val="24"/>
          <w:szCs w:val="24"/>
        </w:rPr>
        <w:t xml:space="preserve"> Panevėžio rajono</w:t>
      </w:r>
      <w:r w:rsidR="0074089C">
        <w:rPr>
          <w:sz w:val="24"/>
          <w:szCs w:val="24"/>
        </w:rPr>
        <w:t xml:space="preserve"> pedagoginėje psichologinėje tarnyboje</w:t>
      </w:r>
      <w:r w:rsidRPr="00FE1381">
        <w:rPr>
          <w:sz w:val="24"/>
          <w:szCs w:val="24"/>
        </w:rPr>
        <w:t xml:space="preserve">. </w:t>
      </w:r>
    </w:p>
    <w:p w:rsidR="005A3BBD" w:rsidRPr="00FE1381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 xml:space="preserve">1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aktą.</w:t>
      </w:r>
    </w:p>
    <w:p w:rsidR="005A3BBD" w:rsidRPr="00FE1381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1D6A82" w:rsidRPr="00FE1381" w:rsidRDefault="001D6A82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E3BBF" w:rsidRPr="00FE1381" w:rsidRDefault="005E3BBF" w:rsidP="005E3BBF">
      <w:pPr>
        <w:ind w:left="5040"/>
        <w:jc w:val="both"/>
        <w:rPr>
          <w:sz w:val="24"/>
          <w:szCs w:val="24"/>
          <w:lang w:eastAsia="lt-LT"/>
        </w:rPr>
      </w:pPr>
      <w:r w:rsidRPr="00FE1381">
        <w:rPr>
          <w:sz w:val="24"/>
          <w:szCs w:val="24"/>
        </w:rPr>
        <w:lastRenderedPageBreak/>
        <w:t>Panevėžio rajono savivaldybės tarybos</w:t>
      </w:r>
    </w:p>
    <w:p w:rsidR="005E3BBF" w:rsidRPr="00FE1381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2021 m. </w:t>
      </w:r>
      <w:r w:rsidR="0074089C">
        <w:rPr>
          <w:sz w:val="24"/>
          <w:szCs w:val="24"/>
        </w:rPr>
        <w:t xml:space="preserve">gruodžio </w:t>
      </w:r>
      <w:r w:rsidR="00C76DD8" w:rsidRPr="00FE1381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d. sprendimo Nr. T-</w:t>
      </w:r>
    </w:p>
    <w:p w:rsidR="00462CFA" w:rsidRPr="00FE1381" w:rsidRDefault="00462CFA" w:rsidP="00462CFA">
      <w:pPr>
        <w:pStyle w:val="Standard"/>
        <w:ind w:left="4320" w:firstLine="720"/>
        <w:rPr>
          <w:sz w:val="24"/>
          <w:szCs w:val="24"/>
        </w:rPr>
      </w:pPr>
      <w:r w:rsidRPr="00FE1381">
        <w:rPr>
          <w:sz w:val="24"/>
          <w:szCs w:val="24"/>
        </w:rPr>
        <w:t>p</w:t>
      </w:r>
      <w:r w:rsidR="005E3BBF" w:rsidRPr="00FE1381">
        <w:rPr>
          <w:sz w:val="24"/>
          <w:szCs w:val="24"/>
        </w:rPr>
        <w:t>riedas</w:t>
      </w:r>
    </w:p>
    <w:p w:rsidR="00462CFA" w:rsidRPr="00FE1381" w:rsidRDefault="00462CFA" w:rsidP="00462CFA">
      <w:pPr>
        <w:pStyle w:val="Standard"/>
        <w:ind w:left="4320" w:firstLine="720"/>
        <w:rPr>
          <w:sz w:val="24"/>
          <w:szCs w:val="24"/>
        </w:rPr>
      </w:pPr>
    </w:p>
    <w:p w:rsidR="00575D94" w:rsidRPr="00C83F23" w:rsidRDefault="00575D94" w:rsidP="00575D94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F23">
        <w:rPr>
          <w:rFonts w:ascii="Times New Roman" w:hAnsi="Times New Roman" w:cs="Times New Roman"/>
          <w:b/>
          <w:bCs/>
          <w:sz w:val="24"/>
          <w:szCs w:val="24"/>
        </w:rPr>
        <w:t>Ilgalaikio nematerialiojo turto sąrašas</w:t>
      </w:r>
    </w:p>
    <w:p w:rsidR="00575D94" w:rsidRDefault="00575D94" w:rsidP="00575D9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75D94" w:rsidRDefault="00575D94" w:rsidP="00575D9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6"/>
        <w:gridCol w:w="1697"/>
        <w:gridCol w:w="1280"/>
        <w:gridCol w:w="1112"/>
        <w:gridCol w:w="862"/>
        <w:gridCol w:w="798"/>
        <w:gridCol w:w="1102"/>
        <w:gridCol w:w="1087"/>
        <w:gridCol w:w="1272"/>
      </w:tblGrid>
      <w:tr w:rsidR="00575D94" w:rsidRPr="00C83F23" w:rsidTr="00171502">
        <w:trPr>
          <w:trHeight w:val="1143"/>
        </w:trPr>
        <w:tc>
          <w:tcPr>
            <w:tcW w:w="566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1" w:name="Sheet1!A4:J4"/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 xml:space="preserve">Eil. Nr. </w:t>
            </w:r>
            <w:bookmarkEnd w:id="1"/>
          </w:p>
        </w:tc>
        <w:tc>
          <w:tcPr>
            <w:tcW w:w="1697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Turto pavadinimas</w:t>
            </w:r>
          </w:p>
        </w:tc>
        <w:tc>
          <w:tcPr>
            <w:tcW w:w="1280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Inventorinis Nr.</w:t>
            </w:r>
          </w:p>
        </w:tc>
        <w:tc>
          <w:tcPr>
            <w:tcW w:w="1112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Įsigijimo metai</w:t>
            </w:r>
          </w:p>
        </w:tc>
        <w:tc>
          <w:tcPr>
            <w:tcW w:w="862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Kiekis</w:t>
            </w:r>
          </w:p>
        </w:tc>
        <w:tc>
          <w:tcPr>
            <w:tcW w:w="798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Mato vnt.</w:t>
            </w:r>
          </w:p>
        </w:tc>
        <w:tc>
          <w:tcPr>
            <w:tcW w:w="1102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Vieneto įsigijimo vertė, Eur</w:t>
            </w:r>
          </w:p>
        </w:tc>
        <w:tc>
          <w:tcPr>
            <w:tcW w:w="1087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Bendra įsigijimo vertė, Eur</w:t>
            </w:r>
          </w:p>
        </w:tc>
        <w:tc>
          <w:tcPr>
            <w:tcW w:w="1272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Bendra likutinė vertė, Eur 2021-09-30</w:t>
            </w:r>
          </w:p>
        </w:tc>
      </w:tr>
      <w:tr w:rsidR="00575D94" w:rsidRPr="00C83F23" w:rsidTr="00171502">
        <w:trPr>
          <w:trHeight w:val="372"/>
        </w:trPr>
        <w:tc>
          <w:tcPr>
            <w:tcW w:w="566" w:type="dxa"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697" w:type="dxa"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ADM programa</w:t>
            </w:r>
          </w:p>
        </w:tc>
        <w:tc>
          <w:tcPr>
            <w:tcW w:w="1280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401A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1121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97</w:t>
            </w:r>
          </w:p>
        </w:tc>
        <w:tc>
          <w:tcPr>
            <w:tcW w:w="111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2019</w:t>
            </w:r>
          </w:p>
        </w:tc>
        <w:tc>
          <w:tcPr>
            <w:tcW w:w="86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798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0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  <w:tc>
          <w:tcPr>
            <w:tcW w:w="1087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  <w:tc>
          <w:tcPr>
            <w:tcW w:w="127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</w:tr>
      <w:tr w:rsidR="00575D94" w:rsidRPr="00C83F23" w:rsidTr="00171502">
        <w:trPr>
          <w:trHeight w:val="379"/>
        </w:trPr>
        <w:tc>
          <w:tcPr>
            <w:tcW w:w="7417" w:type="dxa"/>
            <w:gridSpan w:val="7"/>
          </w:tcPr>
          <w:p w:rsidR="00575D94" w:rsidRPr="00C83F23" w:rsidRDefault="00575D94" w:rsidP="00171502">
            <w:pPr>
              <w:pStyle w:val="Betarp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 viso</w:t>
            </w:r>
          </w:p>
        </w:tc>
        <w:tc>
          <w:tcPr>
            <w:tcW w:w="1087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  <w:tc>
          <w:tcPr>
            <w:tcW w:w="127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</w:tr>
    </w:tbl>
    <w:p w:rsidR="00575D94" w:rsidRDefault="00575D94" w:rsidP="00575D94">
      <w:pPr>
        <w:pStyle w:val="Betarp"/>
        <w:rPr>
          <w:sz w:val="24"/>
          <w:szCs w:val="24"/>
        </w:rPr>
      </w:pPr>
    </w:p>
    <w:p w:rsidR="00575D94" w:rsidRPr="00E93C80" w:rsidRDefault="00575D94" w:rsidP="00575D94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C80">
        <w:rPr>
          <w:rFonts w:ascii="Times New Roman" w:hAnsi="Times New Roman" w:cs="Times New Roman"/>
          <w:b/>
          <w:bCs/>
          <w:sz w:val="24"/>
          <w:szCs w:val="24"/>
        </w:rPr>
        <w:t>Trumpalaikio turto sąrašas</w:t>
      </w:r>
    </w:p>
    <w:p w:rsidR="00575D94" w:rsidRDefault="00575D94" w:rsidP="00575D9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5D94" w:rsidRDefault="00575D94" w:rsidP="00575D9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6"/>
        <w:gridCol w:w="1981"/>
        <w:gridCol w:w="1701"/>
        <w:gridCol w:w="1112"/>
        <w:gridCol w:w="862"/>
        <w:gridCol w:w="798"/>
        <w:gridCol w:w="1342"/>
        <w:gridCol w:w="1360"/>
      </w:tblGrid>
      <w:tr w:rsidR="00575D94" w:rsidRPr="00C83F23" w:rsidTr="00575D94">
        <w:trPr>
          <w:trHeight w:val="921"/>
        </w:trPr>
        <w:tc>
          <w:tcPr>
            <w:tcW w:w="566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 xml:space="preserve">Eil. Nr. </w:t>
            </w:r>
          </w:p>
        </w:tc>
        <w:tc>
          <w:tcPr>
            <w:tcW w:w="1981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Turto pavadinimas</w:t>
            </w:r>
          </w:p>
        </w:tc>
        <w:tc>
          <w:tcPr>
            <w:tcW w:w="1701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Inventorinis Nr.</w:t>
            </w:r>
          </w:p>
        </w:tc>
        <w:tc>
          <w:tcPr>
            <w:tcW w:w="1112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Įsigijimo metai</w:t>
            </w:r>
          </w:p>
        </w:tc>
        <w:tc>
          <w:tcPr>
            <w:tcW w:w="862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Kiekis</w:t>
            </w:r>
          </w:p>
        </w:tc>
        <w:tc>
          <w:tcPr>
            <w:tcW w:w="798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Mato vnt.</w:t>
            </w:r>
          </w:p>
        </w:tc>
        <w:tc>
          <w:tcPr>
            <w:tcW w:w="1342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Vieneto įsigijimo vertė, Eur</w:t>
            </w:r>
          </w:p>
        </w:tc>
        <w:tc>
          <w:tcPr>
            <w:tcW w:w="1360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Bendra įsigijimo vertė, Eur</w:t>
            </w:r>
          </w:p>
        </w:tc>
      </w:tr>
      <w:tr w:rsidR="00575D94" w:rsidRPr="00C83F23" w:rsidTr="00575D94">
        <w:trPr>
          <w:trHeight w:val="372"/>
        </w:trPr>
        <w:tc>
          <w:tcPr>
            <w:tcW w:w="566" w:type="dxa"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1" w:type="dxa"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3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Bender Geštalt metodika</w:t>
            </w:r>
          </w:p>
        </w:tc>
        <w:tc>
          <w:tcPr>
            <w:tcW w:w="1701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3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AT-008165</w:t>
            </w:r>
          </w:p>
        </w:tc>
        <w:tc>
          <w:tcPr>
            <w:tcW w:w="111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2019</w:t>
            </w:r>
          </w:p>
        </w:tc>
        <w:tc>
          <w:tcPr>
            <w:tcW w:w="86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798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34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3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121,00</w:t>
            </w:r>
          </w:p>
        </w:tc>
        <w:tc>
          <w:tcPr>
            <w:tcW w:w="1360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121</w:t>
            </w:r>
            <w:r w:rsidRPr="00E93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,00</w:t>
            </w:r>
          </w:p>
        </w:tc>
      </w:tr>
      <w:tr w:rsidR="00575D94" w:rsidRPr="00C83F23" w:rsidTr="00575D94">
        <w:trPr>
          <w:trHeight w:val="379"/>
        </w:trPr>
        <w:tc>
          <w:tcPr>
            <w:tcW w:w="8362" w:type="dxa"/>
            <w:gridSpan w:val="7"/>
          </w:tcPr>
          <w:p w:rsidR="00575D94" w:rsidRPr="00C83F23" w:rsidRDefault="00575D94" w:rsidP="00171502">
            <w:pPr>
              <w:pStyle w:val="Betarp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 viso</w:t>
            </w:r>
          </w:p>
        </w:tc>
        <w:tc>
          <w:tcPr>
            <w:tcW w:w="1360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121,00</w:t>
            </w:r>
          </w:p>
        </w:tc>
      </w:tr>
    </w:tbl>
    <w:p w:rsidR="00575D94" w:rsidRDefault="00575D94" w:rsidP="00575D94">
      <w:pPr>
        <w:pStyle w:val="Betarp"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575D94" w:rsidRPr="00D91DC2" w:rsidRDefault="00575D94" w:rsidP="00575D94">
      <w:pPr>
        <w:pStyle w:val="Betarp"/>
        <w:rPr>
          <w:sz w:val="24"/>
          <w:szCs w:val="24"/>
        </w:rPr>
      </w:pPr>
    </w:p>
    <w:p w:rsidR="00575D94" w:rsidRDefault="00575D94" w:rsidP="00575D94">
      <w:pPr>
        <w:rPr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C51919" w:rsidRPr="00FE1381" w:rsidRDefault="00C51919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1D6A82" w:rsidRDefault="001D6A82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PANEVĖŽIO RAJONO SAVIVALDYBĖS ADMINISTRACIJOS</w:t>
      </w:r>
    </w:p>
    <w:p w:rsidR="005A3BBD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:rsidR="001D6A82" w:rsidRPr="00FE1381" w:rsidRDefault="001D6A82">
      <w:pPr>
        <w:ind w:right="-1185"/>
        <w:jc w:val="center"/>
        <w:rPr>
          <w:b/>
          <w:sz w:val="24"/>
          <w:szCs w:val="24"/>
        </w:rPr>
      </w:pPr>
    </w:p>
    <w:p w:rsidR="005A3BBD" w:rsidRPr="00FE1381" w:rsidRDefault="005A3BBD">
      <w:pPr>
        <w:ind w:right="-1185"/>
        <w:rPr>
          <w:sz w:val="24"/>
          <w:szCs w:val="24"/>
        </w:rPr>
      </w:pPr>
    </w:p>
    <w:p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:rsidR="001D6A82" w:rsidRPr="00FE1381" w:rsidRDefault="001D6A82">
      <w:pPr>
        <w:ind w:right="-1185"/>
        <w:rPr>
          <w:sz w:val="24"/>
          <w:szCs w:val="24"/>
        </w:rPr>
      </w:pPr>
    </w:p>
    <w:p w:rsidR="005A3BBD" w:rsidRPr="00FE1381" w:rsidRDefault="005A3BBD">
      <w:pPr>
        <w:ind w:right="-1185"/>
        <w:rPr>
          <w:sz w:val="24"/>
          <w:szCs w:val="24"/>
        </w:rPr>
      </w:pPr>
    </w:p>
    <w:p w:rsidR="005A3BBD" w:rsidRPr="00FE1381" w:rsidRDefault="001D6A82" w:rsidP="00625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C51919" w:rsidRPr="00FE1381">
        <w:rPr>
          <w:b/>
          <w:sz w:val="24"/>
          <w:szCs w:val="24"/>
        </w:rPr>
        <w:t xml:space="preserve">DĖL </w:t>
      </w:r>
      <w:r w:rsidR="005D6DBF">
        <w:rPr>
          <w:b/>
          <w:sz w:val="24"/>
          <w:szCs w:val="24"/>
        </w:rPr>
        <w:t>ILGALAIKIO</w:t>
      </w:r>
      <w:r w:rsidR="005D6DBF" w:rsidRPr="00FE1381">
        <w:rPr>
          <w:b/>
          <w:sz w:val="24"/>
          <w:szCs w:val="24"/>
        </w:rPr>
        <w:t xml:space="preserve"> </w:t>
      </w:r>
      <w:r w:rsidR="005D6DBF">
        <w:rPr>
          <w:b/>
          <w:sz w:val="24"/>
          <w:szCs w:val="24"/>
        </w:rPr>
        <w:t xml:space="preserve"> IR </w:t>
      </w:r>
      <w:r w:rsidR="00C51919" w:rsidRPr="00FE1381">
        <w:rPr>
          <w:b/>
          <w:sz w:val="24"/>
          <w:szCs w:val="24"/>
        </w:rPr>
        <w:t>TRUMPALAIKIO TURTO PERĖMIMO SAVIVALDYBĖS NUOSAVYBĖN IR JO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  <w:r w:rsidR="002C52F3" w:rsidRPr="00FE1381">
        <w:rPr>
          <w:b/>
          <w:sz w:val="24"/>
          <w:szCs w:val="24"/>
        </w:rPr>
        <w:t xml:space="preserve"> AIŠKINAMASIS RAŠTAS 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6473A0" w:rsidRPr="00FE1381">
        <w:rPr>
          <w:sz w:val="24"/>
          <w:szCs w:val="24"/>
        </w:rPr>
        <w:t xml:space="preserve">1 m. </w:t>
      </w:r>
      <w:r w:rsidR="0074089C">
        <w:rPr>
          <w:sz w:val="24"/>
          <w:szCs w:val="24"/>
        </w:rPr>
        <w:t>lapkričio 16</w:t>
      </w:r>
      <w:r w:rsidRPr="00FE1381">
        <w:rPr>
          <w:sz w:val="24"/>
          <w:szCs w:val="24"/>
        </w:rPr>
        <w:t xml:space="preserve"> d.</w:t>
      </w:r>
    </w:p>
    <w:p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C51919" w:rsidRPr="00FE1381" w:rsidRDefault="00C51919">
      <w:pPr>
        <w:jc w:val="center"/>
        <w:rPr>
          <w:sz w:val="24"/>
          <w:szCs w:val="24"/>
        </w:rPr>
      </w:pPr>
    </w:p>
    <w:p w:rsidR="00CD2930" w:rsidRPr="00FE1381" w:rsidRDefault="002C52F3" w:rsidP="002C52F3">
      <w:pPr>
        <w:ind w:firstLine="720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1</w:t>
      </w:r>
      <w:r w:rsidR="00CD2930" w:rsidRPr="00FE1381">
        <w:rPr>
          <w:b/>
          <w:sz w:val="24"/>
          <w:szCs w:val="24"/>
        </w:rPr>
        <w:t>. Sprendimo projekto tikslai ir uždaviniai</w:t>
      </w:r>
    </w:p>
    <w:p w:rsidR="00CD2930" w:rsidRPr="00FE1381" w:rsidRDefault="00CD2930" w:rsidP="00CD2930">
      <w:pPr>
        <w:jc w:val="both"/>
        <w:rPr>
          <w:color w:val="000000"/>
          <w:spacing w:val="7"/>
          <w:sz w:val="24"/>
          <w:szCs w:val="24"/>
        </w:rPr>
      </w:pPr>
      <w:r w:rsidRPr="00FE1381">
        <w:rPr>
          <w:b/>
          <w:sz w:val="24"/>
          <w:szCs w:val="24"/>
        </w:rPr>
        <w:tab/>
      </w:r>
      <w:r w:rsidRPr="00FE1381">
        <w:rPr>
          <w:sz w:val="24"/>
          <w:szCs w:val="24"/>
        </w:rPr>
        <w:t xml:space="preserve">Parengtas sprendimo projektas </w:t>
      </w:r>
      <w:r w:rsidR="00C51919" w:rsidRPr="00FE1381">
        <w:rPr>
          <w:sz w:val="24"/>
          <w:szCs w:val="24"/>
        </w:rPr>
        <w:t>sutikti perimti Panevėžio rajono savivaldybės nuosavybėn savarankiškosioms funkcijoms įgyvendinti valstybei nuosavybės teise priklausantį ir šiuo metu Nacionalinės švietimo agentūros patikėjimo teise valdomą turtą</w:t>
      </w:r>
      <w:r w:rsidR="00462CFA" w:rsidRPr="00FE1381">
        <w:rPr>
          <w:sz w:val="24"/>
          <w:szCs w:val="24"/>
        </w:rPr>
        <w:t>.</w:t>
      </w:r>
    </w:p>
    <w:p w:rsidR="00CD2930" w:rsidRPr="00FE1381" w:rsidRDefault="00CD2930" w:rsidP="00CD2930">
      <w:pPr>
        <w:rPr>
          <w:b/>
          <w:bCs/>
          <w:sz w:val="24"/>
          <w:szCs w:val="24"/>
        </w:rPr>
      </w:pPr>
      <w:r w:rsidRPr="00FE1381">
        <w:rPr>
          <w:color w:val="000000"/>
          <w:spacing w:val="7"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>2.</w:t>
      </w:r>
      <w:r w:rsidRPr="00FE1381">
        <w:rPr>
          <w:b/>
          <w:sz w:val="24"/>
          <w:szCs w:val="24"/>
        </w:rPr>
        <w:t xml:space="preserve"> Siūlomos teisinio reguliavimo nuostatos</w:t>
      </w:r>
      <w:r w:rsidRPr="00FE1381">
        <w:rPr>
          <w:b/>
          <w:bCs/>
          <w:sz w:val="24"/>
          <w:szCs w:val="24"/>
        </w:rPr>
        <w:t xml:space="preserve"> </w:t>
      </w:r>
    </w:p>
    <w:p w:rsidR="00C51919" w:rsidRPr="00FE1381" w:rsidRDefault="00CD2930" w:rsidP="00C51919">
      <w:pPr>
        <w:ind w:left="30"/>
        <w:jc w:val="both"/>
        <w:rPr>
          <w:color w:val="000000"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="00C51919" w:rsidRPr="00FE1381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 w:rsidRPr="00FE1381">
        <w:rPr>
          <w:sz w:val="24"/>
          <w:szCs w:val="24"/>
        </w:rPr>
        <w:t>s</w:t>
      </w:r>
      <w:r w:rsidR="00C51919" w:rsidRPr="00FE1381">
        <w:rPr>
          <w:sz w:val="24"/>
          <w:szCs w:val="24"/>
        </w:rPr>
        <w:t xml:space="preserve">avivaldybė turtą įgyja </w:t>
      </w:r>
      <w:r w:rsidR="002C52F3" w:rsidRPr="00FE1381">
        <w:rPr>
          <w:color w:val="000000"/>
          <w:sz w:val="24"/>
          <w:szCs w:val="24"/>
        </w:rPr>
        <w:t>S</w:t>
      </w:r>
      <w:r w:rsidR="00C51919" w:rsidRPr="00FE1381">
        <w:rPr>
          <w:color w:val="000000"/>
          <w:sz w:val="24"/>
          <w:szCs w:val="24"/>
        </w:rPr>
        <w:t>avivaldybės tarybos sutikimu perimdama valstybės turtą savivaldybės savarankiškosioms funkcijoms įgyvendinti, kai šis turtas perduodamas savivaldybės nuosavybėn pagal Lietuvos Respublikos Vyriausybės nutarimus.</w:t>
      </w:r>
    </w:p>
    <w:p w:rsidR="00C51919" w:rsidRPr="00FE1381" w:rsidRDefault="00C51919" w:rsidP="00C51919">
      <w:pPr>
        <w:ind w:left="30"/>
        <w:jc w:val="both"/>
        <w:rPr>
          <w:sz w:val="24"/>
          <w:szCs w:val="24"/>
        </w:rPr>
      </w:pPr>
      <w:r w:rsidRPr="00FE1381">
        <w:rPr>
          <w:color w:val="000000"/>
          <w:sz w:val="24"/>
          <w:szCs w:val="24"/>
        </w:rPr>
        <w:tab/>
        <w:t xml:space="preserve">Valstybės turtas </w:t>
      </w:r>
      <w:r w:rsidRPr="00FE1381">
        <w:rPr>
          <w:sz w:val="24"/>
          <w:szCs w:val="24"/>
        </w:rPr>
        <w:t>savivaldybės nuosavybėn bus perduodamas Savivaldybės taryb</w:t>
      </w:r>
      <w:r w:rsidR="001D6A82">
        <w:rPr>
          <w:sz w:val="24"/>
          <w:szCs w:val="24"/>
        </w:rPr>
        <w:t>ai</w:t>
      </w:r>
      <w:r w:rsidRPr="00FE1381">
        <w:rPr>
          <w:sz w:val="24"/>
          <w:szCs w:val="24"/>
        </w:rPr>
        <w:t xml:space="preserve"> </w:t>
      </w:r>
      <w:r w:rsidR="001D6A82">
        <w:rPr>
          <w:sz w:val="24"/>
          <w:szCs w:val="24"/>
        </w:rPr>
        <w:t xml:space="preserve">priėmus </w:t>
      </w:r>
      <w:r w:rsidRPr="00FE1381">
        <w:rPr>
          <w:sz w:val="24"/>
          <w:szCs w:val="24"/>
        </w:rPr>
        <w:t>sprendim</w:t>
      </w:r>
      <w:r w:rsidR="001D6A82">
        <w:rPr>
          <w:sz w:val="24"/>
          <w:szCs w:val="24"/>
        </w:rPr>
        <w:t>ą</w:t>
      </w:r>
      <w:r w:rsidRPr="00FE1381">
        <w:rPr>
          <w:sz w:val="24"/>
          <w:szCs w:val="24"/>
        </w:rPr>
        <w:t xml:space="preserve">. </w:t>
      </w:r>
    </w:p>
    <w:p w:rsidR="00CD2930" w:rsidRPr="00FE1381" w:rsidRDefault="00CD2930" w:rsidP="00C51919">
      <w:pPr>
        <w:ind w:left="30"/>
        <w:jc w:val="both"/>
        <w:rPr>
          <w:b/>
          <w:sz w:val="24"/>
          <w:szCs w:val="24"/>
        </w:rPr>
      </w:pPr>
      <w:r w:rsidRPr="00FE138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ab/>
      </w:r>
      <w:r w:rsidRPr="00FE1381">
        <w:rPr>
          <w:b/>
          <w:sz w:val="24"/>
          <w:szCs w:val="24"/>
        </w:rPr>
        <w:t>3</w:t>
      </w:r>
      <w:r w:rsidRPr="00FE1381">
        <w:rPr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Laukiami rezultatai</w:t>
      </w:r>
    </w:p>
    <w:p w:rsidR="005D6DBF" w:rsidRPr="00FE1381" w:rsidRDefault="00C51919" w:rsidP="005D6DBF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Perėmus savivaldybės nuosavybėn turtą, jis bus perduotas </w:t>
      </w:r>
      <w:r w:rsidR="0074089C">
        <w:rPr>
          <w:sz w:val="24"/>
          <w:szCs w:val="24"/>
        </w:rPr>
        <w:t xml:space="preserve">Panevėžio rajono pedagoginei psichologinei tarnybai </w:t>
      </w:r>
      <w:r w:rsidRPr="00FE1381">
        <w:rPr>
          <w:sz w:val="24"/>
          <w:szCs w:val="24"/>
        </w:rPr>
        <w:t>valdyti, naudoti ir disponuoti juo patikėjimo teise.</w:t>
      </w:r>
      <w:r w:rsidR="005D6DBF" w:rsidRPr="005D6DBF">
        <w:rPr>
          <w:sz w:val="24"/>
          <w:szCs w:val="24"/>
        </w:rPr>
        <w:t xml:space="preserve"> </w:t>
      </w:r>
      <w:r w:rsidR="005D6DBF" w:rsidRPr="00FE1381">
        <w:rPr>
          <w:sz w:val="24"/>
          <w:szCs w:val="24"/>
        </w:rPr>
        <w:t xml:space="preserve">Savivaldybės nuosavybėn  perduotas turtas bus naudojamas </w:t>
      </w:r>
      <w:r w:rsidR="005D6DBF">
        <w:rPr>
          <w:sz w:val="24"/>
          <w:szCs w:val="24"/>
        </w:rPr>
        <w:t xml:space="preserve">atliekant vaiko kognityvinių (pažintinių) funkcijų, elgesio ir emocijų sunkumų, raidos lygio vertinimą </w:t>
      </w:r>
      <w:r w:rsidR="00575D94">
        <w:rPr>
          <w:sz w:val="24"/>
          <w:szCs w:val="24"/>
        </w:rPr>
        <w:t xml:space="preserve"> Panevėžio rajono </w:t>
      </w:r>
      <w:r w:rsidR="005D6DBF">
        <w:rPr>
          <w:sz w:val="24"/>
          <w:szCs w:val="24"/>
        </w:rPr>
        <w:t>pedagoginėje psichologinėje tarnyboje</w:t>
      </w:r>
      <w:r w:rsidR="005D6DBF" w:rsidRPr="00FE1381">
        <w:rPr>
          <w:sz w:val="24"/>
          <w:szCs w:val="24"/>
        </w:rPr>
        <w:t xml:space="preserve">. </w:t>
      </w:r>
    </w:p>
    <w:p w:rsidR="00CD2930" w:rsidRPr="00FE1381" w:rsidRDefault="00CD2930" w:rsidP="00C51919">
      <w:pPr>
        <w:jc w:val="both"/>
        <w:rPr>
          <w:b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Pr="00FE1381">
        <w:rPr>
          <w:b/>
          <w:color w:val="000000"/>
          <w:spacing w:val="-3"/>
          <w:sz w:val="24"/>
          <w:szCs w:val="24"/>
        </w:rPr>
        <w:t>4</w:t>
      </w:r>
      <w:r w:rsidRPr="00FE1381">
        <w:rPr>
          <w:color w:val="000000"/>
          <w:spacing w:val="-3"/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Lėšų poreikis ir šaltiniai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pacing w:val="-3"/>
          <w:sz w:val="24"/>
          <w:szCs w:val="24"/>
        </w:rPr>
        <w:tab/>
      </w:r>
      <w:r w:rsidRPr="00FE1381">
        <w:rPr>
          <w:sz w:val="24"/>
          <w:szCs w:val="24"/>
        </w:rPr>
        <w:t>Nėra.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z w:val="24"/>
          <w:szCs w:val="24"/>
        </w:rPr>
        <w:tab/>
        <w:t>5</w:t>
      </w:r>
      <w:r w:rsidRPr="00FE1381">
        <w:rPr>
          <w:b/>
          <w:bCs/>
          <w:sz w:val="24"/>
          <w:szCs w:val="24"/>
        </w:rPr>
        <w:t>. Kiti sprendimui priimti reikalingi pagrindimai, skaičiavimai, paaiškinimai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Nėra.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  <w:t>Jadvyga Balčienė</w:t>
      </w:r>
    </w:p>
    <w:p w:rsidR="00E20E1B" w:rsidRPr="00FE1381" w:rsidRDefault="00E20E1B">
      <w:pPr>
        <w:jc w:val="both"/>
        <w:rPr>
          <w:sz w:val="24"/>
          <w:szCs w:val="24"/>
        </w:rPr>
      </w:pPr>
    </w:p>
    <w:sectPr w:rsidR="00E20E1B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592" w:rsidRDefault="00C81592">
      <w:r>
        <w:separator/>
      </w:r>
    </w:p>
  </w:endnote>
  <w:endnote w:type="continuationSeparator" w:id="0">
    <w:p w:rsidR="00C81592" w:rsidRDefault="00C8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592" w:rsidRDefault="00C81592">
      <w:r>
        <w:separator/>
      </w:r>
    </w:p>
  </w:footnote>
  <w:footnote w:type="continuationSeparator" w:id="0">
    <w:p w:rsidR="00C81592" w:rsidRDefault="00C8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57FCE"/>
    <w:rsid w:val="00096F0F"/>
    <w:rsid w:val="000D2968"/>
    <w:rsid w:val="000F2C4F"/>
    <w:rsid w:val="000F536F"/>
    <w:rsid w:val="00146AC7"/>
    <w:rsid w:val="001D6A82"/>
    <w:rsid w:val="00252C8D"/>
    <w:rsid w:val="0026656E"/>
    <w:rsid w:val="002B03FC"/>
    <w:rsid w:val="002C52F3"/>
    <w:rsid w:val="00302B83"/>
    <w:rsid w:val="0031166B"/>
    <w:rsid w:val="00343451"/>
    <w:rsid w:val="003D4CEE"/>
    <w:rsid w:val="003E6E6B"/>
    <w:rsid w:val="00406F1C"/>
    <w:rsid w:val="0041657F"/>
    <w:rsid w:val="00423437"/>
    <w:rsid w:val="00427088"/>
    <w:rsid w:val="004277F9"/>
    <w:rsid w:val="004405E9"/>
    <w:rsid w:val="00457DD5"/>
    <w:rsid w:val="00462CFA"/>
    <w:rsid w:val="00467708"/>
    <w:rsid w:val="00476434"/>
    <w:rsid w:val="004E19A6"/>
    <w:rsid w:val="004E37D3"/>
    <w:rsid w:val="004F381D"/>
    <w:rsid w:val="005067D5"/>
    <w:rsid w:val="00521032"/>
    <w:rsid w:val="00566307"/>
    <w:rsid w:val="00575D94"/>
    <w:rsid w:val="00592B18"/>
    <w:rsid w:val="005A3BBD"/>
    <w:rsid w:val="005D6DBF"/>
    <w:rsid w:val="005E2AAA"/>
    <w:rsid w:val="005E3BBF"/>
    <w:rsid w:val="00606221"/>
    <w:rsid w:val="00625882"/>
    <w:rsid w:val="006473A0"/>
    <w:rsid w:val="006F57A5"/>
    <w:rsid w:val="0074089C"/>
    <w:rsid w:val="0074275C"/>
    <w:rsid w:val="007A02DD"/>
    <w:rsid w:val="007A26FD"/>
    <w:rsid w:val="007A5B9B"/>
    <w:rsid w:val="007C17BC"/>
    <w:rsid w:val="007D19D3"/>
    <w:rsid w:val="008073EA"/>
    <w:rsid w:val="00837377"/>
    <w:rsid w:val="008729C4"/>
    <w:rsid w:val="0087432D"/>
    <w:rsid w:val="008915E0"/>
    <w:rsid w:val="00896F4A"/>
    <w:rsid w:val="008C125F"/>
    <w:rsid w:val="008D7067"/>
    <w:rsid w:val="008E4AB0"/>
    <w:rsid w:val="00916844"/>
    <w:rsid w:val="00935FF7"/>
    <w:rsid w:val="009445EB"/>
    <w:rsid w:val="00960129"/>
    <w:rsid w:val="00A417E5"/>
    <w:rsid w:val="00B26591"/>
    <w:rsid w:val="00B30D79"/>
    <w:rsid w:val="00B401B9"/>
    <w:rsid w:val="00B52EC0"/>
    <w:rsid w:val="00B63DF1"/>
    <w:rsid w:val="00B71A48"/>
    <w:rsid w:val="00BB4296"/>
    <w:rsid w:val="00BD0565"/>
    <w:rsid w:val="00BE7ABE"/>
    <w:rsid w:val="00BF134F"/>
    <w:rsid w:val="00C308A9"/>
    <w:rsid w:val="00C4187B"/>
    <w:rsid w:val="00C4464C"/>
    <w:rsid w:val="00C51919"/>
    <w:rsid w:val="00C76DD8"/>
    <w:rsid w:val="00C81592"/>
    <w:rsid w:val="00CB34F0"/>
    <w:rsid w:val="00CD2930"/>
    <w:rsid w:val="00CF3250"/>
    <w:rsid w:val="00D01222"/>
    <w:rsid w:val="00D46FD2"/>
    <w:rsid w:val="00D72E2B"/>
    <w:rsid w:val="00DC750E"/>
    <w:rsid w:val="00DD28DC"/>
    <w:rsid w:val="00DF4B97"/>
    <w:rsid w:val="00E0442B"/>
    <w:rsid w:val="00E20E1B"/>
    <w:rsid w:val="00E57A72"/>
    <w:rsid w:val="00E66A06"/>
    <w:rsid w:val="00EE4BF2"/>
    <w:rsid w:val="00EF6D2B"/>
    <w:rsid w:val="00F02644"/>
    <w:rsid w:val="00F659AC"/>
    <w:rsid w:val="00F77ED7"/>
    <w:rsid w:val="00F83CA0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CFBA5-2AF3-4E4F-9A00-D4F45B1D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2549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2021-11-17T06:24:00Z</cp:lastPrinted>
  <dcterms:created xsi:type="dcterms:W3CDTF">2021-11-17T06:24:00Z</dcterms:created>
  <dcterms:modified xsi:type="dcterms:W3CDTF">2021-11-17T06:24:00Z</dcterms:modified>
</cp:coreProperties>
</file>