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9C" w:rsidRDefault="004F10D8">
      <w:pPr>
        <w:tabs>
          <w:tab w:val="center" w:pos="4153"/>
          <w:tab w:val="right" w:pos="8306"/>
        </w:tabs>
        <w:suppressAutoHyphens/>
        <w:spacing w:after="0" w:line="276" w:lineRule="auto"/>
        <w:ind w:left="747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i-IN" w:bidi="hi-IN"/>
        </w:rPr>
        <w:t>Projektas</w:t>
      </w:r>
    </w:p>
    <w:p w:rsidR="00A3229C" w:rsidRDefault="004F10D8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PANEVĖŽIO RAJONO SAVIVALDYBĖS TARYBA </w:t>
      </w:r>
    </w:p>
    <w:p w:rsidR="00A3229C" w:rsidRDefault="00A3229C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</w:p>
    <w:p w:rsidR="00A3229C" w:rsidRDefault="004F10D8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SPRENDIMAS</w:t>
      </w: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PANEVĖŽIO RAJONO LANKYTINŲ VIETŲ SĄRAŠO PATVIRTINIMO </w:t>
      </w:r>
    </w:p>
    <w:p w:rsidR="00A3229C" w:rsidRDefault="00A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2021 m. rugsėjo 30 d. Nr. T- </w:t>
      </w: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Panevėžys</w:t>
      </w:r>
    </w:p>
    <w:p w:rsidR="00A3229C" w:rsidRDefault="00A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Vadovaudamasi Lietuvos Respublikos vietos savivaldos įstatymo 18 straipsnio                 1 </w:t>
      </w:r>
      <w:r>
        <w:rPr>
          <w:rFonts w:ascii="Times New Roman" w:hAnsi="Times New Roman" w:cs="Times New Roman"/>
          <w:color w:val="000000"/>
          <w:sz w:val="24"/>
          <w:szCs w:val="24"/>
        </w:rPr>
        <w:t>dalimi ir atsižvelgdama į Lankytinų vietų ir laikinų renginių maršrutinio orientavimo automobilių keliuose taisyklių LVMOT 15, patvirtintų Lietuvos automobilių kelių direkcijos prie Susisiekimo ministerijos direktoriaus 2015 m. kovo 3 d. įsakymu Nr. V(E)-4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„Dėl Lankytinų vietų ir laikinų renginių maršrutinio orientavimo automobilių keliuose taisyklių LVMOT 15 patvirtinimo“,             12.4 papunktį, Panevėžio rajono savivaldybės taryba n u s p r e n d ž i a:</w:t>
      </w: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Patvirtinti Panevėžio rajono lankytinų vietų </w:t>
      </w:r>
      <w:r>
        <w:rPr>
          <w:rFonts w:ascii="Times New Roman" w:hAnsi="Times New Roman" w:cs="Times New Roman"/>
          <w:color w:val="000000"/>
          <w:sz w:val="24"/>
          <w:szCs w:val="24"/>
        </w:rPr>
        <w:t>sąrašą (pridedama).</w:t>
      </w: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 Pripažinti netekusiu galios Panevėžio rajono savivaldybės tarybos 2016 m. sausio  28 d. sprendimą Nr. T-16 „Dėl Panevėžio rajono lankytinų vietų sąrašo patvirtinimo“ su vėlesniais pakeitimais.</w:t>
      </w:r>
    </w:p>
    <w:p w:rsidR="00A3229C" w:rsidRDefault="004F10D8">
      <w:pPr>
        <w:spacing w:after="0" w:line="240" w:lineRule="auto"/>
        <w:ind w:firstLine="90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Šis sprendimas gali būti skundžiamas L</w:t>
      </w:r>
      <w:r>
        <w:rPr>
          <w:rFonts w:ascii="Times New Roman" w:hAnsi="Times New Roman" w:cs="Times New Roman"/>
          <w:color w:val="000000"/>
          <w:sz w:val="24"/>
          <w:szCs w:val="24"/>
        </w:rPr>
        <w:t>ietuvos Respublikos administracinių bylų teisenos įstatymo nustatyta tvarka.</w:t>
      </w: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4F1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Sandra Budreikienė</w:t>
      </w:r>
    </w:p>
    <w:p w:rsidR="00A3229C" w:rsidRDefault="004F1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229C">
          <w:headerReference w:type="even" r:id="rId7"/>
          <w:headerReference w:type="default" r:id="rId8"/>
          <w:pgSz w:w="11906" w:h="16838"/>
          <w:pgMar w:top="1701" w:right="567" w:bottom="1134" w:left="1701" w:header="567" w:footer="0" w:gutter="0"/>
          <w:cols w:space="1296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2021-09-15</w:t>
      </w:r>
    </w:p>
    <w:p w:rsidR="00A3229C" w:rsidRDefault="004F10D8">
      <w:pPr>
        <w:spacing w:before="61" w:after="0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PATVIRTINTA</w:t>
      </w:r>
    </w:p>
    <w:p w:rsidR="00A3229C" w:rsidRDefault="004F10D8">
      <w:pPr>
        <w:spacing w:after="46" w:line="240" w:lineRule="auto"/>
        <w:ind w:left="5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Panevėžio rajono savivaldybės tary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os</w:t>
      </w:r>
    </w:p>
    <w:p w:rsidR="00A3229C" w:rsidRDefault="004F10D8">
      <w:pPr>
        <w:spacing w:after="46" w:line="240" w:lineRule="auto"/>
        <w:ind w:left="29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`                                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. rugsėjo 30 d. sprendi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 Nr. T-</w:t>
      </w:r>
    </w:p>
    <w:p w:rsidR="00A3229C" w:rsidRDefault="00A3229C">
      <w:pPr>
        <w:spacing w:line="240" w:lineRule="auto"/>
        <w:ind w:left="2982"/>
        <w:rPr>
          <w:sz w:val="24"/>
          <w:szCs w:val="24"/>
        </w:rPr>
      </w:pPr>
    </w:p>
    <w:p w:rsidR="00A3229C" w:rsidRDefault="004F10D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>NEV</w:t>
      </w: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Ė</w:t>
      </w:r>
      <w:r>
        <w:rPr>
          <w:rFonts w:ascii="Times New Roman" w:hAnsi="Times New Roman"/>
          <w:b/>
          <w:color w:val="000000"/>
          <w:sz w:val="24"/>
          <w:szCs w:val="24"/>
        </w:rPr>
        <w:t>ŽIO RAJONO LANKYTINŲ VIETŲ SĄRAŠAS</w:t>
      </w:r>
    </w:p>
    <w:tbl>
      <w:tblPr>
        <w:tblW w:w="9636" w:type="dxa"/>
        <w:tblInd w:w="-2" w:type="dxa"/>
        <w:tblLook w:val="0000" w:firstRow="0" w:lastRow="0" w:firstColumn="0" w:lastColumn="0" w:noHBand="0" w:noVBand="0"/>
      </w:tblPr>
      <w:tblGrid>
        <w:gridCol w:w="627"/>
        <w:gridCol w:w="2338"/>
        <w:gridCol w:w="3779"/>
        <w:gridCol w:w="2832"/>
        <w:gridCol w:w="60"/>
      </w:tblGrid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tipas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pavadinimas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adresas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Daugiakamienė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pušis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Kalnelio k.,   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Žymių žmonių kapai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Karaimų kapinės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Kalnelio k.,  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pt-BR"/>
              </w:rPr>
              <w:t>Kunigo Kazimiero Kuzmicko Atminties kambarys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hd w:val="clear" w:color="auto" w:fill="FFFFFF"/>
              <w:spacing w:after="7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Nėries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Naujamiesčio mstl.,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Svirnupio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vinkšna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Nauradų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akmuo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Mazgaigalio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Bažnyčia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Berčiūnų Lietuvos Kankinių bažnyčia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Kurorto g. 2, Berčiūnų k.,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Vitražas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Ušinsko vitražas „Jėzaus širdis“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Kurorto g. 2, Berčiūnų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Naudvario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dvaro sodyba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Dvaro g.,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Naudvario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Upytės piliakalnis (Čičinsko kalnas)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Tarnagalos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Upytės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Lankytojų centras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Tradicinių amatų centras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Ėriškių g. 16A, Upytės k., Upytės sen.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Linų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Stultiškių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Stultiškių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Upytės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Bistrampolio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dvaras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Bistrampolio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g. 1,     Kučių k.,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Pašilių stumbrynas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Girelės vs.,        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Barklainių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Barklainių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    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Senasis Ramygalos malūnas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S. Dariaus ir S. Girėno g. 46A, Ramygala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Puziniškio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dvaro sodyba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Puziniškio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715B3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Smilgių Šv. Jurgio bažnyčios statinių kompleksas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Panevėžio g. 18A,  Smilgių mstl.,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Smilgių etnografinė sodyba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g. 21,     Smilgių mstl.,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Švč. Mergelės Marijos Ėmimo į dangų bažnyčios statinių kompleksas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Bažnyčios g. 13, Krekenavos mstl.,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Ustronės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sodyba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Ustronės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Nepriklausomos Lietuvos užsienio reikalų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ministro Juozo Urbšio sodyba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Čiūrų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Lankytojų centras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regioninio parko lankytojų centras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Bokštas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regioninio parko apžvalgos bokštas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Pojūčių takas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33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 Nevėžio upės slėnyje</w:t>
            </w:r>
          </w:p>
        </w:tc>
        <w:tc>
          <w:tcPr>
            <w:tcW w:w="28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Gringalių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Girinio takas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Petriškių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Daniliškio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liepų alėja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Daniliškio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Skulptūrų parkas „Duonos kelias“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Truskavos g.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Linkaučių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Radviliškių kaimo kepykla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Truskavos g.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Linkaučių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Kazokų k. tilto liekanos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Kazokų k.,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Žibartonių Šv. Vincento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Pauliečio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 k.,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Parkas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„Mėnulio akmens“ parkas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Leonardavo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Skulptoriaus Juozo Zikaro namas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Paliukų k., Paįstrio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Lėktuvų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Stanionių k., Paįstrio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Klemento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Sakalausko privatus senienų muziejus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Saulėtekio g. 7,     Piniavos k., Panevėžio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Skulptūra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Dekoratyvinė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skulptūra „Nevėžis“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Papušių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Panevėžio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Eglutės žaisliukų muziejus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Nevėžio g. 26, Miežiškių mstl., Miežiškių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Koplyčia 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Sodelių Šv. Dvasios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Sodelių k., 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Bygailių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Šv. Marijos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Magdalenos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Bygailių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Kristaus Atsimainymo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Naujikų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Palaukių Šv. Pranciškaus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Palaukių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Žiliškių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Šv. Kryžiaus Išaukštinimo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Žiliškių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Idėjų parkas bunkeris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Vabalninko g. 73,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Likpetrių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4"/>
                <w:szCs w:val="24"/>
                <w:lang w:eastAsia="zh-CN" w:bidi="hi-IN"/>
              </w:rPr>
              <w:t xml:space="preserve">Paminklas Vyčio apygardos partizanams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  <w:t>Vadoklių mstl.,     Vadoklių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Marijonavos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kapinių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Kabelių k.,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Kino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Nevėžio g. 21, Raguvos mstl., Raguvos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3229C" w:rsidRDefault="00A3229C">
      <w:pPr>
        <w:spacing w:after="0" w:line="240" w:lineRule="auto"/>
        <w:jc w:val="center"/>
        <w:rPr>
          <w:sz w:val="24"/>
          <w:szCs w:val="24"/>
          <w:lang w:eastAsia="lt-LT"/>
        </w:rPr>
      </w:pPr>
    </w:p>
    <w:p w:rsidR="00A3229C" w:rsidRDefault="004F10D8">
      <w:pPr>
        <w:spacing w:after="0" w:line="240" w:lineRule="auto"/>
        <w:jc w:val="center"/>
        <w:rPr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</w:t>
      </w: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29C" w:rsidRDefault="004F10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JAUNIMO REIKALŲ KOORDINATORĖ (VYR. SPECIALISTĖ)</w:t>
      </w:r>
    </w:p>
    <w:p w:rsidR="00A3229C" w:rsidRDefault="00A3229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229C" w:rsidRDefault="004F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:rsidR="00A3229C" w:rsidRDefault="00A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29C" w:rsidRDefault="004F10D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SAVIVALDYBĖS TARYBOS SPRENDIMO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PANEVĖŽIO RAJONO LANKYTINŲ VIETŲ SĄRAŠO PATVIRTINIMO“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AIŠKINAMASIS RAŠTAS</w:t>
      </w:r>
    </w:p>
    <w:p w:rsidR="00A3229C" w:rsidRDefault="00A3229C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29C" w:rsidRDefault="004F10D8">
      <w:pPr>
        <w:jc w:val="center"/>
        <w:rPr>
          <w:rFonts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2021 m. rugsėjo</w:t>
      </w:r>
      <w:r>
        <w:rPr>
          <w:rFonts w:ascii="Times New Roman" w:hAnsi="Times New Roman" w:cs="Tahoma"/>
          <w:color w:val="000000" w:themeColor="text1"/>
          <w:sz w:val="24"/>
          <w:szCs w:val="24"/>
        </w:rPr>
        <w:t xml:space="preserve"> 15 d.</w:t>
      </w:r>
    </w:p>
    <w:p w:rsidR="00A3229C" w:rsidRDefault="004F10D8">
      <w:pPr>
        <w:jc w:val="center"/>
        <w:rPr>
          <w:rFonts w:cs="Tahoma"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>Panevėžys</w:t>
      </w:r>
    </w:p>
    <w:p w:rsidR="00A3229C" w:rsidRDefault="004F10D8">
      <w:pPr>
        <w:pStyle w:val="Default"/>
        <w:tabs>
          <w:tab w:val="left" w:pos="652"/>
        </w:tabs>
        <w:rPr>
          <w:b/>
          <w:bCs/>
        </w:rPr>
      </w:pPr>
      <w:r>
        <w:rPr>
          <w:b/>
          <w:bCs/>
        </w:rPr>
        <w:tab/>
        <w:t>1. Sprendimo projekto tikslai ir uždaviniai</w:t>
      </w:r>
    </w:p>
    <w:p w:rsidR="00A3229C" w:rsidRDefault="004F10D8">
      <w:pPr>
        <w:pStyle w:val="Default"/>
        <w:tabs>
          <w:tab w:val="left" w:pos="652"/>
        </w:tabs>
        <w:jc w:val="both"/>
      </w:pPr>
      <w:r>
        <w:rPr>
          <w:bCs/>
        </w:rPr>
        <w:tab/>
      </w:r>
      <w:r>
        <w:rPr>
          <w:bCs/>
        </w:rPr>
        <w:t>Projekto tikslas – įrengti turizmo ženklinimo infrastruktūrą ir užtikrinti turistų bei lankytojų informavimą apie turizmo maršrutuose esančias lankytinas vietas Panevėžio rajono savivaldybės teritorijose. Taip bus užtikrinamas Panevėžio rajono lankytinų vi</w:t>
      </w:r>
      <w:r>
        <w:rPr>
          <w:bCs/>
        </w:rPr>
        <w:t xml:space="preserve">etų pavadinimų, patvirtintų Panevėžio rajono savivaldybės tarybos, naudojimas informaciniuose ženkluose bei kituose įvairiuose informacijos šaltiniuose. </w:t>
      </w:r>
    </w:p>
    <w:p w:rsidR="00A3229C" w:rsidRDefault="004F10D8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ab/>
        <w:t>2. Siūlomos teisinio reguliavimo nuostatos</w:t>
      </w:r>
    </w:p>
    <w:p w:rsidR="00A3229C" w:rsidRDefault="004F10D8">
      <w:pPr>
        <w:pStyle w:val="Default"/>
        <w:tabs>
          <w:tab w:val="left" w:pos="652"/>
        </w:tabs>
        <w:jc w:val="both"/>
      </w:pPr>
      <w:r>
        <w:tab/>
      </w:r>
      <w:r>
        <w:rPr>
          <w:bCs/>
          <w:lang w:eastAsia="pl-PL"/>
        </w:rPr>
        <w:t>Esant maršrutinio orientavimo į lankytiną vietą poreikiui</w:t>
      </w:r>
      <w:r>
        <w:rPr>
          <w:bCs/>
          <w:lang w:eastAsia="pl-PL"/>
        </w:rPr>
        <w:t xml:space="preserve"> turizmo tikslais naudojami informaciniai kelio ženklai Nr. 628 „Krypties rodyklė į lankytiną vietą“ ir Nr. 629 „Lankytinos vietos pavadinimas“. Kelio ženklai Nr. 628 ir Nr. 629 įrengiami pagal Lankytinų vietų ir laikinų renginių maršrutinio orientavimo au</w:t>
      </w:r>
      <w:r>
        <w:rPr>
          <w:bCs/>
          <w:lang w:eastAsia="pl-PL"/>
        </w:rPr>
        <w:t xml:space="preserve">tomobilių keliuose taisykles LVMOT 15, patvirtintas Lietuvos automobilių kelių direkcijos prie Susisiekimo ministerijos direktoriaus 2015 m. kovo 3 d. įsakymu Nr. V(E)-4. Taisyklių 12 punkte nustatyta, kokius lankytinų vietų pavadinimus leidžiama nurodyti </w:t>
      </w:r>
      <w:r>
        <w:rPr>
          <w:bCs/>
          <w:lang w:eastAsia="pl-PL"/>
        </w:rPr>
        <w:t>kelio ženkluose Nr. 628 ir Nr. 629: UNESCO pasaulio paveldo vietovių pavadinimus, Lietuvos Respublikos kultūros registre registruotų nekilnojamųjų, valstybės saugomų objektų pavadinimus, Lietuvos Respublikos saugomų teritorijų valstybės kadastre registruot</w:t>
      </w:r>
      <w:r>
        <w:rPr>
          <w:bCs/>
          <w:lang w:eastAsia="pl-PL"/>
        </w:rPr>
        <w:t xml:space="preserve">ų objektų pavadinimus ir savivaldybių tarybų patvirtintų lankytinų vietų pavadinimus. </w:t>
      </w:r>
    </w:p>
    <w:p w:rsidR="00A3229C" w:rsidRDefault="004F10D8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  <w:t xml:space="preserve"> 3. Laukiami rezultatai</w:t>
      </w:r>
    </w:p>
    <w:p w:rsidR="00A3229C" w:rsidRDefault="004F10D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Panevėžio rajono lankytinų vietų sąrašas yra vienas iš esminių dokumentų planuojant ir įrengiant informacinių </w:t>
      </w:r>
      <w:r>
        <w:rPr>
          <w:rFonts w:ascii="Times New Roman" w:hAnsi="Times New Roman" w:cs="Times New Roman"/>
          <w:sz w:val="24"/>
          <w:szCs w:val="24"/>
        </w:rPr>
        <w:t xml:space="preserve">kelio ženklų nuorodas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į </w:t>
      </w:r>
      <w:r>
        <w:rPr>
          <w:rFonts w:ascii="Times New Roman" w:hAnsi="Times New Roman" w:cs="Times New Roman"/>
          <w:sz w:val="24"/>
          <w:szCs w:val="24"/>
          <w:lang w:eastAsia="pl-PL"/>
        </w:rPr>
        <w:t>savivaldybės lankytinas vietas.</w:t>
      </w:r>
    </w:p>
    <w:p w:rsidR="00A3229C" w:rsidRDefault="004F10D8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Lėšų poreikis ir šaltiniai</w:t>
      </w:r>
    </w:p>
    <w:p w:rsidR="00A3229C" w:rsidRDefault="004F10D8">
      <w:pPr>
        <w:pStyle w:val="Default"/>
        <w:tabs>
          <w:tab w:val="left" w:pos="709"/>
        </w:tabs>
        <w:ind w:firstLine="709"/>
        <w:jc w:val="both"/>
      </w:pPr>
      <w:r>
        <w:rPr>
          <w:color w:val="000000" w:themeColor="text1"/>
          <w:shd w:val="clear" w:color="auto" w:fill="FFFFFF"/>
          <w:lang w:eastAsia="pl-PL"/>
        </w:rPr>
        <w:t>Trūkstamų ženklų įrengimas ir priežiūra bus apmokama savivaldybei skirtomis Kelių priežiūros ir plėtros programos lėšomis.</w:t>
      </w:r>
    </w:p>
    <w:p w:rsidR="00A3229C" w:rsidRDefault="004F10D8">
      <w:pPr>
        <w:pStyle w:val="Default"/>
        <w:tabs>
          <w:tab w:val="left" w:pos="709"/>
        </w:tabs>
        <w:ind w:firstLine="709"/>
        <w:jc w:val="both"/>
      </w:pPr>
      <w:r>
        <w:rPr>
          <w:b/>
          <w:color w:val="000000" w:themeColor="text1"/>
          <w:shd w:val="clear" w:color="auto" w:fill="FFFFFF"/>
          <w:lang w:eastAsia="pl-PL"/>
        </w:rPr>
        <w:t>5</w:t>
      </w:r>
      <w:r>
        <w:rPr>
          <w:color w:val="000000" w:themeColor="text1"/>
          <w:shd w:val="clear" w:color="auto" w:fill="FFFFFF"/>
          <w:lang w:eastAsia="pl-PL"/>
        </w:rPr>
        <w:t xml:space="preserve">. </w:t>
      </w:r>
      <w:r>
        <w:rPr>
          <w:b/>
          <w:color w:val="000000" w:themeColor="text1"/>
          <w:shd w:val="clear" w:color="auto" w:fill="FFFFFF"/>
          <w:lang w:eastAsia="pl-PL"/>
        </w:rPr>
        <w:t>Kiti sprendimui priimti reikalingi pagrindimai, skaičiavimai ar paai</w:t>
      </w:r>
      <w:r>
        <w:rPr>
          <w:b/>
          <w:color w:val="000000" w:themeColor="text1"/>
          <w:shd w:val="clear" w:color="auto" w:fill="FFFFFF"/>
          <w:lang w:eastAsia="pl-PL"/>
        </w:rPr>
        <w:t>škinimai</w:t>
      </w:r>
    </w:p>
    <w:p w:rsidR="00A3229C" w:rsidRDefault="004F10D8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hi-IN" w:bidi="hi-IN"/>
        </w:rPr>
        <w:t>Sprendimo projekto antikorupcinis vertinimas nereikalingas.</w:t>
      </w: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4F10D8">
      <w:pPr>
        <w:tabs>
          <w:tab w:val="left" w:pos="709"/>
        </w:tabs>
        <w:spacing w:after="0" w:line="276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hi-IN" w:bidi="hi-IN"/>
        </w:rPr>
        <w:t>Jaunimo reikalų koordinatorė (vyr. specialistė)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hi-IN" w:bidi="hi-IN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hi-IN" w:bidi="hi-IN"/>
        </w:rPr>
        <w:tab/>
        <w:t xml:space="preserve">                    Sandra Budreikienė</w:t>
      </w: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A3229C">
      <w:pPr>
        <w:tabs>
          <w:tab w:val="left" w:pos="709"/>
        </w:tabs>
        <w:spacing w:after="0" w:line="276" w:lineRule="auto"/>
        <w:ind w:firstLine="709"/>
        <w:jc w:val="both"/>
        <w:rPr>
          <w:sz w:val="24"/>
          <w:szCs w:val="24"/>
        </w:rPr>
      </w:pPr>
    </w:p>
    <w:p w:rsidR="00A3229C" w:rsidRDefault="00A3229C">
      <w:pPr>
        <w:tabs>
          <w:tab w:val="left" w:pos="652"/>
        </w:tabs>
        <w:spacing w:line="276" w:lineRule="auto"/>
        <w:ind w:right="-30"/>
        <w:jc w:val="both"/>
        <w:rPr>
          <w:b/>
          <w:color w:val="000000"/>
          <w:sz w:val="24"/>
          <w:szCs w:val="24"/>
        </w:rPr>
      </w:pPr>
    </w:p>
    <w:p w:rsidR="00A3229C" w:rsidRDefault="00A3229C">
      <w:pPr>
        <w:ind w:firstLine="1296"/>
        <w:rPr>
          <w:sz w:val="24"/>
          <w:szCs w:val="24"/>
        </w:rPr>
      </w:pPr>
      <w:bookmarkStart w:id="0" w:name="_GoBack"/>
      <w:bookmarkEnd w:id="0"/>
    </w:p>
    <w:sectPr w:rsidR="00A3229C">
      <w:headerReference w:type="even" r:id="rId9"/>
      <w:headerReference w:type="default" r:id="rId10"/>
      <w:pgSz w:w="11906" w:h="16838"/>
      <w:pgMar w:top="1701" w:right="567" w:bottom="1134" w:left="1701" w:header="567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D8" w:rsidRDefault="004F10D8">
      <w:pPr>
        <w:spacing w:after="0" w:line="240" w:lineRule="auto"/>
      </w:pPr>
      <w:r>
        <w:separator/>
      </w:r>
    </w:p>
  </w:endnote>
  <w:endnote w:type="continuationSeparator" w:id="0">
    <w:p w:rsidR="004F10D8" w:rsidRDefault="004F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D8" w:rsidRDefault="004F10D8">
      <w:pPr>
        <w:spacing w:after="0" w:line="240" w:lineRule="auto"/>
      </w:pPr>
      <w:r>
        <w:separator/>
      </w:r>
    </w:p>
  </w:footnote>
  <w:footnote w:type="continuationSeparator" w:id="0">
    <w:p w:rsidR="004F10D8" w:rsidRDefault="004F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  <w:p w:rsidR="00A3229C" w:rsidRDefault="004F10D8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0" b="0"/>
          <wp:docPr id="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9C"/>
    <w:rsid w:val="004F10D8"/>
    <w:rsid w:val="00715B33"/>
    <w:rsid w:val="007B1660"/>
    <w:rsid w:val="00A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58A29-F640-4E2F-93FB-FB477DA0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07703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07703"/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D1195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Numatytasispastraiposriftas"/>
    <w:qFormat/>
    <w:rsid w:val="009F55AF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5D13B0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paragraph" w:customStyle="1" w:styleId="Standard">
    <w:name w:val="Standard"/>
    <w:qFormat/>
    <w:pPr>
      <w:suppressAutoHyphens/>
      <w:spacing w:after="160" w:line="247" w:lineRule="auto"/>
      <w:textAlignment w:val="baseline"/>
    </w:pPr>
    <w:rPr>
      <w:sz w:val="22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CE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C16A-9A20-4040-A9A7-B01CB857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4965</Words>
  <Characters>2831</Characters>
  <Application>Microsoft Office Word</Application>
  <DocSecurity>0</DocSecurity>
  <Lines>23</Lines>
  <Paragraphs>15</Paragraphs>
  <ScaleCrop>false</ScaleCrop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dc:description/>
  <cp:lastModifiedBy>Sandra Budreikiene</cp:lastModifiedBy>
  <cp:revision>11</cp:revision>
  <dcterms:created xsi:type="dcterms:W3CDTF">2021-09-16T11:57:00Z</dcterms:created>
  <dcterms:modified xsi:type="dcterms:W3CDTF">2021-09-23T05:19:00Z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