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rsidR="006E5179" w:rsidRDefault="006E5179" w:rsidP="006E5179">
      <w:pPr>
        <w:shd w:val="clear" w:color="auto" w:fill="FFFFFF"/>
        <w:ind w:left="3418" w:right="3418"/>
        <w:jc w:val="center"/>
        <w:rPr>
          <w:b/>
          <w:bCs/>
          <w:sz w:val="24"/>
          <w:szCs w:val="24"/>
        </w:rPr>
      </w:pPr>
    </w:p>
    <w:p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5F144E">
        <w:rPr>
          <w:b/>
          <w:bCs/>
          <w:spacing w:val="-2"/>
          <w:sz w:val="24"/>
          <w:szCs w:val="24"/>
        </w:rPr>
        <w:t>24</w:t>
      </w:r>
    </w:p>
    <w:p w:rsidR="006E5179" w:rsidRDefault="006E5179" w:rsidP="006E5179">
      <w:pPr>
        <w:shd w:val="clear" w:color="auto" w:fill="FFFFFF"/>
        <w:ind w:left="3418" w:right="3418"/>
        <w:jc w:val="center"/>
      </w:pPr>
    </w:p>
    <w:p w:rsidR="004D4108" w:rsidRDefault="006E5179" w:rsidP="00AC44D9">
      <w:pPr>
        <w:rPr>
          <w:rFonts w:eastAsia="SimSun" w:cs="Mangal"/>
          <w:b/>
          <w:kern w:val="1"/>
          <w:sz w:val="24"/>
          <w:szCs w:val="24"/>
          <w:lang w:eastAsia="zh-CN" w:bidi="hi-IN"/>
        </w:rPr>
      </w:pPr>
      <w:r>
        <w:rPr>
          <w:spacing w:val="-1"/>
          <w:sz w:val="24"/>
          <w:szCs w:val="24"/>
        </w:rPr>
        <w:t xml:space="preserve">Teisės akto projekto pavadinimas: </w:t>
      </w:r>
      <w:r w:rsidR="004D4108" w:rsidRPr="004D4108">
        <w:rPr>
          <w:b/>
          <w:spacing w:val="-1"/>
          <w:sz w:val="24"/>
          <w:szCs w:val="24"/>
        </w:rPr>
        <w:t>DĖL</w:t>
      </w:r>
      <w:r w:rsidR="004D4108">
        <w:rPr>
          <w:spacing w:val="-1"/>
          <w:sz w:val="24"/>
          <w:szCs w:val="24"/>
        </w:rPr>
        <w:t xml:space="preserve"> </w:t>
      </w:r>
      <w:r w:rsidR="005F144E" w:rsidRPr="005F144E">
        <w:rPr>
          <w:b/>
          <w:spacing w:val="-1"/>
          <w:sz w:val="24"/>
          <w:szCs w:val="24"/>
        </w:rPr>
        <w:t>PANEVĖŽIO RAJONO SAVIVALDYBĖS JAUNIMO POLITIKOS ĮGYVENDINIMO PROGRAMOS INICIATYVOS ATRANKOS IR FINANSAVIMO TVARKOS APRAŠO</w:t>
      </w:r>
      <w:r w:rsidR="005F144E">
        <w:rPr>
          <w:spacing w:val="-1"/>
          <w:sz w:val="24"/>
          <w:szCs w:val="24"/>
        </w:rPr>
        <w:t xml:space="preserve"> </w:t>
      </w:r>
      <w:r w:rsidR="004D4108">
        <w:rPr>
          <w:rFonts w:eastAsia="SimSun" w:cs="Mangal"/>
          <w:b/>
          <w:kern w:val="1"/>
          <w:sz w:val="24"/>
          <w:szCs w:val="24"/>
          <w:lang w:eastAsia="zh-CN" w:bidi="hi-IN"/>
        </w:rPr>
        <w:t>PATVIRTINIMO</w:t>
      </w:r>
    </w:p>
    <w:p w:rsidR="006E5179" w:rsidRDefault="00AC44D9" w:rsidP="00AC44D9">
      <w:pPr>
        <w:rPr>
          <w:spacing w:val="-1"/>
          <w:sz w:val="24"/>
          <w:szCs w:val="24"/>
        </w:rPr>
      </w:pPr>
      <w:r>
        <w:rPr>
          <w:rFonts w:eastAsia="SimSun" w:cs="Mangal"/>
          <w:b/>
          <w:kern w:val="1"/>
          <w:sz w:val="24"/>
          <w:szCs w:val="24"/>
          <w:lang w:eastAsia="zh-CN" w:bidi="hi-IN"/>
        </w:rPr>
        <w:t xml:space="preserve"> </w:t>
      </w:r>
    </w:p>
    <w:p w:rsidR="006E5179" w:rsidRDefault="006E5179" w:rsidP="006E5179">
      <w:pPr>
        <w:shd w:val="clear" w:color="auto" w:fill="FFFFFF"/>
        <w:ind w:left="14"/>
      </w:pPr>
      <w:r>
        <w:rPr>
          <w:spacing w:val="-1"/>
          <w:sz w:val="24"/>
          <w:szCs w:val="24"/>
        </w:rPr>
        <w:t xml:space="preserve">Teisės akto projekto tiesioginis rengėjas: </w:t>
      </w:r>
      <w:r w:rsidR="005F144E">
        <w:rPr>
          <w:spacing w:val="-1"/>
          <w:sz w:val="24"/>
          <w:szCs w:val="24"/>
        </w:rPr>
        <w:t>Jaunimo reikalų koordinatorė (vyr. specialistė) Sandra Budreikienė</w:t>
      </w:r>
    </w:p>
    <w:p w:rsidR="006E5179" w:rsidRDefault="006E5179" w:rsidP="006E5179">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rsidTr="00545E20">
        <w:trPr>
          <w:trHeight w:hRule="exact" w:val="14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B6DF3" w:rsidRDefault="00AC44D9" w:rsidP="001B35D8">
            <w:pPr>
              <w:shd w:val="clear" w:color="auto" w:fill="FFFFFF"/>
              <w:jc w:val="both"/>
              <w:rPr>
                <w:spacing w:val="-1"/>
                <w:lang w:eastAsia="en-US"/>
              </w:rPr>
            </w:pPr>
            <w:r w:rsidRPr="009B6DF3">
              <w:rPr>
                <w:spacing w:val="-1"/>
                <w:lang w:eastAsia="en-US"/>
              </w:rPr>
              <w:t xml:space="preserve">Nesudaro. </w:t>
            </w: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rsidTr="00225A3D">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rsidTr="00225A3D">
        <w:trPr>
          <w:trHeight w:hRule="exact" w:val="8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E5179" w:rsidRPr="009B6DF3" w:rsidRDefault="00AC44D9" w:rsidP="00ED681C">
            <w:pPr>
              <w:shd w:val="clear" w:color="auto" w:fill="FFFFFF"/>
              <w:spacing w:line="256" w:lineRule="auto"/>
              <w:jc w:val="both"/>
              <w:rPr>
                <w:lang w:eastAsia="en-US"/>
              </w:rPr>
            </w:pPr>
            <w:r w:rsidRPr="009B6DF3">
              <w:rPr>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CF2A65">
        <w:trPr>
          <w:trHeight w:hRule="exact" w:val="311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553EC3" w:rsidRPr="00553EC3" w:rsidRDefault="00686F8E" w:rsidP="00FD79E9">
            <w:pPr>
              <w:jc w:val="both"/>
            </w:pPr>
            <w:r>
              <w:t xml:space="preserve">Pirminį (administracinės atitikties) paraiškų vertinimą atlieka Jaunimo reikalų koordinatorius (Tvarkos aprašo 32 p.), </w:t>
            </w:r>
            <w:r w:rsidR="00545E20">
              <w:t xml:space="preserve">po to </w:t>
            </w:r>
            <w:r>
              <w:t xml:space="preserve">paraiškų tinkamumo finansuoti, naudos ir kokybės vertinimą atlieka </w:t>
            </w:r>
            <w:r w:rsidR="00A34F98" w:rsidRPr="00553EC3">
              <w:t xml:space="preserve">Savivaldybės administracijos direktoriaus įsakymu sudaryta </w:t>
            </w:r>
            <w:r>
              <w:t>Jaunimo politikos įgyvendinimo programos iniciatyvos atrankos komisija (toliau – K</w:t>
            </w:r>
            <w:r w:rsidR="00A34F98" w:rsidRPr="00553EC3">
              <w:t>omisija</w:t>
            </w:r>
            <w:r>
              <w:t>)</w:t>
            </w:r>
            <w:r w:rsidR="00A34F98" w:rsidRPr="00553EC3">
              <w:t>, kuri sudaro siūlomų remti paraiškų sąrašą ir teikia tvirtinti Savivaldybės administracijos direktoriui, kuri</w:t>
            </w:r>
            <w:r w:rsidR="00CF2A65">
              <w:t>s</w:t>
            </w:r>
            <w:r w:rsidR="00A34F98" w:rsidRPr="00553EC3">
              <w:t xml:space="preserve"> priima sprendim</w:t>
            </w:r>
            <w:r w:rsidR="00553EC3" w:rsidRPr="00553EC3">
              <w:t>ą</w:t>
            </w:r>
            <w:r w:rsidR="00A34F98" w:rsidRPr="00553EC3">
              <w:t xml:space="preserve"> dėl </w:t>
            </w:r>
            <w:r w:rsidR="00553EC3" w:rsidRPr="00553EC3">
              <w:t>finansavimo (Tvarkos aprašo 40 p.). Lėšų naudojimo kontrolę vykdo Apskaitos skyrius (</w:t>
            </w:r>
            <w:r w:rsidR="00CF2A65">
              <w:t xml:space="preserve">Tvarkos aprašo </w:t>
            </w:r>
            <w:r w:rsidR="00553EC3" w:rsidRPr="00553EC3">
              <w:t xml:space="preserve">50 p.). </w:t>
            </w:r>
            <w:r w:rsidR="002750D1">
              <w:t>Ta</w:t>
            </w:r>
            <w:r w:rsidR="00553EC3" w:rsidRPr="00553EC3">
              <w:t>ip pat iniciatyvos vykdytojai teikia Iniciatyvos vykdymo ataskaitas Jaunimo reikalų koordinatoriui (Tvarkos aprašo 49 p.)</w:t>
            </w:r>
            <w:r w:rsidR="00CF2A65">
              <w:t xml:space="preserve">, kuris iniciatyvos įgyvendinimo metu turi teisę vykdyti prevencinę iniciatyvos vykdymo priežiūrą vietoje (Tvarkos aprašo 51 p.). </w:t>
            </w:r>
          </w:p>
          <w:p w:rsidR="00FD79E9" w:rsidRPr="00553EC3" w:rsidRDefault="00FD79E9" w:rsidP="00FD79E9">
            <w:pPr>
              <w:jc w:val="both"/>
              <w:rPr>
                <w:lang w:eastAsia="en-US"/>
              </w:rPr>
            </w:pPr>
          </w:p>
          <w:p w:rsidR="006E5179" w:rsidRPr="00FD19A8" w:rsidRDefault="006E5179" w:rsidP="00FD79E9">
            <w:pPr>
              <w:jc w:val="both"/>
              <w:rPr>
                <w:sz w:val="22"/>
                <w:szCs w:val="22"/>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1F48B1" w:rsidRDefault="00785F7C" w:rsidP="00ED681C">
            <w:pPr>
              <w:spacing w:line="256" w:lineRule="auto"/>
              <w:rPr>
                <w:lang w:eastAsia="en-US"/>
              </w:rPr>
            </w:pPr>
            <w:r w:rsidRPr="001F48B1">
              <w:rPr>
                <w:lang w:eastAsia="en-US"/>
              </w:rPr>
              <w:t>Atitinka.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CF2A65">
        <w:trPr>
          <w:trHeight w:hRule="exact" w:val="98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D4E4C" w:rsidRDefault="009B6DF3" w:rsidP="00E71DB0">
            <w:pPr>
              <w:spacing w:line="256" w:lineRule="auto"/>
              <w:jc w:val="both"/>
              <w:rPr>
                <w:lang w:eastAsia="en-US"/>
              </w:rPr>
            </w:pPr>
            <w:r w:rsidRPr="004D4E4C">
              <w:t xml:space="preserve">Tvarkos aprašo </w:t>
            </w:r>
            <w:r w:rsidR="00FD79E9" w:rsidRPr="004D4E4C">
              <w:t>21</w:t>
            </w:r>
            <w:r w:rsidRPr="004D4E4C">
              <w:t xml:space="preserve"> p.</w:t>
            </w:r>
            <w:r w:rsidR="00686F8E">
              <w:t xml:space="preserve"> </w:t>
            </w:r>
            <w:r w:rsidR="004D4E4C" w:rsidRPr="004D4E4C">
              <w:t xml:space="preserve">numatytas </w:t>
            </w:r>
            <w:r w:rsidR="00686F8E">
              <w:t xml:space="preserve">netinkamų finansuoti iniciatyvos išlaidų baigtinis sąrašas. </w:t>
            </w:r>
            <w:r w:rsidR="004D4E4C" w:rsidRPr="004D4E4C">
              <w:rPr>
                <w:lang w:eastAsia="en-US"/>
              </w:rPr>
              <w:t>Paraiškos vertinimo formoje (</w:t>
            </w:r>
            <w:r w:rsidR="00E71DB0">
              <w:rPr>
                <w:lang w:eastAsia="en-US"/>
              </w:rPr>
              <w:t>Tvarkos a</w:t>
            </w:r>
            <w:r w:rsidR="004D4E4C" w:rsidRPr="004D4E4C">
              <w:rPr>
                <w:lang w:eastAsia="en-US"/>
              </w:rPr>
              <w:t xml:space="preserve">prašo </w:t>
            </w:r>
            <w:r w:rsidR="00CF2A65">
              <w:rPr>
                <w:lang w:eastAsia="en-US"/>
              </w:rPr>
              <w:t xml:space="preserve">                </w:t>
            </w:r>
            <w:r w:rsidR="004D4E4C" w:rsidRPr="004D4E4C">
              <w:rPr>
                <w:lang w:eastAsia="en-US"/>
              </w:rPr>
              <w:t>2 priedas) nustatyti konkretūs vertinimo kriterijai ir už juos skiriamų balų dydis.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1F48B1" w:rsidRDefault="00AC44D9" w:rsidP="00B76539">
            <w:pPr>
              <w:spacing w:line="256" w:lineRule="auto"/>
              <w:rPr>
                <w:lang w:eastAsia="en-US"/>
              </w:rPr>
            </w:pPr>
            <w:r w:rsidRPr="001F48B1">
              <w:rPr>
                <w:lang w:eastAsia="en-US"/>
              </w:rPr>
              <w:t xml:space="preserve">Išimčių taikymas nenumatytas.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CF2A65">
        <w:trPr>
          <w:trHeight w:hRule="exact" w:val="100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D4E4C" w:rsidRDefault="004D4E4C" w:rsidP="00E71DB0">
            <w:pPr>
              <w:spacing w:line="256" w:lineRule="auto"/>
              <w:jc w:val="both"/>
              <w:rPr>
                <w:lang w:eastAsia="en-US"/>
              </w:rPr>
            </w:pPr>
            <w:r>
              <w:rPr>
                <w:lang w:eastAsia="en-US"/>
              </w:rPr>
              <w:t>Sprendimų priėmimo, įforminimo tvark</w:t>
            </w:r>
            <w:r w:rsidR="00E71DB0">
              <w:rPr>
                <w:lang w:eastAsia="en-US"/>
              </w:rPr>
              <w:t>a</w:t>
            </w:r>
            <w:r>
              <w:rPr>
                <w:lang w:eastAsia="en-US"/>
              </w:rPr>
              <w:t xml:space="preserve"> įtvirtinta Tvarkos aprašo 36, 47 p. Viešinimą reglamentuoja Tvarkos aprašo 22, 54–55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1F48B1" w:rsidRDefault="006E5179" w:rsidP="00797BF1">
            <w:pPr>
              <w:spacing w:line="256" w:lineRule="auto"/>
              <w:jc w:val="both"/>
              <w:rPr>
                <w:lang w:eastAsia="en-US"/>
              </w:rPr>
            </w:pPr>
            <w:r w:rsidRPr="001F48B1">
              <w:rPr>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1F48B1"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2E71CB" w:rsidRDefault="001F48B1" w:rsidP="001F48B1">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1F48B1" w:rsidRPr="002E71CB" w:rsidRDefault="001F48B1" w:rsidP="001F48B1">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1F48B1" w:rsidRPr="002E71CB" w:rsidRDefault="001F48B1" w:rsidP="001F48B1">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1F48B1" w:rsidRPr="002E71CB" w:rsidRDefault="001F48B1" w:rsidP="001F48B1">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1F48B1" w:rsidRPr="002E71CB" w:rsidRDefault="001F48B1" w:rsidP="001F48B1">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1F48B1" w:rsidRPr="002E71CB" w:rsidRDefault="001F48B1" w:rsidP="001F48B1">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1F48B1" w:rsidRPr="002E71CB" w:rsidRDefault="001F48B1" w:rsidP="001F48B1">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553EC3" w:rsidRDefault="006B100E" w:rsidP="00545E20">
            <w:pPr>
              <w:spacing w:line="256" w:lineRule="auto"/>
              <w:jc w:val="both"/>
            </w:pPr>
            <w:r w:rsidRPr="00553EC3">
              <w:rPr>
                <w:lang w:eastAsia="en-US"/>
              </w:rPr>
              <w:t xml:space="preserve">Tvarkos aprašo 35 p. nustatytas konkretus Savivaldybės administracijos direktoriaus įsakymu sudaromos Komisijos narių skaičius – 5 </w:t>
            </w:r>
            <w:r w:rsidR="00CF2A65">
              <w:rPr>
                <w:lang w:eastAsia="en-US"/>
              </w:rPr>
              <w:t>K</w:t>
            </w:r>
            <w:r w:rsidRPr="00553EC3">
              <w:rPr>
                <w:lang w:eastAsia="en-US"/>
              </w:rPr>
              <w:t xml:space="preserve">omisijos nariai, iš kurių 3 narius deleguoja </w:t>
            </w:r>
            <w:r w:rsidR="00CF2A65">
              <w:rPr>
                <w:lang w:eastAsia="en-US"/>
              </w:rPr>
              <w:t>J</w:t>
            </w:r>
            <w:r w:rsidRPr="00553EC3">
              <w:rPr>
                <w:lang w:eastAsia="en-US"/>
              </w:rPr>
              <w:t>aunimo reikalų taryba, 2 nariu</w:t>
            </w:r>
            <w:r w:rsidR="00CF2A65">
              <w:rPr>
                <w:lang w:eastAsia="en-US"/>
              </w:rPr>
              <w:t>s – Savivaldybės administracija, t</w:t>
            </w:r>
            <w:r w:rsidRPr="00553EC3">
              <w:rPr>
                <w:lang w:eastAsia="en-US"/>
              </w:rPr>
              <w:t xml:space="preserve">aip pat numatytas </w:t>
            </w:r>
            <w:r w:rsidR="00CF2A65">
              <w:rPr>
                <w:lang w:eastAsia="en-US"/>
              </w:rPr>
              <w:t>K</w:t>
            </w:r>
            <w:r w:rsidRPr="00553EC3">
              <w:rPr>
                <w:lang w:eastAsia="en-US"/>
              </w:rPr>
              <w:t xml:space="preserve">omisijos veiklos laikotarpis – Savivaldybės tarybos kadencijos laikotarpis. Aprašo 40 p. numatytas </w:t>
            </w:r>
            <w:r w:rsidR="00CF2A65">
              <w:rPr>
                <w:lang w:eastAsia="en-US"/>
              </w:rPr>
              <w:t>K</w:t>
            </w:r>
            <w:r w:rsidRPr="00553EC3">
              <w:rPr>
                <w:lang w:eastAsia="en-US"/>
              </w:rPr>
              <w:t xml:space="preserve">omisijos veiklos laikotarpis vertinant paraiškas – </w:t>
            </w:r>
            <w:r w:rsidR="00CF2A65">
              <w:rPr>
                <w:lang w:eastAsia="en-US"/>
              </w:rPr>
              <w:t xml:space="preserve">        </w:t>
            </w:r>
            <w:r w:rsidRPr="00553EC3">
              <w:rPr>
                <w:lang w:eastAsia="en-US"/>
              </w:rPr>
              <w:t xml:space="preserve">14 darbo dienų. Aprašo 42 p. numatyta, kad jei </w:t>
            </w:r>
            <w:r w:rsidR="00CF2A65">
              <w:rPr>
                <w:lang w:eastAsia="en-US"/>
              </w:rPr>
              <w:t>K</w:t>
            </w:r>
            <w:r w:rsidRPr="00553EC3">
              <w:rPr>
                <w:lang w:eastAsia="en-US"/>
              </w:rPr>
              <w:t>omisijos narys susijęs su paraišk</w:t>
            </w:r>
            <w:r w:rsidR="002750D1">
              <w:rPr>
                <w:lang w:eastAsia="en-US"/>
              </w:rPr>
              <w:t>a</w:t>
            </w:r>
            <w:bookmarkStart w:id="0" w:name="_GoBack"/>
            <w:bookmarkEnd w:id="0"/>
            <w:r w:rsidRPr="00553EC3">
              <w:rPr>
                <w:lang w:eastAsia="en-US"/>
              </w:rPr>
              <w:t xml:space="preserve"> pateikusia organizacija arba dėl jo veiklos </w:t>
            </w:r>
            <w:r w:rsidR="00CF2A65">
              <w:rPr>
                <w:lang w:eastAsia="en-US"/>
              </w:rPr>
              <w:t>K</w:t>
            </w:r>
            <w:r w:rsidRPr="00553EC3">
              <w:rPr>
                <w:lang w:eastAsia="en-US"/>
              </w:rPr>
              <w:t xml:space="preserve">omisijoje gali kilti viešųjų ir privačių interesų konfliktas, turi nusišalinti.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F48B1" w:rsidRDefault="001F48B1" w:rsidP="001F48B1">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1F48B1" w:rsidRDefault="001F48B1" w:rsidP="001F48B1">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1F48B1"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2E71CB" w:rsidRDefault="001F48B1" w:rsidP="001F48B1">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D2446B" w:rsidRDefault="001F48B1" w:rsidP="00A34F98">
            <w:pPr>
              <w:shd w:val="clear" w:color="auto" w:fill="FFFFFF"/>
              <w:spacing w:line="256" w:lineRule="auto"/>
              <w:jc w:val="both"/>
              <w:rPr>
                <w:lang w:eastAsia="en-US"/>
              </w:rPr>
            </w:pPr>
            <w:r w:rsidRPr="00D2446B">
              <w:rPr>
                <w:lang w:eastAsia="en-US"/>
              </w:rPr>
              <w:t xml:space="preserve">Procedūros nustatytos Tvarkos aprašo </w:t>
            </w:r>
            <w:r w:rsidR="006B100E">
              <w:rPr>
                <w:lang w:eastAsia="en-US"/>
              </w:rPr>
              <w:t>IV–</w:t>
            </w:r>
            <w:r w:rsidR="00A34F98">
              <w:rPr>
                <w:lang w:eastAsia="en-US"/>
              </w:rPr>
              <w:t xml:space="preserve">VI skyriuose. </w:t>
            </w:r>
            <w:r w:rsidR="00D2446B">
              <w:rPr>
                <w:lang w:eastAsia="en-US"/>
              </w:rPr>
              <w:t xml:space="preserve"> </w:t>
            </w:r>
            <w:r w:rsidRPr="00D2446B">
              <w:rPr>
                <w:lang w:eastAsia="en-U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F48B1" w:rsidRDefault="001F48B1" w:rsidP="001F48B1">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1F48B1" w:rsidRDefault="001F48B1" w:rsidP="001F48B1">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553EC3" w:rsidRDefault="00A34F98" w:rsidP="00B76539">
            <w:pPr>
              <w:spacing w:line="256" w:lineRule="auto"/>
              <w:jc w:val="both"/>
              <w:rPr>
                <w:lang w:eastAsia="en-US"/>
              </w:rPr>
            </w:pPr>
            <w:r w:rsidRPr="00553EC3">
              <w:rPr>
                <w:lang w:eastAsia="en-US"/>
              </w:rPr>
              <w:t>Administracinės procedūros taikomos visais atvejais.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A30AEA">
        <w:trPr>
          <w:trHeight w:hRule="exact" w:val="198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CF2A65" w:rsidP="00CF2A65">
            <w:pPr>
              <w:spacing w:line="256" w:lineRule="auto"/>
              <w:jc w:val="both"/>
              <w:rPr>
                <w:lang w:eastAsia="en-US"/>
              </w:rPr>
            </w:pPr>
            <w:r>
              <w:rPr>
                <w:lang w:eastAsia="en-US"/>
              </w:rPr>
              <w:t xml:space="preserve">Konkretūs terminai numatyti Tvarkos aprašo 23, 32, 33, 40, 44, 47 p. </w:t>
            </w:r>
            <w:r w:rsidR="00A34F98">
              <w:rPr>
                <w:lang w:eastAsia="en-US"/>
              </w:rPr>
              <w:t xml:space="preserv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4F98" w:rsidRDefault="00A34F98" w:rsidP="00B76539">
            <w:pPr>
              <w:spacing w:line="256" w:lineRule="auto"/>
              <w:jc w:val="both"/>
              <w:rPr>
                <w:lang w:eastAsia="en-US"/>
              </w:rPr>
            </w:pPr>
            <w:r w:rsidRPr="00A34F98">
              <w:rPr>
                <w:lang w:eastAsia="en-US"/>
              </w:rPr>
              <w:t>Iš dalies aptarta Tvarkos aprašo 50 p.</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E01D49" w:rsidP="00E01D49">
            <w:pPr>
              <w:spacing w:line="256" w:lineRule="auto"/>
              <w:jc w:val="both"/>
              <w:rPr>
                <w:lang w:eastAsia="en-US"/>
              </w:rPr>
            </w:pPr>
            <w:r w:rsidRPr="00A30AEA">
              <w:rPr>
                <w:lang w:eastAsia="en-US"/>
              </w:rPr>
              <w:t xml:space="preserve">Dėl viešinimo žiūrėti į lentelės 7 eilutę.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E01D49" w:rsidP="00A34F98">
            <w:pPr>
              <w:spacing w:line="256" w:lineRule="auto"/>
              <w:jc w:val="both"/>
              <w:rPr>
                <w:lang w:eastAsia="en-US"/>
              </w:rPr>
            </w:pPr>
            <w:r w:rsidRPr="00A30AEA">
              <w:rPr>
                <w:lang w:eastAsia="en-US"/>
              </w:rPr>
              <w:t xml:space="preserve">Dėl kontrolės žiūrėti į </w:t>
            </w:r>
            <w:r w:rsidR="00553EC3">
              <w:rPr>
                <w:lang w:eastAsia="en-US"/>
              </w:rPr>
              <w:t xml:space="preserve">lentelės 3 eilutę, taip pat </w:t>
            </w:r>
            <w:r w:rsidR="00D2446B" w:rsidRPr="00A30AEA">
              <w:rPr>
                <w:lang w:eastAsia="en-US"/>
              </w:rPr>
              <w:t xml:space="preserve">Tvarkos aprašo </w:t>
            </w:r>
            <w:r w:rsidR="00A30AEA" w:rsidRPr="00A30AEA">
              <w:rPr>
                <w:lang w:eastAsia="en-US"/>
              </w:rPr>
              <w:t xml:space="preserve">VI skyrių. </w:t>
            </w:r>
            <w:r w:rsidRPr="00A30AEA">
              <w:rPr>
                <w:lang w:eastAsia="en-US"/>
              </w:rPr>
              <w:t xml:space="preserv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rsidTr="001B35D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E01D49" w:rsidP="00B76539">
            <w:pPr>
              <w:jc w:val="both"/>
              <w:rPr>
                <w:lang w:eastAsia="en-US"/>
              </w:rPr>
            </w:pPr>
            <w:r w:rsidRPr="00A30AEA">
              <w:rPr>
                <w:lang w:eastAsia="en-US"/>
              </w:rPr>
              <w:t xml:space="preserve">Neaktualu.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90"/>
        <w:gridCol w:w="3883"/>
        <w:gridCol w:w="3826"/>
        <w:gridCol w:w="2707"/>
      </w:tblGrid>
      <w:tr w:rsidR="006E5179" w:rsidRPr="00FD19A8" w:rsidTr="0080759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rsidTr="007A25C0">
        <w:trPr>
          <w:trHeight w:hRule="exact" w:val="273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545E20" w:rsidP="00E71DB0">
            <w:pPr>
              <w:spacing w:line="256" w:lineRule="auto"/>
              <w:jc w:val="both"/>
              <w:rPr>
                <w:lang w:eastAsia="en-US"/>
              </w:rPr>
            </w:pPr>
            <w:r>
              <w:t>Tvarkos a</w:t>
            </w:r>
            <w:r w:rsidR="00A34F98" w:rsidRPr="00A34F98">
              <w:t xml:space="preserve">prašo 50 p. numatyta, kad </w:t>
            </w:r>
            <w:r>
              <w:t xml:space="preserve">iniciatyvos vykdytojui nevykdant </w:t>
            </w:r>
            <w:r w:rsidR="00A34F98" w:rsidRPr="00A34F98">
              <w:t>sutartyje prisiimt</w:t>
            </w:r>
            <w:r>
              <w:t>ų</w:t>
            </w:r>
            <w:r w:rsidR="00A34F98" w:rsidRPr="00A34F98">
              <w:t xml:space="preserve"> įsipareigojim</w:t>
            </w:r>
            <w:r>
              <w:t>ų</w:t>
            </w:r>
            <w:r w:rsidR="00A34F98" w:rsidRPr="00A34F98">
              <w:t xml:space="preserve"> arba naudoja</w:t>
            </w:r>
            <w:r>
              <w:t xml:space="preserve">nčiam </w:t>
            </w:r>
            <w:r w:rsidR="00A34F98" w:rsidRPr="00A34F98">
              <w:t>lėš</w:t>
            </w:r>
            <w:r>
              <w:t>a</w:t>
            </w:r>
            <w:r w:rsidR="00A34F98" w:rsidRPr="00A34F98">
              <w:t xml:space="preserve">s ne pagal patvirtintą sąmatą, </w:t>
            </w:r>
            <w:r w:rsidR="007A25C0">
              <w:t>finansavimas sustabdomas ir pareikalaujama grąžinti gautas lėšas. Tvarkos aprašo 53 p. numatyta, kad  Komisijai nustačius pažeidimus, Savivaldybės administracijos direktoriui siūlom</w:t>
            </w:r>
            <w:r w:rsidR="00E71DB0">
              <w:t>a</w:t>
            </w:r>
            <w:r w:rsidR="007A25C0">
              <w:t xml:space="preserve"> nutraukti sutartį. Iniciatyvos vykdytojams atsakomybė taip pat </w:t>
            </w:r>
            <w:r w:rsidR="00A34F98" w:rsidRPr="00A34F98">
              <w:t>numatyta finansavimo sutartyje</w:t>
            </w:r>
            <w:r w:rsidR="00A34F98">
              <w:rPr>
                <w:sz w:val="22"/>
                <w:szCs w:val="22"/>
              </w:rPr>
              <w:t xml:space="preserve"> </w:t>
            </w:r>
            <w:r w:rsidR="00A34F98" w:rsidRPr="00553EC3">
              <w:t>(</w:t>
            </w:r>
            <w:r>
              <w:t>Tvarkos a</w:t>
            </w:r>
            <w:r w:rsidR="00A34F98" w:rsidRPr="00553EC3">
              <w:t>prašo</w:t>
            </w:r>
            <w:r>
              <w:t xml:space="preserve"> </w:t>
            </w:r>
            <w:r w:rsidR="00A34F98" w:rsidRPr="00553EC3">
              <w:t>47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7A25C0">
        <w:trPr>
          <w:trHeight w:hRule="exact" w:val="156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F6957" w:rsidRDefault="00A30AEA" w:rsidP="00807592">
            <w:pPr>
              <w:spacing w:line="256" w:lineRule="auto"/>
              <w:jc w:val="both"/>
              <w:rPr>
                <w:lang w:eastAsia="en-US"/>
              </w:rPr>
            </w:pPr>
            <w:r w:rsidRPr="002F6957">
              <w:rPr>
                <w:lang w:eastAsia="en-US"/>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00D33FC8">
        <w:rPr>
          <w:rFonts w:ascii="Arial" w:cs="Arial"/>
          <w:sz w:val="22"/>
          <w:szCs w:val="22"/>
        </w:rPr>
        <w:t xml:space="preserve">                  </w:t>
      </w:r>
      <w:r w:rsidR="00E004F4">
        <w:rPr>
          <w:rFonts w:ascii="Arial" w:cs="Arial"/>
          <w:sz w:val="22"/>
          <w:szCs w:val="22"/>
        </w:rPr>
        <w:t xml:space="preserve">  </w:t>
      </w:r>
      <w:r w:rsidRPr="00FD19A8">
        <w:rPr>
          <w:spacing w:val="-1"/>
          <w:sz w:val="22"/>
          <w:szCs w:val="22"/>
        </w:rPr>
        <w:t>Teisės akto projekto</w:t>
      </w:r>
    </w:p>
    <w:p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E004F4">
        <w:rPr>
          <w:spacing w:val="-2"/>
          <w:sz w:val="22"/>
          <w:szCs w:val="22"/>
        </w:rPr>
        <w:t xml:space="preserve"> </w:t>
      </w:r>
      <w:r w:rsidR="00A34F98">
        <w:rPr>
          <w:spacing w:val="-2"/>
          <w:sz w:val="22"/>
          <w:szCs w:val="22"/>
        </w:rPr>
        <w:t xml:space="preserve">Jaunimo reikalų koordinatorė (vyr. specialistė) Sandra Budreikienė                 </w:t>
      </w:r>
      <w:r>
        <w:rPr>
          <w:spacing w:val="-2"/>
          <w:sz w:val="22"/>
          <w:szCs w:val="22"/>
        </w:rPr>
        <w:t>vertintojas: Juridinio sk</w:t>
      </w:r>
      <w:r w:rsidR="00E004F4">
        <w:rPr>
          <w:spacing w:val="-2"/>
          <w:sz w:val="22"/>
          <w:szCs w:val="22"/>
        </w:rPr>
        <w:t>.</w:t>
      </w:r>
      <w:r>
        <w:rPr>
          <w:spacing w:val="-2"/>
          <w:sz w:val="22"/>
          <w:szCs w:val="22"/>
        </w:rPr>
        <w:t xml:space="preserve"> </w:t>
      </w:r>
      <w:r w:rsidR="00E004F4">
        <w:rPr>
          <w:sz w:val="22"/>
          <w:szCs w:val="22"/>
        </w:rPr>
        <w:t xml:space="preserve">vyr. specialistė Aušra </w:t>
      </w:r>
      <w:r w:rsidR="00B76539">
        <w:rPr>
          <w:sz w:val="22"/>
          <w:szCs w:val="22"/>
        </w:rPr>
        <w:t>Vyšniauskienė</w:t>
      </w:r>
    </w:p>
    <w:p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6E5179" w:rsidRDefault="006E5179" w:rsidP="00545E20">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rsidR="00B6617F" w:rsidRDefault="002750D1"/>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9"/>
    <w:rsid w:val="001F48B1"/>
    <w:rsid w:val="00225A3D"/>
    <w:rsid w:val="00235F43"/>
    <w:rsid w:val="002750D1"/>
    <w:rsid w:val="002F6957"/>
    <w:rsid w:val="004D4108"/>
    <w:rsid w:val="004D4E4C"/>
    <w:rsid w:val="00535D76"/>
    <w:rsid w:val="00536AE6"/>
    <w:rsid w:val="00545E20"/>
    <w:rsid w:val="00553EC3"/>
    <w:rsid w:val="00573933"/>
    <w:rsid w:val="005E523A"/>
    <w:rsid w:val="005F144E"/>
    <w:rsid w:val="00686F8E"/>
    <w:rsid w:val="006B100E"/>
    <w:rsid w:val="006E5179"/>
    <w:rsid w:val="006F7227"/>
    <w:rsid w:val="00785F7C"/>
    <w:rsid w:val="00797BF1"/>
    <w:rsid w:val="007A25C0"/>
    <w:rsid w:val="007F61E8"/>
    <w:rsid w:val="00807592"/>
    <w:rsid w:val="00827758"/>
    <w:rsid w:val="0083560D"/>
    <w:rsid w:val="008B6E08"/>
    <w:rsid w:val="008E4B8B"/>
    <w:rsid w:val="009B6DF3"/>
    <w:rsid w:val="00A30AEA"/>
    <w:rsid w:val="00A34F98"/>
    <w:rsid w:val="00A568EA"/>
    <w:rsid w:val="00AB5F6D"/>
    <w:rsid w:val="00AC44D9"/>
    <w:rsid w:val="00AD4188"/>
    <w:rsid w:val="00B36530"/>
    <w:rsid w:val="00B76539"/>
    <w:rsid w:val="00CF2A65"/>
    <w:rsid w:val="00D2446B"/>
    <w:rsid w:val="00D33FC8"/>
    <w:rsid w:val="00DA5751"/>
    <w:rsid w:val="00DB4682"/>
    <w:rsid w:val="00DF6B43"/>
    <w:rsid w:val="00E004F4"/>
    <w:rsid w:val="00E01D49"/>
    <w:rsid w:val="00E21C42"/>
    <w:rsid w:val="00E43506"/>
    <w:rsid w:val="00E61944"/>
    <w:rsid w:val="00E71DB0"/>
    <w:rsid w:val="00ED681C"/>
    <w:rsid w:val="00F91ACF"/>
    <w:rsid w:val="00FD79E9"/>
    <w:rsid w:val="00FF4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B5F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5F6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6852</Words>
  <Characters>3906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5</cp:revision>
  <cp:lastPrinted>2021-10-20T04:59:00Z</cp:lastPrinted>
  <dcterms:created xsi:type="dcterms:W3CDTF">2021-10-19T14:20:00Z</dcterms:created>
  <dcterms:modified xsi:type="dcterms:W3CDTF">2021-10-20T05:02:00Z</dcterms:modified>
</cp:coreProperties>
</file>