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2F172A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7728C2">
        <w:rPr>
          <w:b/>
          <w:sz w:val="24"/>
          <w:szCs w:val="24"/>
        </w:rPr>
        <w:t xml:space="preserve">VIEŠOSIOS ĮSTAIGOS VELŽIO KOMUNALINIO ŪKIO ŠILUMOS </w:t>
      </w:r>
      <w:r w:rsidRPr="00FE1381">
        <w:rPr>
          <w:b/>
          <w:sz w:val="24"/>
          <w:szCs w:val="24"/>
        </w:rPr>
        <w:t xml:space="preserve"> </w:t>
      </w:r>
      <w:r w:rsidR="00AE30E0">
        <w:rPr>
          <w:b/>
          <w:sz w:val="24"/>
          <w:szCs w:val="24"/>
        </w:rPr>
        <w:t xml:space="preserve">KAINOS DEDAMŲJŲ </w:t>
      </w:r>
      <w:r w:rsidR="00AE30E0" w:rsidRPr="00D63F38">
        <w:rPr>
          <w:b/>
          <w:sz w:val="24"/>
          <w:szCs w:val="24"/>
        </w:rPr>
        <w:t>PIRMIESIEMS</w:t>
      </w:r>
      <w:r w:rsidR="00AE30E0">
        <w:rPr>
          <w:b/>
          <w:sz w:val="24"/>
          <w:szCs w:val="24"/>
        </w:rPr>
        <w:t xml:space="preserve"> ŠILUMOS BAZINIŲ KAINŲ GALIOJIMO </w:t>
      </w:r>
      <w:r w:rsidR="00AE30E0" w:rsidRPr="00D63F38">
        <w:rPr>
          <w:b/>
          <w:sz w:val="24"/>
          <w:szCs w:val="24"/>
        </w:rPr>
        <w:t>METAMS</w:t>
      </w:r>
      <w:r w:rsidR="00AE30E0">
        <w:rPr>
          <w:b/>
          <w:sz w:val="24"/>
          <w:szCs w:val="24"/>
        </w:rPr>
        <w:t xml:space="preserve"> </w:t>
      </w:r>
      <w:r w:rsidR="000D2210">
        <w:rPr>
          <w:b/>
          <w:sz w:val="24"/>
          <w:szCs w:val="24"/>
        </w:rPr>
        <w:t xml:space="preserve"> </w:t>
      </w:r>
      <w:r w:rsidR="00AE30E0">
        <w:rPr>
          <w:b/>
          <w:sz w:val="24"/>
          <w:szCs w:val="24"/>
        </w:rPr>
        <w:t xml:space="preserve">NUSTATYMO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6E1CD7" w:rsidRDefault="005A3BBD" w:rsidP="000F536F">
      <w:pPr>
        <w:jc w:val="center"/>
        <w:rPr>
          <w:sz w:val="24"/>
          <w:szCs w:val="24"/>
        </w:rPr>
      </w:pPr>
      <w:r w:rsidRPr="006E1CD7">
        <w:rPr>
          <w:sz w:val="24"/>
          <w:szCs w:val="24"/>
        </w:rPr>
        <w:t>20</w:t>
      </w:r>
      <w:r w:rsidR="008E4AB0" w:rsidRPr="006E1CD7">
        <w:rPr>
          <w:sz w:val="24"/>
          <w:szCs w:val="24"/>
        </w:rPr>
        <w:t>2</w:t>
      </w:r>
      <w:r w:rsidR="008729C4" w:rsidRPr="006E1CD7">
        <w:rPr>
          <w:sz w:val="24"/>
          <w:szCs w:val="24"/>
        </w:rPr>
        <w:t>1</w:t>
      </w:r>
      <w:r w:rsidRPr="006E1CD7">
        <w:rPr>
          <w:sz w:val="24"/>
          <w:szCs w:val="24"/>
        </w:rPr>
        <w:t xml:space="preserve"> m.</w:t>
      </w:r>
      <w:r w:rsidR="008729C4" w:rsidRPr="006E1CD7">
        <w:rPr>
          <w:sz w:val="24"/>
          <w:szCs w:val="24"/>
        </w:rPr>
        <w:t xml:space="preserve"> </w:t>
      </w:r>
      <w:r w:rsidR="00EF6D2B" w:rsidRPr="006E1CD7">
        <w:rPr>
          <w:sz w:val="24"/>
          <w:szCs w:val="24"/>
        </w:rPr>
        <w:t>gruodžio 2</w:t>
      </w:r>
      <w:r w:rsidR="009E3E1B" w:rsidRPr="006E1CD7">
        <w:rPr>
          <w:sz w:val="24"/>
          <w:szCs w:val="24"/>
        </w:rPr>
        <w:t>7</w:t>
      </w:r>
      <w:r w:rsidRPr="006E1CD7">
        <w:rPr>
          <w:sz w:val="24"/>
          <w:szCs w:val="24"/>
        </w:rPr>
        <w:t xml:space="preserve"> d. Nr. T-</w:t>
      </w:r>
    </w:p>
    <w:p w:rsidR="00837377" w:rsidRPr="006E1CD7" w:rsidRDefault="00837377" w:rsidP="000F536F">
      <w:pPr>
        <w:jc w:val="center"/>
        <w:rPr>
          <w:sz w:val="24"/>
          <w:szCs w:val="24"/>
        </w:rPr>
      </w:pPr>
      <w:r w:rsidRPr="006E1CD7">
        <w:rPr>
          <w:sz w:val="24"/>
          <w:szCs w:val="24"/>
        </w:rPr>
        <w:t>Panevėžys</w:t>
      </w:r>
    </w:p>
    <w:p w:rsidR="005A3BBD" w:rsidRPr="006E1CD7" w:rsidRDefault="005A3BBD">
      <w:pPr>
        <w:rPr>
          <w:sz w:val="24"/>
          <w:szCs w:val="24"/>
        </w:rPr>
      </w:pPr>
    </w:p>
    <w:p w:rsidR="00AE30E0" w:rsidRPr="006E1CD7" w:rsidRDefault="00AE30E0" w:rsidP="00AE30E0">
      <w:pPr>
        <w:ind w:firstLine="720"/>
        <w:jc w:val="both"/>
        <w:rPr>
          <w:sz w:val="24"/>
          <w:szCs w:val="24"/>
          <w:lang w:eastAsia="lt-LT"/>
        </w:rPr>
      </w:pPr>
      <w:r w:rsidRPr="006E1CD7">
        <w:rPr>
          <w:sz w:val="24"/>
          <w:szCs w:val="24"/>
          <w:lang w:eastAsia="lt-LT"/>
        </w:rPr>
        <w:t xml:space="preserve">Vadovaudamasi Lietuvos Respublikos vietos savivaldos įstatymo 16 straipsnio 2 dalies     </w:t>
      </w:r>
      <w:r w:rsidR="00BF7E5A">
        <w:rPr>
          <w:sz w:val="24"/>
          <w:szCs w:val="24"/>
          <w:lang w:eastAsia="lt-LT"/>
        </w:rPr>
        <w:t xml:space="preserve">     </w:t>
      </w:r>
      <w:r w:rsidRPr="006E1CD7">
        <w:rPr>
          <w:sz w:val="24"/>
          <w:szCs w:val="24"/>
          <w:lang w:eastAsia="lt-LT"/>
        </w:rPr>
        <w:t xml:space="preserve">37 punktu,  Lietuvos Respublikos šilumos ūkio įstatymo 32 straipsnio 7 dalimi bei Šilumos kainų nustatymo metodika, patvirtinta Valstybinės kainų ir energetikos kontrolės komisijos 2009 m. liepos 8 d. nutarimu Nr. O3-96 „Dėl Šilumos kainų nustatymo metodikos“, atsižvelgdama į  Valstybinės </w:t>
      </w:r>
      <w:r w:rsidR="009A4A0A">
        <w:rPr>
          <w:sz w:val="24"/>
          <w:szCs w:val="24"/>
          <w:lang w:eastAsia="lt-LT"/>
        </w:rPr>
        <w:t>energetikos reguliavimo tarybos</w:t>
      </w:r>
      <w:r w:rsidRPr="006E1CD7">
        <w:rPr>
          <w:sz w:val="24"/>
          <w:szCs w:val="24"/>
          <w:lang w:eastAsia="lt-LT"/>
        </w:rPr>
        <w:t xml:space="preserve"> 20</w:t>
      </w:r>
      <w:r w:rsidR="00CE35E9" w:rsidRPr="006E1CD7">
        <w:rPr>
          <w:sz w:val="24"/>
          <w:szCs w:val="24"/>
          <w:lang w:eastAsia="lt-LT"/>
        </w:rPr>
        <w:t>21</w:t>
      </w:r>
      <w:r w:rsidRPr="006E1CD7">
        <w:rPr>
          <w:sz w:val="24"/>
          <w:szCs w:val="24"/>
          <w:lang w:eastAsia="lt-LT"/>
        </w:rPr>
        <w:t xml:space="preserve"> m. </w:t>
      </w:r>
      <w:r w:rsidR="00CE35E9" w:rsidRPr="006E1CD7">
        <w:rPr>
          <w:sz w:val="24"/>
          <w:szCs w:val="24"/>
          <w:lang w:eastAsia="lt-LT"/>
        </w:rPr>
        <w:t>gruodžio 3</w:t>
      </w:r>
      <w:r w:rsidRPr="006E1CD7">
        <w:rPr>
          <w:sz w:val="24"/>
          <w:szCs w:val="24"/>
          <w:lang w:eastAsia="lt-LT"/>
        </w:rPr>
        <w:t xml:space="preserve"> d. nutarimą Nr. O3</w:t>
      </w:r>
      <w:r w:rsidR="00CE35E9" w:rsidRPr="006E1CD7">
        <w:rPr>
          <w:sz w:val="24"/>
          <w:szCs w:val="24"/>
          <w:lang w:eastAsia="lt-LT"/>
        </w:rPr>
        <w:t>E</w:t>
      </w:r>
      <w:r w:rsidRPr="006E1CD7">
        <w:rPr>
          <w:sz w:val="24"/>
          <w:szCs w:val="24"/>
          <w:lang w:eastAsia="lt-LT"/>
        </w:rPr>
        <w:t>-</w:t>
      </w:r>
      <w:r w:rsidR="00CE35E9" w:rsidRPr="006E1CD7">
        <w:rPr>
          <w:sz w:val="24"/>
          <w:szCs w:val="24"/>
          <w:lang w:eastAsia="lt-LT"/>
        </w:rPr>
        <w:t>1639</w:t>
      </w:r>
      <w:r w:rsidRPr="006E1CD7">
        <w:rPr>
          <w:sz w:val="24"/>
          <w:szCs w:val="24"/>
          <w:lang w:eastAsia="lt-LT"/>
        </w:rPr>
        <w:t xml:space="preserve"> „Dėl</w:t>
      </w:r>
      <w:r w:rsidR="00CE35E9" w:rsidRPr="006E1CD7">
        <w:rPr>
          <w:sz w:val="24"/>
          <w:szCs w:val="24"/>
          <w:lang w:eastAsia="lt-LT"/>
        </w:rPr>
        <w:t xml:space="preserve"> VšĮ</w:t>
      </w:r>
      <w:r w:rsidRPr="006E1CD7">
        <w:rPr>
          <w:sz w:val="24"/>
          <w:szCs w:val="24"/>
          <w:lang w:eastAsia="lt-LT"/>
        </w:rPr>
        <w:t xml:space="preserve"> </w:t>
      </w:r>
      <w:r w:rsidR="00CE35E9" w:rsidRPr="006E1CD7">
        <w:rPr>
          <w:sz w:val="24"/>
          <w:szCs w:val="24"/>
          <w:lang w:eastAsia="lt-LT"/>
        </w:rPr>
        <w:t>Velžio komunalinio ū</w:t>
      </w:r>
      <w:r w:rsidRPr="006E1CD7">
        <w:rPr>
          <w:sz w:val="24"/>
          <w:szCs w:val="24"/>
          <w:lang w:eastAsia="lt-LT"/>
        </w:rPr>
        <w:t xml:space="preserve">kio šilumos bazinės kainos dedamųjų nustatymo“, Savivaldybės taryba </w:t>
      </w:r>
      <w:r w:rsidR="00BF7E5A">
        <w:rPr>
          <w:sz w:val="24"/>
          <w:szCs w:val="24"/>
          <w:lang w:eastAsia="lt-LT"/>
        </w:rPr>
        <w:t xml:space="preserve">                               </w:t>
      </w:r>
      <w:r w:rsidRPr="006E1CD7">
        <w:rPr>
          <w:sz w:val="24"/>
          <w:szCs w:val="24"/>
          <w:lang w:eastAsia="lt-LT"/>
        </w:rPr>
        <w:t>n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u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s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p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r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e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n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d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ž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i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a:</w:t>
      </w:r>
    </w:p>
    <w:p w:rsidR="006A0D6C" w:rsidRPr="006E1CD7" w:rsidRDefault="00AE30E0" w:rsidP="00CE35E9">
      <w:pPr>
        <w:ind w:firstLine="720"/>
        <w:rPr>
          <w:sz w:val="24"/>
          <w:szCs w:val="24"/>
          <w:lang w:eastAsia="lt-LT"/>
        </w:rPr>
      </w:pPr>
      <w:r w:rsidRPr="006E1CD7">
        <w:rPr>
          <w:sz w:val="24"/>
          <w:szCs w:val="24"/>
          <w:lang w:eastAsia="lt-LT"/>
        </w:rPr>
        <w:t>1. Nustatyti pirmiesiems šilumos bazinių kainų dedamųjų galiojimo metams viešajai įst</w:t>
      </w:r>
      <w:r w:rsidR="00CE35E9" w:rsidRPr="006E1CD7">
        <w:rPr>
          <w:sz w:val="24"/>
          <w:szCs w:val="24"/>
          <w:lang w:eastAsia="lt-LT"/>
        </w:rPr>
        <w:t>aigai Velžio komunaliniam ūkiui  (be PVM):</w:t>
      </w:r>
      <w:r w:rsidR="006A0D6C" w:rsidRPr="006E1CD7">
        <w:rPr>
          <w:sz w:val="24"/>
          <w:szCs w:val="24"/>
          <w:lang w:eastAsia="lt-LT"/>
        </w:rPr>
        <w:br/>
      </w:r>
      <w:r w:rsidR="00CE35E9" w:rsidRPr="006E1CD7"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1.1. šilumos (produkto) gamybos šilumos tiekėjo gamybos šaltiniuose vienanarę kainą:</w:t>
      </w:r>
      <w:r w:rsidR="006A0D6C" w:rsidRPr="006E1CD7">
        <w:rPr>
          <w:sz w:val="24"/>
          <w:szCs w:val="24"/>
          <w:lang w:eastAsia="lt-LT"/>
        </w:rPr>
        <w:br/>
      </w:r>
      <w:r w:rsidR="006E1CD7"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1.1.1. vienanarės kainos, išreiškiamos formule 1,07 + THG,KD, dedamąsias:</w:t>
      </w:r>
      <w:r w:rsidR="006A0D6C" w:rsidRPr="006E1CD7">
        <w:rPr>
          <w:sz w:val="24"/>
          <w:szCs w:val="24"/>
          <w:lang w:eastAsia="lt-LT"/>
        </w:rPr>
        <w:br/>
      </w:r>
      <w:r w:rsidR="006E1CD7"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1.1.1.1. vienanarės kainos pastoviąją dedamąją – 1,07 ct/kWh;</w:t>
      </w:r>
      <w:r w:rsidR="006A0D6C" w:rsidRPr="006E1CD7">
        <w:rPr>
          <w:sz w:val="24"/>
          <w:szCs w:val="24"/>
          <w:lang w:eastAsia="lt-LT"/>
        </w:rPr>
        <w:br/>
      </w:r>
      <w:r w:rsidR="006E1CD7"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1.1.1.2. vienanarės kainos kintamąją dedamąją – THG,KD;</w:t>
      </w:r>
      <w:r w:rsidR="006A0D6C" w:rsidRPr="006E1CD7">
        <w:rPr>
          <w:sz w:val="24"/>
          <w:szCs w:val="24"/>
          <w:lang w:eastAsia="lt-LT"/>
        </w:rPr>
        <w:br/>
      </w:r>
      <w:r w:rsidR="006E1CD7"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 šilumos (produkto) gamybos (įsigijimo) šilumos kainos dedamąsias:</w:t>
      </w:r>
    </w:p>
    <w:p w:rsidR="00BF7E5A" w:rsidRDefault="006E1CD7" w:rsidP="00BF7E5A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1.2.1. vienanarės kainos, išreiškiamos formule 1,07 + TH,KD, dedamąsias: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1.2.1.1. vienanarės kainos pastoviąją dedamąją – 1,07 ct/kWh;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1.2.1.2. vienanarės kainos kintamąją dedamąją – TH,KD;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1.2.2. dvinarės kainos dedamąsias: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1.2.2.1. dvinarės kainos pastoviąją dalį (mėnesio užmokestį) – 7,79 Eur/mėn./kW;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1.2.2.2. dvinarės kainos pastoviąją dalį (mėnesio užmokestį) – 11,76 Eur/mėn.;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1.2.2.3. dvinarės kainos kintamąją dedamąją – TH,KD,dv;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 šilumos perdavimo kainas: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1.3.1. vienanarės kainos, išreiškiamos formule 0,95 + THT,KD, dedamąsias: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1.3.1.1. vienanarės kainos pastoviąją dedamąją – 0,95 ct/kWh;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1.3.1.2. vienanarės kainos kintamąją dedamąją – THT,KD;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1.3.2. šilumos perdavimo dvinarės kainos dedamąsias: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1.3.2.1. dvinarės kainos pastoviąją dalį (mėnesio užmokestį) – 6,90 Eur/mėn./kW;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1.3.2.2. dvinarės kainos pastoviąją dalį (mėnesio užmokestį) – 9,05 Eur/mėn.;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1.3.2.3. dvinarės kainos kintamąją dedamąją – THT,KD,dv;</w:t>
      </w:r>
    </w:p>
    <w:p w:rsidR="008C2650" w:rsidRPr="006E1CD7" w:rsidRDefault="006A0D6C" w:rsidP="00BF7E5A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 w:rsidRPr="006E1CD7">
        <w:rPr>
          <w:sz w:val="24"/>
          <w:szCs w:val="24"/>
          <w:lang w:eastAsia="lt-LT"/>
        </w:rPr>
        <w:t>1.4. mažmeninio aptarnavimo vartotojams kainą pasirinktinai: jei vartotojas pasirinko</w:t>
      </w:r>
      <w:r w:rsidR="008C2650" w:rsidRPr="006E1CD7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mokėti už kiekvieną realizuotiną šilumos kilovatvalandę – 0,17 ct/kWh, jei vartotojas pasirinko</w:t>
      </w:r>
      <w:r w:rsidR="008C2650" w:rsidRPr="006E1CD7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mokėti kaip pastovų (mėnesio) užmokestį – mažmeninio aptarnavimo pastovus (mėnesio)</w:t>
      </w:r>
      <w:r w:rsidR="008C2650" w:rsidRPr="006E1CD7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 xml:space="preserve">užmokestis </w:t>
      </w:r>
      <w:r w:rsidR="00BF7E5A">
        <w:rPr>
          <w:sz w:val="24"/>
          <w:szCs w:val="24"/>
          <w:lang w:eastAsia="lt-LT"/>
        </w:rPr>
        <w:t xml:space="preserve">                  </w:t>
      </w:r>
      <w:r w:rsidRPr="006E1CD7">
        <w:rPr>
          <w:sz w:val="24"/>
          <w:szCs w:val="24"/>
          <w:lang w:eastAsia="lt-LT"/>
        </w:rPr>
        <w:t>1,24 Eur/mėn./kW arba mažmeninio aptarnavimo pastovus (mėnesio) užmokestis</w:t>
      </w:r>
      <w:r w:rsidR="008C2650" w:rsidRPr="006E1CD7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1,63 Eur/mėn.</w:t>
      </w:r>
      <w:r w:rsidRPr="006E1CD7">
        <w:rPr>
          <w:sz w:val="24"/>
          <w:szCs w:val="24"/>
          <w:lang w:eastAsia="lt-LT"/>
        </w:rPr>
        <w:br/>
      </w:r>
      <w:r w:rsidR="006E1CD7">
        <w:rPr>
          <w:sz w:val="24"/>
          <w:szCs w:val="24"/>
          <w:lang w:eastAsia="lt-LT"/>
        </w:rPr>
        <w:tab/>
      </w:r>
      <w:r w:rsidRPr="006E1CD7">
        <w:rPr>
          <w:sz w:val="24"/>
          <w:szCs w:val="24"/>
          <w:lang w:eastAsia="lt-LT"/>
        </w:rPr>
        <w:t>2. Nustatyti dedamųjų THG,KD, TH,KD, TH,KD,dv, THT,KD, THT,KD,dv, TH formules:</w:t>
      </w:r>
    </w:p>
    <w:p w:rsidR="00C04EF4" w:rsidRPr="006E1CD7" w:rsidRDefault="00C04EF4" w:rsidP="006A0D6C">
      <w:pPr>
        <w:suppressAutoHyphens w:val="0"/>
        <w:rPr>
          <w:sz w:val="24"/>
          <w:szCs w:val="24"/>
          <w:lang w:eastAsia="lt-L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111"/>
        <w:gridCol w:w="4812"/>
      </w:tblGrid>
      <w:tr w:rsidR="00C04EF4" w:rsidRPr="006E1CD7" w:rsidTr="00A752BF">
        <w:trPr>
          <w:trHeight w:val="298"/>
          <w:tblHeader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199276"/>
            <w:r w:rsidRPr="006E1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Dedamoji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Formulė</w:t>
            </w:r>
          </w:p>
        </w:tc>
      </w:tr>
      <w:tr w:rsidR="00C04EF4" w:rsidRPr="006E1CD7" w:rsidTr="00A752BF">
        <w:trPr>
          <w:trHeight w:val="1094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Šilumos (produkto) gamybos vienanarės kainos kintamoji dedamoji, šilumos (produkto) gamybos (įsigijimo) vienanarės kainos ir dvinarės kainos kintamoji dedamoji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HG,KD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= 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H,KD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6E1CD7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6E1CD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H,KD,dv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, = 0,18 + ((10 921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HG,d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+ (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3 358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HG, med b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+ (5 437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HG, gr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+ (868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 med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+ (79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 a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+(511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 skd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)× 100 / 18 531 063</w:t>
            </w:r>
          </w:p>
        </w:tc>
      </w:tr>
      <w:tr w:rsidR="00C04EF4" w:rsidRPr="006E1CD7" w:rsidTr="00A752BF">
        <w:trPr>
          <w:trHeight w:val="699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Šilumos perdavimo vienanarės kainos ir dvinarės kainos kintamoji dedamoji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HT,KD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6E1CD7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6E1CD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HT,KD,dv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, = 0,0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+ (2 439 046 × 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/ 16 092 017</w:t>
            </w:r>
          </w:p>
        </w:tc>
      </w:tr>
      <w:tr w:rsidR="00C04EF4" w:rsidRPr="006E1CD7" w:rsidTr="00A752BF">
        <w:trPr>
          <w:trHeight w:val="627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Šilumos (produkto) gamybos (įsigijimo) vienanarė kaina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= 1,07 + 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H,KD</w:t>
            </w:r>
          </w:p>
        </w:tc>
      </w:tr>
    </w:tbl>
    <w:bookmarkEnd w:id="0"/>
    <w:p w:rsidR="00946341" w:rsidRDefault="006A0D6C" w:rsidP="006A0D6C">
      <w:pPr>
        <w:suppressAutoHyphens w:val="0"/>
        <w:rPr>
          <w:sz w:val="24"/>
          <w:szCs w:val="24"/>
          <w:lang w:eastAsia="lt-LT"/>
        </w:rPr>
      </w:pPr>
      <w:r w:rsidRPr="006E1CD7">
        <w:rPr>
          <w:sz w:val="24"/>
          <w:szCs w:val="24"/>
          <w:lang w:eastAsia="lt-LT"/>
        </w:rPr>
        <w:t>čia:</w:t>
      </w:r>
      <w:r w:rsidRPr="006E1CD7">
        <w:rPr>
          <w:sz w:val="24"/>
          <w:szCs w:val="24"/>
          <w:lang w:eastAsia="lt-LT"/>
        </w:rPr>
        <w:br/>
        <w:t>pHG, d – gamtinių dujų kaina (Eur/MWh);</w:t>
      </w:r>
      <w:r w:rsidRPr="006E1CD7">
        <w:rPr>
          <w:sz w:val="24"/>
          <w:szCs w:val="24"/>
          <w:lang w:eastAsia="lt-LT"/>
        </w:rPr>
        <w:br/>
        <w:t>pHG, med b – medienos kilmės biokuro kaina (Eur/MWh);</w:t>
      </w:r>
      <w:r w:rsidRPr="006E1CD7">
        <w:rPr>
          <w:sz w:val="24"/>
          <w:szCs w:val="24"/>
          <w:lang w:eastAsia="lt-LT"/>
        </w:rPr>
        <w:br/>
        <w:t>pHG, gr – medienos granulių kaina (Eur/MWh);</w:t>
      </w:r>
      <w:r w:rsidRPr="006E1CD7">
        <w:rPr>
          <w:sz w:val="24"/>
          <w:szCs w:val="24"/>
          <w:lang w:eastAsia="lt-LT"/>
        </w:rPr>
        <w:br/>
        <w:t>pHG med − malkinės medienos kaina (Eur/MWh);</w:t>
      </w:r>
      <w:r w:rsidRPr="006E1CD7">
        <w:rPr>
          <w:sz w:val="24"/>
          <w:szCs w:val="24"/>
          <w:lang w:eastAsia="lt-LT"/>
        </w:rPr>
        <w:br/>
        <w:t>pHG a – akmens anglies kaina (Eur/MWh);</w:t>
      </w:r>
      <w:r w:rsidRPr="006E1CD7">
        <w:rPr>
          <w:sz w:val="24"/>
          <w:szCs w:val="24"/>
          <w:lang w:eastAsia="lt-LT"/>
        </w:rPr>
        <w:br/>
        <w:t>pHG skd – suskystintų dujų kaina (</w:t>
      </w:r>
      <w:proofErr w:type="spellStart"/>
      <w:r w:rsidRPr="006E1CD7">
        <w:rPr>
          <w:sz w:val="24"/>
          <w:szCs w:val="24"/>
          <w:lang w:eastAsia="lt-LT"/>
        </w:rPr>
        <w:t>Eur</w:t>
      </w:r>
      <w:proofErr w:type="spellEnd"/>
      <w:r w:rsidRPr="006E1CD7">
        <w:rPr>
          <w:sz w:val="24"/>
          <w:szCs w:val="24"/>
          <w:lang w:eastAsia="lt-LT"/>
        </w:rPr>
        <w:t>/</w:t>
      </w:r>
      <w:proofErr w:type="spellStart"/>
      <w:r w:rsidRPr="006E1CD7">
        <w:rPr>
          <w:sz w:val="24"/>
          <w:szCs w:val="24"/>
          <w:lang w:eastAsia="lt-LT"/>
        </w:rPr>
        <w:t>MWh</w:t>
      </w:r>
      <w:proofErr w:type="spellEnd"/>
      <w:r w:rsidRPr="006E1CD7">
        <w:rPr>
          <w:sz w:val="24"/>
          <w:szCs w:val="24"/>
          <w:lang w:eastAsia="lt-LT"/>
        </w:rPr>
        <w:t>).</w:t>
      </w:r>
    </w:p>
    <w:p w:rsidR="00480036" w:rsidRPr="006E1CD7" w:rsidRDefault="006E1CD7" w:rsidP="00946341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 xml:space="preserve">3. </w:t>
      </w:r>
      <w:r w:rsidR="00D63F38" w:rsidRPr="004B308A">
        <w:rPr>
          <w:sz w:val="24"/>
          <w:szCs w:val="24"/>
          <w:lang w:eastAsia="lt-LT"/>
        </w:rPr>
        <w:t xml:space="preserve">Paskirstyti 12 mėnesių laikotarpiui </w:t>
      </w:r>
      <w:r w:rsidR="00D63F38">
        <w:rPr>
          <w:sz w:val="24"/>
          <w:szCs w:val="24"/>
          <w:lang w:eastAsia="lt-LT"/>
        </w:rPr>
        <w:t>66</w:t>
      </w:r>
      <w:r w:rsidR="00D63F38" w:rsidRPr="004B308A">
        <w:rPr>
          <w:sz w:val="24"/>
          <w:szCs w:val="24"/>
          <w:lang w:eastAsia="lt-LT"/>
        </w:rPr>
        <w:t>,0</w:t>
      </w:r>
      <w:r w:rsidR="00D63F38">
        <w:rPr>
          <w:sz w:val="24"/>
          <w:szCs w:val="24"/>
          <w:lang w:eastAsia="lt-LT"/>
        </w:rPr>
        <w:t>03</w:t>
      </w:r>
      <w:r w:rsidR="00D63F38" w:rsidRPr="004B308A">
        <w:rPr>
          <w:sz w:val="24"/>
          <w:szCs w:val="24"/>
          <w:lang w:eastAsia="lt-LT"/>
        </w:rPr>
        <w:t xml:space="preserve"> tūkst. </w:t>
      </w:r>
      <w:proofErr w:type="spellStart"/>
      <w:r w:rsidR="00D63F38" w:rsidRPr="004B308A">
        <w:rPr>
          <w:sz w:val="24"/>
          <w:szCs w:val="24"/>
          <w:lang w:eastAsia="lt-LT"/>
        </w:rPr>
        <w:t>Eur</w:t>
      </w:r>
      <w:proofErr w:type="spellEnd"/>
      <w:r w:rsidR="00D63F38" w:rsidRPr="004B308A">
        <w:rPr>
          <w:sz w:val="24"/>
          <w:szCs w:val="24"/>
          <w:lang w:eastAsia="lt-LT"/>
        </w:rPr>
        <w:t xml:space="preserve"> sąnaudas (susidariusias 201</w:t>
      </w:r>
      <w:r w:rsidR="00D63F38">
        <w:rPr>
          <w:sz w:val="24"/>
          <w:szCs w:val="24"/>
          <w:lang w:eastAsia="lt-LT"/>
        </w:rPr>
        <w:t>8</w:t>
      </w:r>
      <w:r w:rsidR="00D63F38" w:rsidRPr="004B308A">
        <w:rPr>
          <w:sz w:val="24"/>
          <w:szCs w:val="24"/>
          <w:lang w:eastAsia="lt-LT"/>
        </w:rPr>
        <w:t xml:space="preserve"> m. </w:t>
      </w:r>
      <w:r w:rsidR="00D63F38">
        <w:rPr>
          <w:sz w:val="24"/>
          <w:szCs w:val="24"/>
          <w:lang w:eastAsia="lt-LT"/>
        </w:rPr>
        <w:t>balandžio</w:t>
      </w:r>
      <w:r w:rsidR="00D63F38" w:rsidRPr="004B308A">
        <w:rPr>
          <w:sz w:val="24"/>
          <w:szCs w:val="24"/>
          <w:lang w:eastAsia="lt-LT"/>
        </w:rPr>
        <w:t xml:space="preserve"> 1 d. </w:t>
      </w:r>
      <w:r w:rsidR="00D63F38" w:rsidRPr="004B308A">
        <w:rPr>
          <w:rFonts w:eastAsia="Calibri"/>
          <w:sz w:val="24"/>
          <w:szCs w:val="24"/>
        </w:rPr>
        <w:t xml:space="preserve">– </w:t>
      </w:r>
      <w:r w:rsidR="00D63F38" w:rsidRPr="004B308A">
        <w:rPr>
          <w:sz w:val="24"/>
          <w:szCs w:val="24"/>
          <w:lang w:eastAsia="lt-LT"/>
        </w:rPr>
        <w:t>201</w:t>
      </w:r>
      <w:r w:rsidR="00D63F38">
        <w:rPr>
          <w:sz w:val="24"/>
          <w:szCs w:val="24"/>
          <w:lang w:eastAsia="lt-LT"/>
        </w:rPr>
        <w:t>9</w:t>
      </w:r>
      <w:r w:rsidR="00D63F38" w:rsidRPr="004B308A">
        <w:rPr>
          <w:sz w:val="24"/>
          <w:szCs w:val="24"/>
          <w:lang w:eastAsia="lt-LT"/>
        </w:rPr>
        <w:t xml:space="preserve"> m.</w:t>
      </w:r>
      <w:r w:rsidR="00D63F38">
        <w:rPr>
          <w:sz w:val="24"/>
          <w:szCs w:val="24"/>
          <w:lang w:eastAsia="lt-LT"/>
        </w:rPr>
        <w:t xml:space="preserve"> rugsėjo 30</w:t>
      </w:r>
      <w:r w:rsidR="00D63F38" w:rsidRPr="004B308A">
        <w:rPr>
          <w:sz w:val="24"/>
          <w:szCs w:val="24"/>
          <w:lang w:eastAsia="lt-LT"/>
        </w:rPr>
        <w:t xml:space="preserve"> d. </w:t>
      </w:r>
      <w:r w:rsidR="00D63F38">
        <w:rPr>
          <w:sz w:val="24"/>
          <w:szCs w:val="24"/>
          <w:lang w:eastAsia="lt-LT"/>
        </w:rPr>
        <w:t xml:space="preserve"> laikotarpiu dėl šilumos kainoje įskaitytų ir faktiškai patirtų sąnaudų kurui įsigyti  neatitikimo nesusigrąžintos sąnaudos sudaro 56,315 tūkst. </w:t>
      </w:r>
      <w:proofErr w:type="spellStart"/>
      <w:r w:rsidR="00D63F38">
        <w:rPr>
          <w:sz w:val="24"/>
          <w:szCs w:val="24"/>
          <w:lang w:eastAsia="lt-LT"/>
        </w:rPr>
        <w:t>Eur</w:t>
      </w:r>
      <w:proofErr w:type="spellEnd"/>
      <w:r w:rsidR="00D63F38">
        <w:rPr>
          <w:sz w:val="24"/>
          <w:szCs w:val="24"/>
          <w:lang w:eastAsia="lt-LT"/>
        </w:rPr>
        <w:t xml:space="preserve"> ir </w:t>
      </w:r>
      <w:r w:rsidR="00946341" w:rsidRPr="006E1CD7">
        <w:rPr>
          <w:sz w:val="24"/>
          <w:szCs w:val="24"/>
        </w:rPr>
        <w:t xml:space="preserve">dėl </w:t>
      </w:r>
      <w:r w:rsidR="00946341" w:rsidRPr="006E1CD7">
        <w:rPr>
          <w:sz w:val="24"/>
          <w:szCs w:val="24"/>
          <w:lang w:eastAsia="lt-LT"/>
        </w:rPr>
        <w:t xml:space="preserve">faktiškai realizuoto šilumos kiekio, 2012 m. lapkričio 1d. – 2014 m. vasario 28 d. laikotarpiu papildomai gautų pajamų, 2017 m. birželio 1 d. − 2018 m. gruodžio 31 d. laikotarpiu nesusigrąžintų sąnaudų ir </w:t>
      </w:r>
      <w:r w:rsidR="00946341">
        <w:rPr>
          <w:sz w:val="24"/>
          <w:szCs w:val="24"/>
          <w:lang w:eastAsia="lt-LT"/>
        </w:rPr>
        <w:t xml:space="preserve">          </w:t>
      </w:r>
      <w:bookmarkStart w:id="1" w:name="_GoBack"/>
      <w:bookmarkEnd w:id="1"/>
      <w:r w:rsidR="00946341" w:rsidRPr="006E1CD7">
        <w:rPr>
          <w:sz w:val="24"/>
          <w:szCs w:val="24"/>
          <w:lang w:eastAsia="lt-LT"/>
        </w:rPr>
        <w:t xml:space="preserve">2017 m. sausio 1 d. − 2019 m. gruodžio 31 d. laikotarpiu patirtų, tačiau nepadengtų mokestinių įsipareigojimų sąnaudų </w:t>
      </w:r>
      <w:r w:rsidR="00946341" w:rsidRPr="006E1CD7">
        <w:rPr>
          <w:sz w:val="24"/>
          <w:szCs w:val="24"/>
        </w:rPr>
        <w:t>–</w:t>
      </w:r>
      <w:r w:rsidR="00946341">
        <w:rPr>
          <w:sz w:val="24"/>
          <w:szCs w:val="24"/>
        </w:rPr>
        <w:t xml:space="preserve"> </w:t>
      </w:r>
      <w:r w:rsidR="00946341" w:rsidRPr="006E1CD7">
        <w:rPr>
          <w:sz w:val="24"/>
          <w:szCs w:val="24"/>
          <w:lang w:eastAsia="lt-LT"/>
        </w:rPr>
        <w:t xml:space="preserve">9,688 tūkst. </w:t>
      </w:r>
      <w:proofErr w:type="spellStart"/>
      <w:r w:rsidR="00946341" w:rsidRPr="006E1CD7">
        <w:rPr>
          <w:sz w:val="24"/>
          <w:szCs w:val="24"/>
          <w:lang w:eastAsia="lt-LT"/>
        </w:rPr>
        <w:t>Eur</w:t>
      </w:r>
      <w:proofErr w:type="spellEnd"/>
      <w:r w:rsidR="00946341">
        <w:rPr>
          <w:sz w:val="24"/>
          <w:szCs w:val="24"/>
          <w:lang w:eastAsia="lt-LT"/>
        </w:rPr>
        <w:t>)</w:t>
      </w:r>
      <w:r w:rsidR="008319DE" w:rsidRPr="006E1CD7">
        <w:rPr>
          <w:sz w:val="24"/>
          <w:szCs w:val="24"/>
          <w:lang w:eastAsia="lt-LT"/>
        </w:rPr>
        <w:t>, did</w:t>
      </w:r>
      <w:r w:rsidR="00946341">
        <w:rPr>
          <w:sz w:val="24"/>
          <w:szCs w:val="24"/>
          <w:lang w:eastAsia="lt-LT"/>
        </w:rPr>
        <w:t>inant šilumos kainą 0,41 ct/kWh.</w:t>
      </w:r>
    </w:p>
    <w:p w:rsidR="00837377" w:rsidRDefault="006E1CD7" w:rsidP="00946341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46341" w:rsidRDefault="00946341" w:rsidP="00946341">
      <w:pPr>
        <w:suppressAutoHyphens w:val="0"/>
        <w:jc w:val="both"/>
        <w:rPr>
          <w:sz w:val="24"/>
          <w:szCs w:val="24"/>
        </w:rPr>
      </w:pPr>
    </w:p>
    <w:p w:rsidR="00946341" w:rsidRDefault="00946341" w:rsidP="00946341">
      <w:pPr>
        <w:suppressAutoHyphens w:val="0"/>
        <w:jc w:val="both"/>
        <w:rPr>
          <w:sz w:val="24"/>
          <w:szCs w:val="24"/>
        </w:rPr>
      </w:pPr>
    </w:p>
    <w:p w:rsidR="00946341" w:rsidRPr="006E1CD7" w:rsidRDefault="00946341" w:rsidP="00946341">
      <w:pPr>
        <w:suppressAutoHyphens w:val="0"/>
        <w:jc w:val="both"/>
        <w:rPr>
          <w:sz w:val="24"/>
          <w:szCs w:val="24"/>
        </w:rPr>
      </w:pPr>
    </w:p>
    <w:p w:rsidR="00837377" w:rsidRPr="006E1CD7" w:rsidRDefault="00837377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1525D" w:rsidRDefault="0081525D">
      <w:pPr>
        <w:ind w:right="-15"/>
        <w:jc w:val="both"/>
        <w:rPr>
          <w:sz w:val="24"/>
          <w:szCs w:val="24"/>
        </w:rPr>
      </w:pPr>
    </w:p>
    <w:p w:rsidR="0081525D" w:rsidRDefault="0081525D">
      <w:pPr>
        <w:ind w:right="-15"/>
        <w:jc w:val="both"/>
        <w:rPr>
          <w:sz w:val="24"/>
          <w:szCs w:val="24"/>
        </w:rPr>
      </w:pPr>
    </w:p>
    <w:p w:rsidR="0081525D" w:rsidRDefault="0081525D">
      <w:pPr>
        <w:ind w:right="-15"/>
        <w:jc w:val="both"/>
        <w:rPr>
          <w:sz w:val="24"/>
          <w:szCs w:val="24"/>
        </w:rPr>
      </w:pPr>
    </w:p>
    <w:p w:rsidR="0081525D" w:rsidRPr="006E1CD7" w:rsidRDefault="0081525D">
      <w:pPr>
        <w:ind w:right="-15"/>
        <w:jc w:val="both"/>
        <w:rPr>
          <w:sz w:val="24"/>
          <w:szCs w:val="24"/>
        </w:rPr>
      </w:pPr>
    </w:p>
    <w:p w:rsidR="007728C2" w:rsidRPr="006E1CD7" w:rsidRDefault="007728C2">
      <w:pPr>
        <w:ind w:right="-15"/>
        <w:jc w:val="both"/>
        <w:rPr>
          <w:sz w:val="24"/>
          <w:szCs w:val="24"/>
        </w:rPr>
      </w:pPr>
    </w:p>
    <w:p w:rsidR="007728C2" w:rsidRPr="006E1CD7" w:rsidRDefault="007728C2">
      <w:pPr>
        <w:ind w:right="-15"/>
        <w:jc w:val="both"/>
        <w:rPr>
          <w:sz w:val="24"/>
          <w:szCs w:val="24"/>
        </w:rPr>
      </w:pPr>
    </w:p>
    <w:p w:rsidR="007728C2" w:rsidRPr="006E1CD7" w:rsidRDefault="007728C2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1D6A82" w:rsidRPr="006E1CD7" w:rsidRDefault="001D6A82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E66A06" w:rsidRPr="006E1CD7" w:rsidRDefault="00C51919">
      <w:pPr>
        <w:ind w:right="-1185"/>
        <w:jc w:val="center"/>
        <w:rPr>
          <w:b/>
          <w:sz w:val="24"/>
          <w:szCs w:val="24"/>
        </w:rPr>
      </w:pPr>
      <w:r w:rsidRPr="006E1CD7">
        <w:rPr>
          <w:b/>
          <w:sz w:val="24"/>
          <w:szCs w:val="24"/>
        </w:rPr>
        <w:lastRenderedPageBreak/>
        <w:t>PANEVĖŽIO RAJONO SAVIVALDYBĖS ADMINISTRACIJOS</w:t>
      </w:r>
    </w:p>
    <w:p w:rsidR="005A3BBD" w:rsidRPr="006E1CD7" w:rsidRDefault="005A3BBD">
      <w:pPr>
        <w:ind w:right="-1185"/>
        <w:jc w:val="center"/>
        <w:rPr>
          <w:b/>
          <w:sz w:val="24"/>
          <w:szCs w:val="24"/>
        </w:rPr>
      </w:pPr>
      <w:r w:rsidRPr="006E1CD7">
        <w:rPr>
          <w:b/>
          <w:sz w:val="24"/>
          <w:szCs w:val="24"/>
        </w:rPr>
        <w:t>EKONOMIKOS IR TURTO VALDYMO SKYRIUS</w:t>
      </w:r>
    </w:p>
    <w:p w:rsidR="001D6A82" w:rsidRPr="006E1CD7" w:rsidRDefault="001D6A82">
      <w:pPr>
        <w:ind w:right="-1185"/>
        <w:jc w:val="center"/>
        <w:rPr>
          <w:b/>
          <w:sz w:val="24"/>
          <w:szCs w:val="24"/>
        </w:rPr>
      </w:pPr>
    </w:p>
    <w:p w:rsidR="005A3BBD" w:rsidRPr="006E1CD7" w:rsidRDefault="005A3BBD">
      <w:pPr>
        <w:ind w:right="-1185"/>
        <w:rPr>
          <w:sz w:val="24"/>
          <w:szCs w:val="24"/>
        </w:rPr>
      </w:pPr>
      <w:r w:rsidRPr="006E1CD7">
        <w:rPr>
          <w:sz w:val="24"/>
          <w:szCs w:val="24"/>
        </w:rPr>
        <w:t>Panevėžio rajono savivaldybės tarybai</w:t>
      </w:r>
    </w:p>
    <w:p w:rsidR="001D6A82" w:rsidRPr="006E1CD7" w:rsidRDefault="001D6A82">
      <w:pPr>
        <w:ind w:right="-1185"/>
        <w:rPr>
          <w:sz w:val="24"/>
          <w:szCs w:val="24"/>
        </w:rPr>
      </w:pPr>
    </w:p>
    <w:p w:rsidR="005A3BBD" w:rsidRPr="006E1CD7" w:rsidRDefault="001D6A82" w:rsidP="00625882">
      <w:pPr>
        <w:jc w:val="center"/>
        <w:rPr>
          <w:b/>
          <w:sz w:val="24"/>
          <w:szCs w:val="24"/>
        </w:rPr>
      </w:pPr>
      <w:r w:rsidRPr="006E1CD7">
        <w:rPr>
          <w:b/>
          <w:sz w:val="24"/>
          <w:szCs w:val="24"/>
        </w:rPr>
        <w:t xml:space="preserve">SAVIVALDYBĖS TARYBOS </w:t>
      </w:r>
      <w:r w:rsidR="005A3BBD" w:rsidRPr="006E1CD7">
        <w:rPr>
          <w:b/>
          <w:sz w:val="24"/>
          <w:szCs w:val="24"/>
        </w:rPr>
        <w:t>SPRENDIMO „</w:t>
      </w:r>
      <w:r w:rsidR="0081525D" w:rsidRPr="00FE1381">
        <w:rPr>
          <w:b/>
          <w:sz w:val="24"/>
          <w:szCs w:val="24"/>
        </w:rPr>
        <w:t xml:space="preserve">DĖL </w:t>
      </w:r>
      <w:r w:rsidR="0081525D">
        <w:rPr>
          <w:b/>
          <w:sz w:val="24"/>
          <w:szCs w:val="24"/>
        </w:rPr>
        <w:t xml:space="preserve">VIEŠOSIOS ĮSTAIGOS VELŽIO KOMUNALINIO ŪKIO ŠILUMOS </w:t>
      </w:r>
      <w:r w:rsidR="0081525D" w:rsidRPr="00FE1381">
        <w:rPr>
          <w:b/>
          <w:sz w:val="24"/>
          <w:szCs w:val="24"/>
        </w:rPr>
        <w:t xml:space="preserve"> </w:t>
      </w:r>
      <w:r w:rsidR="0081525D">
        <w:rPr>
          <w:b/>
          <w:sz w:val="24"/>
          <w:szCs w:val="24"/>
        </w:rPr>
        <w:t xml:space="preserve">KAINOS DEDAMŲJŲ </w:t>
      </w:r>
      <w:r w:rsidR="0081525D" w:rsidRPr="00D63F38">
        <w:rPr>
          <w:b/>
          <w:sz w:val="24"/>
          <w:szCs w:val="24"/>
        </w:rPr>
        <w:t>PIRMIESIEMS</w:t>
      </w:r>
      <w:r w:rsidR="000D2210">
        <w:rPr>
          <w:b/>
          <w:sz w:val="24"/>
          <w:szCs w:val="24"/>
        </w:rPr>
        <w:t xml:space="preserve"> </w:t>
      </w:r>
      <w:r w:rsidR="0081525D">
        <w:rPr>
          <w:b/>
          <w:sz w:val="24"/>
          <w:szCs w:val="24"/>
        </w:rPr>
        <w:t xml:space="preserve">ŠILUMOS BAZINIŲ KAINŲ GALIOJIMO </w:t>
      </w:r>
      <w:r w:rsidR="0081525D" w:rsidRPr="00D63F38">
        <w:rPr>
          <w:b/>
          <w:sz w:val="24"/>
          <w:szCs w:val="24"/>
        </w:rPr>
        <w:t>METAMS</w:t>
      </w:r>
      <w:r w:rsidR="0081525D">
        <w:rPr>
          <w:b/>
          <w:sz w:val="24"/>
          <w:szCs w:val="24"/>
        </w:rPr>
        <w:t xml:space="preserve"> NUSTATYMO</w:t>
      </w:r>
      <w:r w:rsidR="005A3BBD" w:rsidRPr="006E1CD7">
        <w:rPr>
          <w:b/>
          <w:bCs/>
          <w:caps/>
          <w:color w:val="000000"/>
          <w:sz w:val="24"/>
          <w:szCs w:val="24"/>
        </w:rPr>
        <w:t>“</w:t>
      </w:r>
      <w:r w:rsidR="005A3BBD" w:rsidRPr="006E1CD7">
        <w:rPr>
          <w:b/>
          <w:bCs/>
          <w:sz w:val="24"/>
          <w:szCs w:val="24"/>
        </w:rPr>
        <w:t xml:space="preserve"> </w:t>
      </w:r>
      <w:r w:rsidR="005A3BBD" w:rsidRPr="006E1CD7">
        <w:rPr>
          <w:b/>
          <w:sz w:val="24"/>
          <w:szCs w:val="24"/>
        </w:rPr>
        <w:t>PROJEKTO</w:t>
      </w:r>
      <w:r w:rsidR="002C52F3" w:rsidRPr="006E1CD7">
        <w:rPr>
          <w:b/>
          <w:sz w:val="24"/>
          <w:szCs w:val="24"/>
        </w:rPr>
        <w:t xml:space="preserve"> AIŠKINAMASIS RAŠTAS </w:t>
      </w:r>
    </w:p>
    <w:p w:rsidR="005A3BBD" w:rsidRPr="006E1CD7" w:rsidRDefault="005A3BBD" w:rsidP="00146AC7">
      <w:pPr>
        <w:jc w:val="center"/>
        <w:rPr>
          <w:sz w:val="24"/>
          <w:szCs w:val="24"/>
        </w:rPr>
      </w:pPr>
      <w:r w:rsidRPr="006E1CD7">
        <w:rPr>
          <w:sz w:val="24"/>
          <w:szCs w:val="24"/>
        </w:rPr>
        <w:t>20</w:t>
      </w:r>
      <w:r w:rsidR="00F659AC" w:rsidRPr="006E1CD7">
        <w:rPr>
          <w:sz w:val="24"/>
          <w:szCs w:val="24"/>
        </w:rPr>
        <w:t>2</w:t>
      </w:r>
      <w:r w:rsidR="006473A0" w:rsidRPr="006E1CD7">
        <w:rPr>
          <w:sz w:val="24"/>
          <w:szCs w:val="24"/>
        </w:rPr>
        <w:t xml:space="preserve">1 m. </w:t>
      </w:r>
      <w:r w:rsidR="00042F00" w:rsidRPr="006E1CD7">
        <w:rPr>
          <w:sz w:val="24"/>
          <w:szCs w:val="24"/>
        </w:rPr>
        <w:t xml:space="preserve">gruodžio </w:t>
      </w:r>
      <w:r w:rsidR="0081525D">
        <w:rPr>
          <w:sz w:val="24"/>
          <w:szCs w:val="24"/>
        </w:rPr>
        <w:t>10</w:t>
      </w:r>
      <w:r w:rsidRPr="006E1CD7">
        <w:rPr>
          <w:sz w:val="24"/>
          <w:szCs w:val="24"/>
        </w:rPr>
        <w:t xml:space="preserve"> d.</w:t>
      </w:r>
    </w:p>
    <w:p w:rsidR="005A3BBD" w:rsidRPr="006E1CD7" w:rsidRDefault="005A3BBD">
      <w:pPr>
        <w:jc w:val="center"/>
        <w:rPr>
          <w:sz w:val="24"/>
          <w:szCs w:val="24"/>
        </w:rPr>
      </w:pPr>
      <w:r w:rsidRPr="006E1CD7">
        <w:rPr>
          <w:sz w:val="24"/>
          <w:szCs w:val="24"/>
        </w:rPr>
        <w:t>Panevėžys</w:t>
      </w:r>
    </w:p>
    <w:p w:rsidR="00CD2930" w:rsidRPr="006E1CD7" w:rsidRDefault="002C52F3" w:rsidP="002C52F3">
      <w:pPr>
        <w:ind w:firstLine="720"/>
        <w:rPr>
          <w:b/>
          <w:sz w:val="24"/>
          <w:szCs w:val="24"/>
        </w:rPr>
      </w:pPr>
      <w:r w:rsidRPr="006E1CD7">
        <w:rPr>
          <w:b/>
          <w:sz w:val="24"/>
          <w:szCs w:val="24"/>
        </w:rPr>
        <w:t>1</w:t>
      </w:r>
      <w:r w:rsidR="00CD2930" w:rsidRPr="006E1CD7">
        <w:rPr>
          <w:b/>
          <w:sz w:val="24"/>
          <w:szCs w:val="24"/>
        </w:rPr>
        <w:t>. Sprendimo projekto tikslai ir uždaviniai</w:t>
      </w:r>
    </w:p>
    <w:p w:rsidR="009A4A0A" w:rsidRDefault="00CD2930" w:rsidP="009A4A0A">
      <w:pPr>
        <w:ind w:firstLine="720"/>
        <w:jc w:val="both"/>
        <w:rPr>
          <w:sz w:val="24"/>
          <w:szCs w:val="24"/>
        </w:rPr>
      </w:pPr>
      <w:r w:rsidRPr="006E1CD7">
        <w:rPr>
          <w:sz w:val="24"/>
          <w:szCs w:val="24"/>
        </w:rPr>
        <w:t xml:space="preserve">Parengtas sprendimo projektas </w:t>
      </w:r>
      <w:r w:rsidR="0081525D">
        <w:rPr>
          <w:sz w:val="24"/>
          <w:szCs w:val="24"/>
        </w:rPr>
        <w:t>n</w:t>
      </w:r>
      <w:r w:rsidR="0081525D" w:rsidRPr="006E1CD7">
        <w:rPr>
          <w:sz w:val="24"/>
          <w:szCs w:val="24"/>
          <w:lang w:eastAsia="lt-LT"/>
        </w:rPr>
        <w:t>ustatyti</w:t>
      </w:r>
      <w:r w:rsidR="0081525D">
        <w:rPr>
          <w:sz w:val="24"/>
          <w:szCs w:val="24"/>
          <w:lang w:eastAsia="lt-LT"/>
        </w:rPr>
        <w:t xml:space="preserve"> šilumos kainas </w:t>
      </w:r>
      <w:r w:rsidR="0081525D" w:rsidRPr="006E1CD7">
        <w:rPr>
          <w:sz w:val="24"/>
          <w:szCs w:val="24"/>
          <w:lang w:eastAsia="lt-LT"/>
        </w:rPr>
        <w:t>viešajai įstaigai Velž</w:t>
      </w:r>
      <w:r w:rsidR="0081525D">
        <w:rPr>
          <w:sz w:val="24"/>
          <w:szCs w:val="24"/>
          <w:lang w:eastAsia="lt-LT"/>
        </w:rPr>
        <w:t xml:space="preserve">io komunaliniam ūkiui </w:t>
      </w:r>
      <w:r w:rsidR="0081525D" w:rsidRPr="006E1CD7">
        <w:rPr>
          <w:sz w:val="24"/>
          <w:szCs w:val="24"/>
          <w:lang w:eastAsia="lt-LT"/>
        </w:rPr>
        <w:t>pirmiesiems šilumos bazinių kainų dedamųjų galiojimo metams</w:t>
      </w:r>
      <w:r w:rsidR="0081525D">
        <w:rPr>
          <w:sz w:val="24"/>
          <w:szCs w:val="24"/>
          <w:lang w:eastAsia="lt-LT"/>
        </w:rPr>
        <w:t>.</w:t>
      </w:r>
      <w:r w:rsidR="009A4A0A" w:rsidRPr="009A4A0A">
        <w:rPr>
          <w:sz w:val="24"/>
          <w:szCs w:val="24"/>
        </w:rPr>
        <w:t xml:space="preserve"> </w:t>
      </w:r>
    </w:p>
    <w:p w:rsidR="00761611" w:rsidRDefault="00CD2930" w:rsidP="00761611">
      <w:pPr>
        <w:jc w:val="both"/>
        <w:rPr>
          <w:b/>
          <w:bCs/>
          <w:sz w:val="24"/>
          <w:szCs w:val="24"/>
        </w:rPr>
      </w:pPr>
      <w:r w:rsidRPr="006E1CD7">
        <w:rPr>
          <w:color w:val="000000"/>
          <w:spacing w:val="7"/>
          <w:sz w:val="24"/>
          <w:szCs w:val="24"/>
        </w:rPr>
        <w:tab/>
      </w:r>
      <w:r w:rsidRPr="006E1CD7">
        <w:rPr>
          <w:b/>
          <w:bCs/>
          <w:sz w:val="24"/>
          <w:szCs w:val="24"/>
        </w:rPr>
        <w:t>2.</w:t>
      </w:r>
      <w:r w:rsidRPr="006E1CD7">
        <w:rPr>
          <w:b/>
          <w:sz w:val="24"/>
          <w:szCs w:val="24"/>
        </w:rPr>
        <w:t xml:space="preserve"> Siūlomos teisinio reguliavimo nuostatos</w:t>
      </w:r>
      <w:r w:rsidRPr="006E1CD7">
        <w:rPr>
          <w:b/>
          <w:bCs/>
          <w:sz w:val="24"/>
          <w:szCs w:val="24"/>
        </w:rPr>
        <w:t xml:space="preserve"> </w:t>
      </w:r>
    </w:p>
    <w:p w:rsidR="00761611" w:rsidRDefault="00761611" w:rsidP="0076161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922BB" w:rsidRPr="00E556CC">
        <w:rPr>
          <w:sz w:val="24"/>
          <w:szCs w:val="24"/>
        </w:rPr>
        <w:t xml:space="preserve">Lietuvos Respublikos vietos savivaldos įstatymo 16 straipsnio 2 dalies 37 punktas numato, kad išimtinė </w:t>
      </w:r>
      <w:r w:rsidR="00396FBC">
        <w:rPr>
          <w:sz w:val="24"/>
          <w:szCs w:val="24"/>
        </w:rPr>
        <w:t>S</w:t>
      </w:r>
      <w:r w:rsidR="009922BB" w:rsidRPr="00E556CC">
        <w:rPr>
          <w:sz w:val="24"/>
          <w:szCs w:val="24"/>
        </w:rPr>
        <w:t>avivaldybės tarybos kompetencija yra</w:t>
      </w:r>
      <w:r w:rsidR="009922BB">
        <w:rPr>
          <w:sz w:val="24"/>
          <w:szCs w:val="24"/>
        </w:rPr>
        <w:t xml:space="preserve"> </w:t>
      </w:r>
      <w:r w:rsidR="009922BB">
        <w:rPr>
          <w:color w:val="000000"/>
          <w:sz w:val="24"/>
          <w:szCs w:val="24"/>
        </w:rPr>
        <w:t>šilumos</w:t>
      </w:r>
      <w:r w:rsidR="009922BB" w:rsidRPr="00E556CC">
        <w:rPr>
          <w:color w:val="000000"/>
          <w:sz w:val="24"/>
          <w:szCs w:val="24"/>
        </w:rPr>
        <w:t xml:space="preserve"> kainų nustatymas (tvirtinimas) įstatymų nustatyta tvarka</w:t>
      </w:r>
      <w:r w:rsidR="009922BB">
        <w:rPr>
          <w:color w:val="000000"/>
          <w:sz w:val="24"/>
          <w:szCs w:val="24"/>
        </w:rPr>
        <w:t xml:space="preserve">. </w:t>
      </w:r>
    </w:p>
    <w:p w:rsidR="009922BB" w:rsidRPr="00761611" w:rsidRDefault="00761611" w:rsidP="0076161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922BB" w:rsidRPr="005839DF">
        <w:rPr>
          <w:sz w:val="24"/>
          <w:szCs w:val="24"/>
        </w:rPr>
        <w:t xml:space="preserve">Pagal </w:t>
      </w:r>
      <w:r>
        <w:rPr>
          <w:sz w:val="24"/>
          <w:szCs w:val="24"/>
        </w:rPr>
        <w:t xml:space="preserve">Lietuvos Respublikos </w:t>
      </w:r>
      <w:r w:rsidR="009922BB" w:rsidRPr="006E1CD7">
        <w:rPr>
          <w:sz w:val="24"/>
          <w:szCs w:val="24"/>
          <w:lang w:eastAsia="lt-LT"/>
        </w:rPr>
        <w:t xml:space="preserve">šilumos ūkio </w:t>
      </w:r>
      <w:r w:rsidR="009922BB">
        <w:rPr>
          <w:sz w:val="24"/>
          <w:szCs w:val="24"/>
          <w:lang w:eastAsia="lt-LT"/>
        </w:rPr>
        <w:t>įstatymo 32 straipsnio 7 dalį</w:t>
      </w:r>
      <w:r w:rsidR="009922BB" w:rsidRPr="005839DF">
        <w:rPr>
          <w:sz w:val="24"/>
          <w:szCs w:val="24"/>
        </w:rPr>
        <w:t xml:space="preserve"> </w:t>
      </w:r>
      <w:r w:rsidR="009922BB" w:rsidRPr="005839DF">
        <w:rPr>
          <w:color w:val="000000"/>
          <w:sz w:val="24"/>
          <w:szCs w:val="24"/>
        </w:rPr>
        <w:t xml:space="preserve">savivaldybių tarybos, vadovaudamosi </w:t>
      </w:r>
      <w:r w:rsidR="009922BB" w:rsidRPr="005839DF">
        <w:rPr>
          <w:sz w:val="24"/>
          <w:szCs w:val="24"/>
        </w:rPr>
        <w:t>Valstybinės energetiko</w:t>
      </w:r>
      <w:r>
        <w:rPr>
          <w:sz w:val="24"/>
          <w:szCs w:val="24"/>
        </w:rPr>
        <w:t>s reguliavimo tarybos nustatytomis</w:t>
      </w:r>
      <w:r w:rsidR="009922BB" w:rsidRPr="005839D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šilumos bazinėmis kainomis nustato šilumos kainų dedamąsias pirmiesiems šilumos bazinių kainų galiojimo metams</w:t>
      </w:r>
      <w:r w:rsidR="009922BB" w:rsidRPr="005839DF">
        <w:rPr>
          <w:color w:val="000000"/>
          <w:sz w:val="24"/>
          <w:szCs w:val="24"/>
        </w:rPr>
        <w:t>.</w:t>
      </w:r>
    </w:p>
    <w:p w:rsidR="00CD2930" w:rsidRDefault="009922BB" w:rsidP="00761611">
      <w:pPr>
        <w:tabs>
          <w:tab w:val="left" w:pos="567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   </w:t>
      </w:r>
      <w:r w:rsidR="00CD2930" w:rsidRPr="006E1CD7">
        <w:rPr>
          <w:b/>
          <w:sz w:val="24"/>
          <w:szCs w:val="24"/>
        </w:rPr>
        <w:t>3</w:t>
      </w:r>
      <w:r w:rsidR="00CD2930" w:rsidRPr="006E1CD7">
        <w:rPr>
          <w:sz w:val="24"/>
          <w:szCs w:val="24"/>
        </w:rPr>
        <w:t xml:space="preserve">. </w:t>
      </w:r>
      <w:r w:rsidR="00CD2930" w:rsidRPr="006E1CD7">
        <w:rPr>
          <w:b/>
          <w:sz w:val="24"/>
          <w:szCs w:val="24"/>
        </w:rPr>
        <w:t>Laukiami rezultatai</w:t>
      </w:r>
    </w:p>
    <w:p w:rsidR="00B97624" w:rsidRPr="002E55C7" w:rsidRDefault="002E55C7" w:rsidP="002E55C7">
      <w:pPr>
        <w:rPr>
          <w:rFonts w:eastAsia="TimesNewRomanPSMT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Pr="002E55C7">
        <w:rPr>
          <w:sz w:val="24"/>
          <w:szCs w:val="24"/>
          <w:lang w:eastAsia="lt-LT"/>
        </w:rPr>
        <w:t>V</w:t>
      </w:r>
      <w:r w:rsidRPr="002E55C7">
        <w:rPr>
          <w:sz w:val="24"/>
          <w:szCs w:val="24"/>
          <w:lang w:eastAsia="lt-LT"/>
        </w:rPr>
        <w:t xml:space="preserve">adovaujantis teisės aktų nuostatomis </w:t>
      </w:r>
      <w:r w:rsidRPr="002E55C7">
        <w:rPr>
          <w:sz w:val="24"/>
          <w:szCs w:val="24"/>
          <w:lang w:eastAsia="lt-LT"/>
        </w:rPr>
        <w:t xml:space="preserve"> bus </w:t>
      </w:r>
      <w:r w:rsidRPr="002E55C7">
        <w:rPr>
          <w:sz w:val="24"/>
          <w:szCs w:val="24"/>
          <w:lang w:eastAsia="lt-LT"/>
        </w:rPr>
        <w:t>nustat</w:t>
      </w:r>
      <w:r w:rsidRPr="002E55C7">
        <w:rPr>
          <w:sz w:val="24"/>
          <w:szCs w:val="24"/>
          <w:lang w:eastAsia="lt-LT"/>
        </w:rPr>
        <w:t>ytos</w:t>
      </w:r>
      <w:r w:rsidRPr="002E55C7">
        <w:rPr>
          <w:sz w:val="24"/>
          <w:szCs w:val="24"/>
          <w:lang w:eastAsia="lt-LT"/>
        </w:rPr>
        <w:t xml:space="preserve"> šilumos kainos dedamosios pirmiems šilumos bazinės kainos galiojimo metams.</w:t>
      </w:r>
    </w:p>
    <w:p w:rsidR="004678EF" w:rsidRPr="00504E43" w:rsidRDefault="004678EF" w:rsidP="004678EF">
      <w:pPr>
        <w:ind w:firstLine="720"/>
        <w:jc w:val="both"/>
        <w:rPr>
          <w:sz w:val="24"/>
          <w:szCs w:val="24"/>
        </w:rPr>
      </w:pPr>
      <w:r w:rsidRPr="00504E43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504E43">
        <w:rPr>
          <w:sz w:val="24"/>
          <w:szCs w:val="24"/>
        </w:rPr>
        <w:t xml:space="preserve"> m. lapkričio mėn. galiojančių ir projekcinių šilumos kainų palyginimas ct/kWh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30"/>
        <w:gridCol w:w="1559"/>
        <w:gridCol w:w="1735"/>
        <w:gridCol w:w="1922"/>
      </w:tblGrid>
      <w:tr w:rsidR="004678EF" w:rsidRPr="00F66772" w:rsidTr="00206E9D">
        <w:tc>
          <w:tcPr>
            <w:tcW w:w="576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 xml:space="preserve">Eil. </w:t>
            </w:r>
          </w:p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>Nr.</w:t>
            </w:r>
          </w:p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>Šilumos kaina</w:t>
            </w:r>
          </w:p>
        </w:tc>
        <w:tc>
          <w:tcPr>
            <w:tcW w:w="1559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>Galiojanti kaina</w:t>
            </w:r>
          </w:p>
        </w:tc>
        <w:tc>
          <w:tcPr>
            <w:tcW w:w="1735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 xml:space="preserve">Apskaičiuota projekcinė kaina </w:t>
            </w:r>
          </w:p>
        </w:tc>
        <w:tc>
          <w:tcPr>
            <w:tcW w:w="1922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 xml:space="preserve">Pasikeitimas </w:t>
            </w:r>
          </w:p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 xml:space="preserve"> </w:t>
            </w:r>
          </w:p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</w:p>
        </w:tc>
      </w:tr>
      <w:tr w:rsidR="004678EF" w:rsidRPr="00206E9D" w:rsidTr="00206E9D">
        <w:tc>
          <w:tcPr>
            <w:tcW w:w="576" w:type="dxa"/>
            <w:shd w:val="clear" w:color="auto" w:fill="auto"/>
          </w:tcPr>
          <w:p w:rsidR="004678EF" w:rsidRPr="00206E9D" w:rsidRDefault="004678EF" w:rsidP="005D6311">
            <w:pPr>
              <w:jc w:val="both"/>
              <w:rPr>
                <w:b/>
                <w:sz w:val="24"/>
                <w:szCs w:val="24"/>
              </w:rPr>
            </w:pPr>
            <w:r w:rsidRPr="00206E9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30" w:type="dxa"/>
            <w:shd w:val="clear" w:color="auto" w:fill="auto"/>
          </w:tcPr>
          <w:p w:rsidR="004678EF" w:rsidRPr="00206E9D" w:rsidRDefault="004678EF" w:rsidP="004678EF">
            <w:pPr>
              <w:jc w:val="both"/>
              <w:rPr>
                <w:b/>
                <w:sz w:val="24"/>
                <w:szCs w:val="24"/>
              </w:rPr>
            </w:pPr>
            <w:r w:rsidRPr="00206E9D">
              <w:rPr>
                <w:b/>
                <w:sz w:val="24"/>
                <w:szCs w:val="24"/>
              </w:rPr>
              <w:t>Šilumos bazinės kainos dedamosios</w:t>
            </w:r>
          </w:p>
        </w:tc>
        <w:tc>
          <w:tcPr>
            <w:tcW w:w="1559" w:type="dxa"/>
            <w:shd w:val="clear" w:color="auto" w:fill="auto"/>
          </w:tcPr>
          <w:p w:rsidR="004678EF" w:rsidRPr="00206E9D" w:rsidRDefault="004678EF" w:rsidP="00206E9D">
            <w:pPr>
              <w:jc w:val="center"/>
              <w:rPr>
                <w:b/>
                <w:sz w:val="24"/>
                <w:szCs w:val="24"/>
              </w:rPr>
            </w:pPr>
            <w:r w:rsidRPr="00206E9D">
              <w:rPr>
                <w:b/>
                <w:sz w:val="24"/>
                <w:szCs w:val="24"/>
              </w:rPr>
              <w:t>8,03</w:t>
            </w:r>
          </w:p>
        </w:tc>
        <w:tc>
          <w:tcPr>
            <w:tcW w:w="1735" w:type="dxa"/>
            <w:shd w:val="clear" w:color="auto" w:fill="auto"/>
          </w:tcPr>
          <w:p w:rsidR="004678EF" w:rsidRPr="00206E9D" w:rsidRDefault="004678EF" w:rsidP="00206E9D">
            <w:pPr>
              <w:jc w:val="center"/>
              <w:rPr>
                <w:b/>
                <w:sz w:val="24"/>
                <w:szCs w:val="24"/>
              </w:rPr>
            </w:pPr>
            <w:r w:rsidRPr="00206E9D">
              <w:rPr>
                <w:b/>
                <w:sz w:val="24"/>
                <w:szCs w:val="24"/>
              </w:rPr>
              <w:t>7,96</w:t>
            </w:r>
          </w:p>
        </w:tc>
        <w:tc>
          <w:tcPr>
            <w:tcW w:w="1922" w:type="dxa"/>
            <w:shd w:val="clear" w:color="auto" w:fill="auto"/>
          </w:tcPr>
          <w:p w:rsidR="004678EF" w:rsidRPr="00206E9D" w:rsidRDefault="004678EF" w:rsidP="00206E9D">
            <w:pPr>
              <w:jc w:val="center"/>
              <w:rPr>
                <w:b/>
                <w:sz w:val="24"/>
                <w:szCs w:val="24"/>
              </w:rPr>
            </w:pPr>
            <w:r w:rsidRPr="00206E9D">
              <w:rPr>
                <w:b/>
                <w:sz w:val="24"/>
                <w:szCs w:val="24"/>
              </w:rPr>
              <w:t>-0,07  (-0,9 %)</w:t>
            </w:r>
          </w:p>
        </w:tc>
      </w:tr>
      <w:tr w:rsidR="004678EF" w:rsidRPr="00F66772" w:rsidTr="00206E9D">
        <w:tc>
          <w:tcPr>
            <w:tcW w:w="576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>1.1.</w:t>
            </w:r>
          </w:p>
        </w:tc>
        <w:tc>
          <w:tcPr>
            <w:tcW w:w="3530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>Pastovioji dedamoji</w:t>
            </w:r>
          </w:p>
        </w:tc>
        <w:tc>
          <w:tcPr>
            <w:tcW w:w="1559" w:type="dxa"/>
            <w:shd w:val="clear" w:color="auto" w:fill="auto"/>
          </w:tcPr>
          <w:p w:rsidR="004678EF" w:rsidRPr="00F66772" w:rsidRDefault="004678EF" w:rsidP="00206E9D">
            <w:pPr>
              <w:jc w:val="center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735" w:type="dxa"/>
            <w:shd w:val="clear" w:color="auto" w:fill="auto"/>
          </w:tcPr>
          <w:p w:rsidR="004678EF" w:rsidRPr="00F66772" w:rsidRDefault="004678EF" w:rsidP="00206E9D">
            <w:pPr>
              <w:jc w:val="center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922" w:type="dxa"/>
            <w:shd w:val="clear" w:color="auto" w:fill="auto"/>
          </w:tcPr>
          <w:p w:rsidR="004678EF" w:rsidRPr="00F66772" w:rsidRDefault="004678EF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-0,51 (-18,9 %)</w:t>
            </w:r>
          </w:p>
        </w:tc>
      </w:tr>
      <w:tr w:rsidR="004678EF" w:rsidRPr="00F66772" w:rsidTr="00206E9D">
        <w:tc>
          <w:tcPr>
            <w:tcW w:w="576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3530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>Kintamoji dedamoji</w:t>
            </w:r>
          </w:p>
        </w:tc>
        <w:tc>
          <w:tcPr>
            <w:tcW w:w="1559" w:type="dxa"/>
            <w:shd w:val="clear" w:color="auto" w:fill="auto"/>
          </w:tcPr>
          <w:p w:rsidR="004678EF" w:rsidRPr="00F66772" w:rsidRDefault="004678EF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735" w:type="dxa"/>
            <w:shd w:val="clear" w:color="auto" w:fill="auto"/>
          </w:tcPr>
          <w:p w:rsidR="004678EF" w:rsidRPr="00F66772" w:rsidRDefault="004678EF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5,77</w:t>
            </w:r>
          </w:p>
        </w:tc>
        <w:tc>
          <w:tcPr>
            <w:tcW w:w="1922" w:type="dxa"/>
            <w:shd w:val="clear" w:color="auto" w:fill="auto"/>
          </w:tcPr>
          <w:p w:rsidR="004678EF" w:rsidRPr="00F66772" w:rsidRDefault="004678EF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 (8,3 %)</w:t>
            </w:r>
          </w:p>
        </w:tc>
      </w:tr>
      <w:tr w:rsidR="004678EF" w:rsidRPr="00F66772" w:rsidTr="00206E9D">
        <w:tc>
          <w:tcPr>
            <w:tcW w:w="576" w:type="dxa"/>
            <w:shd w:val="clear" w:color="auto" w:fill="auto"/>
          </w:tcPr>
          <w:p w:rsidR="004678EF" w:rsidRPr="00206E9D" w:rsidRDefault="004678EF" w:rsidP="00206E9D">
            <w:pPr>
              <w:rPr>
                <w:b/>
                <w:sz w:val="24"/>
                <w:szCs w:val="24"/>
              </w:rPr>
            </w:pPr>
            <w:r w:rsidRPr="00206E9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30" w:type="dxa"/>
            <w:shd w:val="clear" w:color="auto" w:fill="auto"/>
          </w:tcPr>
          <w:p w:rsidR="004678EF" w:rsidRPr="00206E9D" w:rsidRDefault="004678EF" w:rsidP="00206E9D">
            <w:pPr>
              <w:rPr>
                <w:b/>
                <w:sz w:val="24"/>
                <w:szCs w:val="24"/>
              </w:rPr>
            </w:pPr>
            <w:r w:rsidRPr="00206E9D">
              <w:rPr>
                <w:b/>
                <w:sz w:val="24"/>
                <w:szCs w:val="24"/>
              </w:rPr>
              <w:t>Šilumos kainos dedamosios (įvertinus papildomą dedamąją)</w:t>
            </w:r>
          </w:p>
        </w:tc>
        <w:tc>
          <w:tcPr>
            <w:tcW w:w="1559" w:type="dxa"/>
            <w:shd w:val="clear" w:color="auto" w:fill="auto"/>
          </w:tcPr>
          <w:p w:rsidR="004678EF" w:rsidRPr="00206E9D" w:rsidRDefault="00133D92" w:rsidP="00206E9D">
            <w:pPr>
              <w:jc w:val="center"/>
              <w:rPr>
                <w:b/>
                <w:sz w:val="24"/>
                <w:szCs w:val="24"/>
              </w:rPr>
            </w:pPr>
            <w:r w:rsidRPr="00206E9D">
              <w:rPr>
                <w:b/>
                <w:sz w:val="24"/>
                <w:szCs w:val="24"/>
              </w:rPr>
              <w:t>8,03</w:t>
            </w:r>
          </w:p>
        </w:tc>
        <w:tc>
          <w:tcPr>
            <w:tcW w:w="1735" w:type="dxa"/>
            <w:shd w:val="clear" w:color="auto" w:fill="auto"/>
          </w:tcPr>
          <w:p w:rsidR="004678EF" w:rsidRPr="00206E9D" w:rsidRDefault="00133D92" w:rsidP="00206E9D">
            <w:pPr>
              <w:jc w:val="center"/>
              <w:rPr>
                <w:b/>
                <w:sz w:val="24"/>
                <w:szCs w:val="24"/>
              </w:rPr>
            </w:pPr>
            <w:r w:rsidRPr="00206E9D">
              <w:rPr>
                <w:b/>
                <w:sz w:val="24"/>
                <w:szCs w:val="24"/>
              </w:rPr>
              <w:t>8,37</w:t>
            </w:r>
          </w:p>
        </w:tc>
        <w:tc>
          <w:tcPr>
            <w:tcW w:w="1922" w:type="dxa"/>
            <w:shd w:val="clear" w:color="auto" w:fill="auto"/>
          </w:tcPr>
          <w:p w:rsidR="004678EF" w:rsidRPr="00206E9D" w:rsidRDefault="00206E9D" w:rsidP="00206E9D">
            <w:pPr>
              <w:jc w:val="center"/>
              <w:rPr>
                <w:b/>
                <w:sz w:val="24"/>
                <w:szCs w:val="24"/>
              </w:rPr>
            </w:pPr>
            <w:r w:rsidRPr="00206E9D">
              <w:rPr>
                <w:b/>
                <w:sz w:val="24"/>
                <w:szCs w:val="24"/>
              </w:rPr>
              <w:t>0,34 (4,2 %)</w:t>
            </w:r>
          </w:p>
        </w:tc>
      </w:tr>
      <w:tr w:rsidR="004678EF" w:rsidRPr="00F66772" w:rsidTr="00206E9D">
        <w:tc>
          <w:tcPr>
            <w:tcW w:w="576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530" w:type="dxa"/>
            <w:shd w:val="clear" w:color="auto" w:fill="auto"/>
          </w:tcPr>
          <w:p w:rsidR="004678EF" w:rsidRDefault="004678EF" w:rsidP="004678EF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>Pastovioji dedamoji</w:t>
            </w:r>
          </w:p>
        </w:tc>
        <w:tc>
          <w:tcPr>
            <w:tcW w:w="1559" w:type="dxa"/>
            <w:shd w:val="clear" w:color="auto" w:fill="auto"/>
          </w:tcPr>
          <w:p w:rsidR="004678EF" w:rsidRDefault="00133D92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</w:t>
            </w:r>
          </w:p>
        </w:tc>
        <w:tc>
          <w:tcPr>
            <w:tcW w:w="1735" w:type="dxa"/>
            <w:shd w:val="clear" w:color="auto" w:fill="auto"/>
          </w:tcPr>
          <w:p w:rsidR="004678EF" w:rsidRDefault="00206E9D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</w:t>
            </w:r>
          </w:p>
        </w:tc>
        <w:tc>
          <w:tcPr>
            <w:tcW w:w="1922" w:type="dxa"/>
            <w:shd w:val="clear" w:color="auto" w:fill="auto"/>
          </w:tcPr>
          <w:p w:rsidR="004678EF" w:rsidRDefault="00206E9D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-0,51 (-18,90 %)</w:t>
            </w:r>
          </w:p>
        </w:tc>
      </w:tr>
      <w:tr w:rsidR="004678EF" w:rsidRPr="00F66772" w:rsidTr="00206E9D">
        <w:tc>
          <w:tcPr>
            <w:tcW w:w="576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530" w:type="dxa"/>
            <w:shd w:val="clear" w:color="auto" w:fill="auto"/>
          </w:tcPr>
          <w:p w:rsidR="004678EF" w:rsidRDefault="004678EF" w:rsidP="004678EF">
            <w:pPr>
              <w:jc w:val="both"/>
              <w:rPr>
                <w:sz w:val="24"/>
                <w:szCs w:val="24"/>
              </w:rPr>
            </w:pPr>
            <w:r w:rsidRPr="00F66772">
              <w:rPr>
                <w:sz w:val="24"/>
                <w:szCs w:val="24"/>
              </w:rPr>
              <w:t>Kintamoji dedamoji</w:t>
            </w:r>
          </w:p>
        </w:tc>
        <w:tc>
          <w:tcPr>
            <w:tcW w:w="1559" w:type="dxa"/>
            <w:shd w:val="clear" w:color="auto" w:fill="auto"/>
          </w:tcPr>
          <w:p w:rsidR="004678EF" w:rsidRDefault="00133D92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735" w:type="dxa"/>
            <w:shd w:val="clear" w:color="auto" w:fill="auto"/>
          </w:tcPr>
          <w:p w:rsidR="004678EF" w:rsidRDefault="00206E9D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5,77</w:t>
            </w:r>
          </w:p>
        </w:tc>
        <w:tc>
          <w:tcPr>
            <w:tcW w:w="1922" w:type="dxa"/>
            <w:shd w:val="clear" w:color="auto" w:fill="auto"/>
          </w:tcPr>
          <w:p w:rsidR="004678EF" w:rsidRDefault="00206E9D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 (8,3 %)</w:t>
            </w:r>
          </w:p>
        </w:tc>
      </w:tr>
      <w:tr w:rsidR="004678EF" w:rsidRPr="00F66772" w:rsidTr="00206E9D">
        <w:tc>
          <w:tcPr>
            <w:tcW w:w="576" w:type="dxa"/>
            <w:shd w:val="clear" w:color="auto" w:fill="auto"/>
          </w:tcPr>
          <w:p w:rsidR="004678EF" w:rsidRPr="00F66772" w:rsidRDefault="004678EF" w:rsidP="005D63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530" w:type="dxa"/>
            <w:shd w:val="clear" w:color="auto" w:fill="auto"/>
          </w:tcPr>
          <w:p w:rsidR="004678EF" w:rsidRDefault="004678EF" w:rsidP="004678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Nesusigrąžintos ir (ar) papildomai gautos pajamos</w:t>
            </w:r>
          </w:p>
        </w:tc>
        <w:tc>
          <w:tcPr>
            <w:tcW w:w="1559" w:type="dxa"/>
            <w:shd w:val="clear" w:color="auto" w:fill="auto"/>
          </w:tcPr>
          <w:p w:rsidR="004678EF" w:rsidRDefault="00133D92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5" w:type="dxa"/>
            <w:shd w:val="clear" w:color="auto" w:fill="auto"/>
          </w:tcPr>
          <w:p w:rsidR="004678EF" w:rsidRDefault="00206E9D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  <w:tc>
          <w:tcPr>
            <w:tcW w:w="1922" w:type="dxa"/>
            <w:shd w:val="clear" w:color="auto" w:fill="auto"/>
          </w:tcPr>
          <w:p w:rsidR="004678EF" w:rsidRDefault="00206E9D" w:rsidP="00206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C37E0A" w:rsidRDefault="00B3580C" w:rsidP="003C23BA">
      <w:pPr>
        <w:suppressAutoHyphens w:val="0"/>
        <w:autoSpaceDE w:val="0"/>
        <w:autoSpaceDN w:val="0"/>
        <w:adjustRightInd w:val="0"/>
        <w:jc w:val="both"/>
        <w:rPr>
          <w:rFonts w:eastAsia="TimesNewRomanPSMT"/>
          <w:sz w:val="24"/>
          <w:szCs w:val="24"/>
          <w:lang w:eastAsia="lt-LT"/>
        </w:rPr>
      </w:pPr>
      <w:r>
        <w:rPr>
          <w:rFonts w:eastAsia="TimesNewRomanPSMT"/>
          <w:sz w:val="24"/>
          <w:szCs w:val="24"/>
          <w:lang w:eastAsia="lt-LT"/>
        </w:rPr>
        <w:tab/>
      </w:r>
      <w:r w:rsidR="00206E9D">
        <w:rPr>
          <w:rFonts w:eastAsia="TimesNewRomanPSMT"/>
          <w:sz w:val="24"/>
          <w:szCs w:val="24"/>
          <w:lang w:eastAsia="lt-LT"/>
        </w:rPr>
        <w:t>Šilumos bazinė kaina (nevertinant papildomos dedamosios)</w:t>
      </w:r>
      <w:r w:rsidR="00D27ECD">
        <w:rPr>
          <w:rFonts w:eastAsia="TimesNewRomanPSMT"/>
          <w:sz w:val="24"/>
          <w:szCs w:val="24"/>
          <w:lang w:eastAsia="lt-LT"/>
        </w:rPr>
        <w:t>, l</w:t>
      </w:r>
      <w:r w:rsidR="00206E9D">
        <w:rPr>
          <w:rFonts w:eastAsia="TimesNewRomanPSMT"/>
          <w:sz w:val="24"/>
          <w:szCs w:val="24"/>
          <w:lang w:eastAsia="lt-LT"/>
        </w:rPr>
        <w:t>yginant su dabar galiojančia (apskaičiuota taikant 2021 m. rugsėjo mėn. kuro kainas), mažėja nuo 8,03 ct/kWh iki 7,96 ct/kWh, t. y. 0,07 ct/kWh</w:t>
      </w:r>
      <w:r w:rsidR="00D27ECD">
        <w:rPr>
          <w:rFonts w:eastAsia="TimesNewRomanPSMT"/>
          <w:sz w:val="24"/>
          <w:szCs w:val="24"/>
          <w:lang w:eastAsia="lt-LT"/>
        </w:rPr>
        <w:t>.</w:t>
      </w:r>
    </w:p>
    <w:p w:rsidR="009A4A0A" w:rsidRDefault="009A4A0A" w:rsidP="009A4A0A">
      <w:pPr>
        <w:ind w:firstLine="720"/>
        <w:jc w:val="both"/>
        <w:rPr>
          <w:sz w:val="24"/>
          <w:szCs w:val="24"/>
        </w:rPr>
      </w:pPr>
      <w:r w:rsidRPr="00504E43">
        <w:rPr>
          <w:sz w:val="24"/>
          <w:szCs w:val="24"/>
        </w:rPr>
        <w:t xml:space="preserve">Pagal nustatytas dedamąsias kas mėnesį yra nustatomos naujos šilumos kainos. Pastovioji dedamoji nesikeičia ištisus metus, o kas mėnesį perskaičiuojama tik kintamoji dedamoji, atsižvelgiant į kuro kainas rinkoje.  </w:t>
      </w:r>
    </w:p>
    <w:p w:rsidR="00CD2930" w:rsidRPr="006E1CD7" w:rsidRDefault="00CD2930" w:rsidP="00C51919">
      <w:pPr>
        <w:jc w:val="both"/>
        <w:rPr>
          <w:b/>
          <w:sz w:val="24"/>
          <w:szCs w:val="24"/>
        </w:rPr>
      </w:pPr>
      <w:r w:rsidRPr="001753B6">
        <w:rPr>
          <w:color w:val="000000"/>
          <w:spacing w:val="-3"/>
          <w:sz w:val="24"/>
          <w:szCs w:val="24"/>
        </w:rPr>
        <w:tab/>
      </w:r>
      <w:r w:rsidRPr="001753B6">
        <w:rPr>
          <w:b/>
          <w:color w:val="000000"/>
          <w:spacing w:val="-3"/>
          <w:sz w:val="24"/>
          <w:szCs w:val="24"/>
        </w:rPr>
        <w:t>4</w:t>
      </w:r>
      <w:r w:rsidRPr="001753B6">
        <w:rPr>
          <w:color w:val="000000"/>
          <w:spacing w:val="-3"/>
          <w:sz w:val="24"/>
          <w:szCs w:val="24"/>
        </w:rPr>
        <w:t>.</w:t>
      </w:r>
      <w:r w:rsidRPr="006E1CD7">
        <w:rPr>
          <w:color w:val="000000"/>
          <w:spacing w:val="-3"/>
          <w:sz w:val="24"/>
          <w:szCs w:val="24"/>
        </w:rPr>
        <w:t xml:space="preserve"> </w:t>
      </w:r>
      <w:r w:rsidRPr="006E1CD7">
        <w:rPr>
          <w:b/>
          <w:sz w:val="24"/>
          <w:szCs w:val="24"/>
        </w:rPr>
        <w:t>Lėšų poreikis ir šaltiniai</w:t>
      </w:r>
    </w:p>
    <w:p w:rsidR="00CD2930" w:rsidRPr="006E1CD7" w:rsidRDefault="00CD2930" w:rsidP="00CD2930">
      <w:pPr>
        <w:ind w:left="709"/>
        <w:jc w:val="both"/>
        <w:rPr>
          <w:sz w:val="24"/>
          <w:szCs w:val="24"/>
        </w:rPr>
      </w:pPr>
      <w:r w:rsidRPr="006E1CD7">
        <w:rPr>
          <w:b/>
          <w:color w:val="000000"/>
          <w:spacing w:val="-3"/>
          <w:sz w:val="24"/>
          <w:szCs w:val="24"/>
        </w:rPr>
        <w:tab/>
      </w:r>
      <w:r w:rsidRPr="006E1CD7">
        <w:rPr>
          <w:sz w:val="24"/>
          <w:szCs w:val="24"/>
        </w:rPr>
        <w:t>Nėra.</w:t>
      </w:r>
    </w:p>
    <w:p w:rsidR="00CD2930" w:rsidRPr="006E1CD7" w:rsidRDefault="00CD2930" w:rsidP="00CD2930">
      <w:pPr>
        <w:ind w:left="709"/>
        <w:jc w:val="both"/>
        <w:rPr>
          <w:sz w:val="24"/>
          <w:szCs w:val="24"/>
        </w:rPr>
      </w:pPr>
      <w:r w:rsidRPr="006E1CD7">
        <w:rPr>
          <w:b/>
          <w:color w:val="000000"/>
          <w:sz w:val="24"/>
          <w:szCs w:val="24"/>
        </w:rPr>
        <w:tab/>
        <w:t>5</w:t>
      </w:r>
      <w:r w:rsidRPr="006E1CD7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Default="00CD2930" w:rsidP="00CD2930">
      <w:pPr>
        <w:ind w:left="709"/>
        <w:jc w:val="both"/>
        <w:rPr>
          <w:sz w:val="24"/>
          <w:szCs w:val="24"/>
        </w:rPr>
      </w:pPr>
      <w:r w:rsidRPr="006E1CD7">
        <w:rPr>
          <w:sz w:val="24"/>
          <w:szCs w:val="24"/>
        </w:rPr>
        <w:t>Nėra.</w:t>
      </w:r>
    </w:p>
    <w:p w:rsidR="002E55C7" w:rsidRPr="00D63F38" w:rsidRDefault="002E55C7" w:rsidP="00CD2930">
      <w:pPr>
        <w:ind w:left="709"/>
        <w:jc w:val="both"/>
        <w:rPr>
          <w:sz w:val="24"/>
          <w:szCs w:val="24"/>
          <w:lang w:val="en-US"/>
        </w:rPr>
      </w:pPr>
    </w:p>
    <w:p w:rsidR="00935FF7" w:rsidRPr="006E1CD7" w:rsidRDefault="005A3BBD" w:rsidP="002E55C7">
      <w:pPr>
        <w:jc w:val="both"/>
        <w:rPr>
          <w:sz w:val="24"/>
          <w:szCs w:val="24"/>
        </w:rPr>
      </w:pPr>
      <w:r w:rsidRPr="006E1CD7">
        <w:rPr>
          <w:sz w:val="24"/>
          <w:szCs w:val="24"/>
        </w:rPr>
        <w:tab/>
      </w:r>
      <w:r w:rsidR="00935FF7" w:rsidRPr="006E1CD7">
        <w:rPr>
          <w:sz w:val="24"/>
          <w:szCs w:val="24"/>
        </w:rPr>
        <w:t>Vyr. specialistė</w:t>
      </w:r>
      <w:r w:rsidR="00935FF7" w:rsidRPr="006E1CD7">
        <w:rPr>
          <w:sz w:val="24"/>
          <w:szCs w:val="24"/>
        </w:rPr>
        <w:tab/>
      </w:r>
      <w:r w:rsidR="00935FF7" w:rsidRPr="006E1CD7">
        <w:rPr>
          <w:sz w:val="24"/>
          <w:szCs w:val="24"/>
        </w:rPr>
        <w:tab/>
      </w:r>
      <w:r w:rsidR="00935FF7" w:rsidRPr="006E1CD7">
        <w:rPr>
          <w:sz w:val="24"/>
          <w:szCs w:val="24"/>
        </w:rPr>
        <w:tab/>
      </w:r>
      <w:r w:rsidR="00935FF7" w:rsidRPr="006E1CD7">
        <w:rPr>
          <w:sz w:val="24"/>
          <w:szCs w:val="24"/>
        </w:rPr>
        <w:tab/>
      </w:r>
      <w:r w:rsidR="00935FF7" w:rsidRPr="006E1CD7">
        <w:rPr>
          <w:sz w:val="24"/>
          <w:szCs w:val="24"/>
        </w:rPr>
        <w:tab/>
      </w:r>
      <w:r w:rsidR="00935FF7" w:rsidRPr="006E1CD7">
        <w:rPr>
          <w:sz w:val="24"/>
          <w:szCs w:val="24"/>
        </w:rPr>
        <w:tab/>
      </w:r>
      <w:r w:rsidR="00935FF7" w:rsidRPr="006E1CD7">
        <w:rPr>
          <w:sz w:val="24"/>
          <w:szCs w:val="24"/>
        </w:rPr>
        <w:tab/>
      </w:r>
      <w:r w:rsidR="00935FF7" w:rsidRPr="006E1CD7">
        <w:rPr>
          <w:sz w:val="24"/>
          <w:szCs w:val="24"/>
        </w:rPr>
        <w:tab/>
        <w:t>Jadvyga Balčienė</w:t>
      </w:r>
    </w:p>
    <w:sectPr w:rsidR="00935FF7" w:rsidRPr="006E1CD7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72A" w:rsidRDefault="002F172A">
      <w:r>
        <w:separator/>
      </w:r>
    </w:p>
  </w:endnote>
  <w:endnote w:type="continuationSeparator" w:id="0">
    <w:p w:rsidR="002F172A" w:rsidRDefault="002F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72A" w:rsidRDefault="002F172A">
      <w:r>
        <w:separator/>
      </w:r>
    </w:p>
  </w:footnote>
  <w:footnote w:type="continuationSeparator" w:id="0">
    <w:p w:rsidR="002F172A" w:rsidRDefault="002F1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25B3A"/>
    <w:rsid w:val="0002756B"/>
    <w:rsid w:val="00042F00"/>
    <w:rsid w:val="00057FCE"/>
    <w:rsid w:val="00096D10"/>
    <w:rsid w:val="00096F0F"/>
    <w:rsid w:val="000D2210"/>
    <w:rsid w:val="000D2968"/>
    <w:rsid w:val="000F2C4F"/>
    <w:rsid w:val="000F536F"/>
    <w:rsid w:val="00133D92"/>
    <w:rsid w:val="00146AC7"/>
    <w:rsid w:val="001753B6"/>
    <w:rsid w:val="001D6A82"/>
    <w:rsid w:val="00206E9D"/>
    <w:rsid w:val="002463B4"/>
    <w:rsid w:val="00252C8D"/>
    <w:rsid w:val="0026656E"/>
    <w:rsid w:val="0028267C"/>
    <w:rsid w:val="002B03FC"/>
    <w:rsid w:val="002C52F3"/>
    <w:rsid w:val="002E55C7"/>
    <w:rsid w:val="002F172A"/>
    <w:rsid w:val="00302B83"/>
    <w:rsid w:val="003073F0"/>
    <w:rsid w:val="0031166B"/>
    <w:rsid w:val="00336324"/>
    <w:rsid w:val="00343451"/>
    <w:rsid w:val="00356BA4"/>
    <w:rsid w:val="00396FBC"/>
    <w:rsid w:val="003C23BA"/>
    <w:rsid w:val="003D4CEE"/>
    <w:rsid w:val="003E6E6B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678EF"/>
    <w:rsid w:val="00476434"/>
    <w:rsid w:val="00480036"/>
    <w:rsid w:val="004E19A6"/>
    <w:rsid w:val="004E37D3"/>
    <w:rsid w:val="004F381D"/>
    <w:rsid w:val="005067D5"/>
    <w:rsid w:val="0052095E"/>
    <w:rsid w:val="00521032"/>
    <w:rsid w:val="00566307"/>
    <w:rsid w:val="00575D94"/>
    <w:rsid w:val="00590A27"/>
    <w:rsid w:val="00592B18"/>
    <w:rsid w:val="005A3BBD"/>
    <w:rsid w:val="005B34E4"/>
    <w:rsid w:val="005D6DBF"/>
    <w:rsid w:val="005E2AAA"/>
    <w:rsid w:val="005E3BBF"/>
    <w:rsid w:val="00606221"/>
    <w:rsid w:val="00613409"/>
    <w:rsid w:val="00625882"/>
    <w:rsid w:val="00640E5D"/>
    <w:rsid w:val="006473A0"/>
    <w:rsid w:val="006A0D6C"/>
    <w:rsid w:val="006E1CD7"/>
    <w:rsid w:val="006F57A5"/>
    <w:rsid w:val="0074089C"/>
    <w:rsid w:val="0074275C"/>
    <w:rsid w:val="00761611"/>
    <w:rsid w:val="007728C2"/>
    <w:rsid w:val="007A02DD"/>
    <w:rsid w:val="007A26FD"/>
    <w:rsid w:val="007A5B9B"/>
    <w:rsid w:val="007B14FC"/>
    <w:rsid w:val="007C17BC"/>
    <w:rsid w:val="007D19D3"/>
    <w:rsid w:val="008073EA"/>
    <w:rsid w:val="0081525D"/>
    <w:rsid w:val="008319DE"/>
    <w:rsid w:val="00837377"/>
    <w:rsid w:val="008729C4"/>
    <w:rsid w:val="0087432D"/>
    <w:rsid w:val="008915E0"/>
    <w:rsid w:val="00896F4A"/>
    <w:rsid w:val="008C125F"/>
    <w:rsid w:val="008C2650"/>
    <w:rsid w:val="008D7067"/>
    <w:rsid w:val="008E4AB0"/>
    <w:rsid w:val="00907F14"/>
    <w:rsid w:val="00916844"/>
    <w:rsid w:val="00935FF7"/>
    <w:rsid w:val="009445EB"/>
    <w:rsid w:val="00946341"/>
    <w:rsid w:val="00960129"/>
    <w:rsid w:val="00964CF5"/>
    <w:rsid w:val="009922BB"/>
    <w:rsid w:val="009A4A0A"/>
    <w:rsid w:val="009E3E1B"/>
    <w:rsid w:val="00A417E5"/>
    <w:rsid w:val="00A73E19"/>
    <w:rsid w:val="00AE30E0"/>
    <w:rsid w:val="00B26591"/>
    <w:rsid w:val="00B30D79"/>
    <w:rsid w:val="00B3580C"/>
    <w:rsid w:val="00B401B9"/>
    <w:rsid w:val="00B52EC0"/>
    <w:rsid w:val="00B63DF1"/>
    <w:rsid w:val="00B679D8"/>
    <w:rsid w:val="00B71A48"/>
    <w:rsid w:val="00B97624"/>
    <w:rsid w:val="00BB4296"/>
    <w:rsid w:val="00BB4B46"/>
    <w:rsid w:val="00BC4686"/>
    <w:rsid w:val="00BD0565"/>
    <w:rsid w:val="00BE0B4C"/>
    <w:rsid w:val="00BE7ABE"/>
    <w:rsid w:val="00BF134F"/>
    <w:rsid w:val="00BF7E5A"/>
    <w:rsid w:val="00C04EF4"/>
    <w:rsid w:val="00C308A9"/>
    <w:rsid w:val="00C37E0A"/>
    <w:rsid w:val="00C4187B"/>
    <w:rsid w:val="00C4464C"/>
    <w:rsid w:val="00C51919"/>
    <w:rsid w:val="00C76DD8"/>
    <w:rsid w:val="00C81592"/>
    <w:rsid w:val="00CB34F0"/>
    <w:rsid w:val="00CD2930"/>
    <w:rsid w:val="00CE35E9"/>
    <w:rsid w:val="00CF2869"/>
    <w:rsid w:val="00CF3250"/>
    <w:rsid w:val="00D01222"/>
    <w:rsid w:val="00D2396C"/>
    <w:rsid w:val="00D27ECD"/>
    <w:rsid w:val="00D46FD2"/>
    <w:rsid w:val="00D6211C"/>
    <w:rsid w:val="00D63F38"/>
    <w:rsid w:val="00D72E2B"/>
    <w:rsid w:val="00DC750E"/>
    <w:rsid w:val="00DD28DC"/>
    <w:rsid w:val="00DF4B97"/>
    <w:rsid w:val="00E0442B"/>
    <w:rsid w:val="00E17FF4"/>
    <w:rsid w:val="00E20E1B"/>
    <w:rsid w:val="00E478FE"/>
    <w:rsid w:val="00E50F24"/>
    <w:rsid w:val="00E57A72"/>
    <w:rsid w:val="00E66A06"/>
    <w:rsid w:val="00EA5581"/>
    <w:rsid w:val="00EE4BF2"/>
    <w:rsid w:val="00EF6D2B"/>
    <w:rsid w:val="00F02644"/>
    <w:rsid w:val="00F659AC"/>
    <w:rsid w:val="00F73925"/>
    <w:rsid w:val="00F77ED7"/>
    <w:rsid w:val="00F83CA0"/>
    <w:rsid w:val="00F9391B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28267C"/>
  </w:style>
  <w:style w:type="paragraph" w:customStyle="1" w:styleId="Pagrindiniotekstotrauka31">
    <w:name w:val="Pagrindinio teksto įtrauka 31"/>
    <w:basedOn w:val="prastasis"/>
    <w:rsid w:val="0081525D"/>
    <w:pPr>
      <w:spacing w:after="120"/>
      <w:ind w:left="283"/>
    </w:pPr>
    <w:rPr>
      <w:sz w:val="16"/>
      <w:szCs w:val="16"/>
    </w:rPr>
  </w:style>
  <w:style w:type="character" w:customStyle="1" w:styleId="Internetosaitas">
    <w:name w:val="Interneto saitas"/>
    <w:rsid w:val="009922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2C2B-DB7F-4160-A9C4-3BC37853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4271</Words>
  <Characters>2436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2021-12-07T14:02:00Z</cp:lastPrinted>
  <dcterms:created xsi:type="dcterms:W3CDTF">2021-12-13T08:10:00Z</dcterms:created>
  <dcterms:modified xsi:type="dcterms:W3CDTF">2021-12-13T08:10:00Z</dcterms:modified>
</cp:coreProperties>
</file>