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9CAB" w14:textId="77777777" w:rsidR="00354EBB" w:rsidRDefault="00BA5BCD" w:rsidP="00BA5BCD">
      <w:pPr>
        <w:jc w:val="center"/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92702293" r:id="rId9"/>
        </w:object>
      </w:r>
    </w:p>
    <w:p w14:paraId="37ADFD0D" w14:textId="77777777" w:rsidR="00354EBB" w:rsidRPr="007D682B" w:rsidRDefault="00354EBB">
      <w:pPr>
        <w:rPr>
          <w:sz w:val="20"/>
        </w:rPr>
      </w:pP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93566E" w:rsidRDefault="00665D2B" w:rsidP="00665D2B">
      <w:pPr>
        <w:pStyle w:val="Antrats"/>
        <w:jc w:val="center"/>
        <w:rPr>
          <w:b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53A7D85" w14:textId="113F1088" w:rsidR="0013032A" w:rsidRPr="00AB047C" w:rsidRDefault="0013032A" w:rsidP="0013032A">
      <w:pPr>
        <w:jc w:val="center"/>
        <w:rPr>
          <w:rFonts w:ascii="Times New Roman" w:hAnsi="Times New Roman"/>
          <w:b/>
          <w:szCs w:val="24"/>
          <w:lang w:val="en-GB"/>
        </w:rPr>
      </w:pPr>
      <w:r w:rsidRPr="00AB047C">
        <w:rPr>
          <w:rFonts w:ascii="Times New Roman" w:hAnsi="Times New Roman"/>
          <w:b/>
          <w:szCs w:val="24"/>
        </w:rPr>
        <w:t xml:space="preserve">DĖL </w:t>
      </w:r>
      <w:r w:rsidR="00F64484">
        <w:rPr>
          <w:rFonts w:ascii="Times New Roman" w:hAnsi="Times New Roman"/>
          <w:b/>
          <w:szCs w:val="24"/>
        </w:rPr>
        <w:t>ASMENINĖS PAGALBOS VALANDINIO ĮKAINIO</w:t>
      </w:r>
      <w:r w:rsidRPr="00AB047C">
        <w:rPr>
          <w:rFonts w:ascii="Times New Roman" w:hAnsi="Times New Roman"/>
          <w:b/>
          <w:szCs w:val="24"/>
        </w:rPr>
        <w:t xml:space="preserve"> PATVIRTINIMO</w:t>
      </w:r>
    </w:p>
    <w:p w14:paraId="3FEE30EE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2FD7FD98" w14:textId="194B0A78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r w:rsidRPr="00AB047C">
        <w:rPr>
          <w:rFonts w:ascii="Times New Roman" w:hAnsi="Times New Roman"/>
          <w:szCs w:val="24"/>
          <w:lang w:val="en-GB"/>
        </w:rPr>
        <w:t>20</w:t>
      </w:r>
      <w:r w:rsidR="008B614F">
        <w:rPr>
          <w:rFonts w:ascii="Times New Roman" w:hAnsi="Times New Roman"/>
          <w:szCs w:val="24"/>
          <w:lang w:val="en-GB"/>
        </w:rPr>
        <w:t>21</w:t>
      </w:r>
      <w:r w:rsidRPr="00AB047C">
        <w:rPr>
          <w:rFonts w:ascii="Times New Roman" w:hAnsi="Times New Roman"/>
          <w:szCs w:val="24"/>
          <w:lang w:val="en-GB"/>
        </w:rPr>
        <w:t xml:space="preserve"> m. </w:t>
      </w:r>
      <w:r w:rsidR="00F64484">
        <w:rPr>
          <w:rFonts w:ascii="Times New Roman" w:hAnsi="Times New Roman"/>
          <w:szCs w:val="24"/>
          <w:lang w:val="en-GB"/>
        </w:rPr>
        <w:t>rugsėjo 30</w:t>
      </w:r>
      <w:r w:rsidRPr="00AB047C">
        <w:rPr>
          <w:rFonts w:ascii="Times New Roman" w:hAnsi="Times New Roman"/>
          <w:szCs w:val="24"/>
          <w:lang w:val="en-GB"/>
        </w:rPr>
        <w:t xml:space="preserve"> d. Nr. T-</w:t>
      </w:r>
    </w:p>
    <w:p w14:paraId="0C286F9D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  <w:r w:rsidRPr="00AB047C">
        <w:rPr>
          <w:rFonts w:ascii="Times New Roman" w:hAnsi="Times New Roman"/>
          <w:szCs w:val="24"/>
          <w:lang w:val="en-GB"/>
        </w:rPr>
        <w:t>Panevėžys</w:t>
      </w:r>
    </w:p>
    <w:p w14:paraId="064E80C7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0CAF0240" w14:textId="77777777" w:rsidR="0013032A" w:rsidRPr="00AB047C" w:rsidRDefault="0013032A" w:rsidP="0013032A">
      <w:pPr>
        <w:jc w:val="center"/>
        <w:rPr>
          <w:rFonts w:ascii="Times New Roman" w:hAnsi="Times New Roman"/>
          <w:szCs w:val="24"/>
          <w:lang w:val="en-GB"/>
        </w:rPr>
      </w:pPr>
    </w:p>
    <w:p w14:paraId="30F60E51" w14:textId="55B0CE61" w:rsidR="0013032A" w:rsidRPr="00AB047C" w:rsidRDefault="00F64484" w:rsidP="0013032A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F64484">
        <w:rPr>
          <w:rFonts w:ascii="Times New Roman" w:hAnsi="Times New Roman"/>
          <w:szCs w:val="24"/>
          <w:lang w:eastAsia="lt-LT"/>
        </w:rPr>
        <w:t xml:space="preserve">Vadovaudamasis Lietuvos Respublikos vietos savivaldos įstatymo </w:t>
      </w:r>
      <w:r>
        <w:rPr>
          <w:rFonts w:ascii="Times New Roman" w:hAnsi="Times New Roman"/>
          <w:szCs w:val="24"/>
          <w:lang w:eastAsia="lt-LT"/>
        </w:rPr>
        <w:t>16</w:t>
      </w:r>
      <w:r w:rsidRPr="00F64484">
        <w:rPr>
          <w:rFonts w:ascii="Times New Roman" w:hAnsi="Times New Roman"/>
          <w:szCs w:val="24"/>
          <w:lang w:eastAsia="lt-LT"/>
        </w:rPr>
        <w:t xml:space="preserve"> straipsnio </w:t>
      </w:r>
      <w:r>
        <w:rPr>
          <w:rFonts w:ascii="Times New Roman" w:hAnsi="Times New Roman"/>
          <w:szCs w:val="24"/>
          <w:lang w:eastAsia="lt-LT"/>
        </w:rPr>
        <w:t>2</w:t>
      </w:r>
      <w:r w:rsidRPr="00F64484">
        <w:rPr>
          <w:rFonts w:ascii="Times New Roman" w:hAnsi="Times New Roman"/>
          <w:szCs w:val="24"/>
          <w:lang w:eastAsia="lt-LT"/>
        </w:rPr>
        <w:t xml:space="preserve"> dalies </w:t>
      </w:r>
      <w:r>
        <w:rPr>
          <w:rFonts w:ascii="Times New Roman" w:hAnsi="Times New Roman"/>
          <w:szCs w:val="24"/>
          <w:lang w:eastAsia="lt-LT"/>
        </w:rPr>
        <w:br/>
        <w:t>37</w:t>
      </w:r>
      <w:r w:rsidRPr="00F64484">
        <w:rPr>
          <w:rFonts w:ascii="Times New Roman" w:hAnsi="Times New Roman"/>
          <w:szCs w:val="24"/>
          <w:lang w:eastAsia="lt-LT"/>
        </w:rPr>
        <w:t xml:space="preserve"> punktu, </w:t>
      </w:r>
      <w:r w:rsidRPr="00F64484">
        <w:rPr>
          <w:rFonts w:ascii="Times New Roman" w:hAnsi="Times New Roman"/>
          <w:szCs w:val="24"/>
        </w:rPr>
        <w:t>Neįgaliojo mokėjimo už asmeninę pagalbą dydžio nustatymo tvarkos apraš</w:t>
      </w:r>
      <w:r w:rsidR="00367903">
        <w:rPr>
          <w:rFonts w:ascii="Times New Roman" w:hAnsi="Times New Roman"/>
          <w:szCs w:val="24"/>
        </w:rPr>
        <w:t>o</w:t>
      </w:r>
      <w:r w:rsidRPr="00F64484">
        <w:rPr>
          <w:rFonts w:ascii="Times New Roman" w:hAnsi="Times New Roman"/>
          <w:szCs w:val="24"/>
        </w:rPr>
        <w:t>,</w:t>
      </w:r>
      <w:r w:rsidRPr="00F64484">
        <w:rPr>
          <w:rFonts w:ascii="Times New Roman" w:hAnsi="Times New Roman"/>
          <w:szCs w:val="24"/>
          <w:lang w:eastAsia="lt-LT"/>
        </w:rPr>
        <w:t xml:space="preserve"> patvirtint</w:t>
      </w:r>
      <w:r w:rsidR="00367903">
        <w:rPr>
          <w:rFonts w:ascii="Times New Roman" w:hAnsi="Times New Roman"/>
          <w:szCs w:val="24"/>
          <w:lang w:eastAsia="lt-LT"/>
        </w:rPr>
        <w:t>o</w:t>
      </w:r>
      <w:r w:rsidRPr="00F64484">
        <w:rPr>
          <w:rFonts w:ascii="Times New Roman" w:hAnsi="Times New Roman"/>
          <w:szCs w:val="24"/>
          <w:lang w:eastAsia="lt-LT"/>
        </w:rPr>
        <w:t xml:space="preserve"> Lietuvos Respublikos socialinės apsaugos ir darbo ministro 2021 m. liepos 1 d. įsakymu Nr. A1-478 „Dėl Lietuvos Respublikos neįgaliųjų socialinės integracijos įstatymo 25</w:t>
      </w:r>
      <w:r w:rsidRPr="00F64484">
        <w:rPr>
          <w:rFonts w:ascii="Times New Roman" w:hAnsi="Times New Roman"/>
          <w:szCs w:val="24"/>
          <w:vertAlign w:val="superscript"/>
          <w:lang w:eastAsia="lt-LT"/>
        </w:rPr>
        <w:t>1</w:t>
      </w:r>
      <w:r w:rsidRPr="00F64484">
        <w:rPr>
          <w:rFonts w:ascii="Times New Roman" w:hAnsi="Times New Roman"/>
          <w:szCs w:val="24"/>
          <w:lang w:eastAsia="lt-LT"/>
        </w:rPr>
        <w:t xml:space="preserve"> straipsnio įgyvendinimo“</w:t>
      </w:r>
      <w:r w:rsidR="00367903">
        <w:rPr>
          <w:rFonts w:ascii="Times New Roman" w:hAnsi="Times New Roman"/>
          <w:szCs w:val="24"/>
          <w:lang w:eastAsia="lt-LT"/>
        </w:rPr>
        <w:t xml:space="preserve"> </w:t>
      </w:r>
      <w:r w:rsidR="00367903">
        <w:rPr>
          <w:rFonts w:ascii="Times New Roman" w:hAnsi="Times New Roman"/>
          <w:szCs w:val="24"/>
          <w:lang w:eastAsia="lt-LT"/>
        </w:rPr>
        <w:br/>
        <w:t>4 punktu</w:t>
      </w:r>
      <w:r w:rsidR="00367903">
        <w:rPr>
          <w:rFonts w:ascii="Times New Roman" w:hAnsi="Times New Roman"/>
          <w:szCs w:val="24"/>
        </w:rPr>
        <w:t xml:space="preserve"> ir</w:t>
      </w:r>
      <w:r w:rsidRPr="00F64484">
        <w:rPr>
          <w:rFonts w:ascii="Times New Roman" w:hAnsi="Times New Roman"/>
          <w:szCs w:val="24"/>
          <w:lang w:eastAsia="lt-LT"/>
        </w:rPr>
        <w:t xml:space="preserve"> </w:t>
      </w:r>
      <w:r w:rsidRPr="00F64484">
        <w:rPr>
          <w:rFonts w:ascii="Times New Roman" w:hAnsi="Times New Roman"/>
          <w:szCs w:val="24"/>
        </w:rPr>
        <w:t xml:space="preserve">atsižvelgdama į </w:t>
      </w:r>
      <w:r w:rsidR="00367903">
        <w:rPr>
          <w:rFonts w:ascii="Times New Roman" w:hAnsi="Times New Roman"/>
          <w:szCs w:val="24"/>
        </w:rPr>
        <w:t>Panevėžio rajono</w:t>
      </w:r>
      <w:r w:rsidRPr="00F64484">
        <w:rPr>
          <w:rFonts w:ascii="Times New Roman" w:hAnsi="Times New Roman"/>
          <w:szCs w:val="24"/>
        </w:rPr>
        <w:t xml:space="preserve"> socialinių paslaugų centro 2021 m. </w:t>
      </w:r>
      <w:r w:rsidR="00367903">
        <w:rPr>
          <w:rFonts w:ascii="Times New Roman" w:hAnsi="Times New Roman"/>
          <w:szCs w:val="24"/>
        </w:rPr>
        <w:t>rugsėjo 9</w:t>
      </w:r>
      <w:r w:rsidRPr="00F64484">
        <w:rPr>
          <w:rFonts w:ascii="Times New Roman" w:hAnsi="Times New Roman"/>
          <w:szCs w:val="24"/>
        </w:rPr>
        <w:t xml:space="preserve"> d. </w:t>
      </w:r>
      <w:r w:rsidR="00EF02CA">
        <w:rPr>
          <w:rFonts w:ascii="Times New Roman" w:hAnsi="Times New Roman"/>
          <w:szCs w:val="24"/>
        </w:rPr>
        <w:t>prašymą</w:t>
      </w:r>
      <w:r w:rsidRPr="00F64484">
        <w:rPr>
          <w:rFonts w:ascii="Times New Roman" w:hAnsi="Times New Roman"/>
          <w:szCs w:val="24"/>
        </w:rPr>
        <w:t xml:space="preserve"> </w:t>
      </w:r>
      <w:r w:rsidR="00367903">
        <w:rPr>
          <w:rFonts w:ascii="Times New Roman" w:hAnsi="Times New Roman"/>
          <w:szCs w:val="24"/>
        </w:rPr>
        <w:br/>
      </w:r>
      <w:r w:rsidRPr="00F64484">
        <w:rPr>
          <w:rFonts w:ascii="Times New Roman" w:hAnsi="Times New Roman"/>
          <w:szCs w:val="24"/>
        </w:rPr>
        <w:t>Nr.</w:t>
      </w:r>
      <w:r w:rsidR="00EF02CA">
        <w:rPr>
          <w:rFonts w:ascii="Times New Roman" w:hAnsi="Times New Roman"/>
          <w:szCs w:val="24"/>
        </w:rPr>
        <w:t xml:space="preserve"> SD-461</w:t>
      </w:r>
      <w:r w:rsidR="0036790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13032A" w:rsidRPr="00AB047C">
        <w:rPr>
          <w:rFonts w:ascii="Times New Roman" w:hAnsi="Times New Roman"/>
          <w:szCs w:val="24"/>
        </w:rPr>
        <w:t>Savivaldybės taryba n u s p r e n d ž i a</w:t>
      </w:r>
      <w:r w:rsidR="008B614F">
        <w:rPr>
          <w:rFonts w:ascii="Times New Roman" w:hAnsi="Times New Roman"/>
          <w:szCs w:val="24"/>
        </w:rPr>
        <w:t>:</w:t>
      </w:r>
    </w:p>
    <w:p w14:paraId="6A9014B0" w14:textId="03CE59DA" w:rsidR="0013032A" w:rsidRDefault="0013032A" w:rsidP="0013032A">
      <w:pPr>
        <w:jc w:val="both"/>
        <w:rPr>
          <w:rFonts w:ascii="Times New Roman" w:hAnsi="Times New Roman"/>
          <w:szCs w:val="24"/>
        </w:rPr>
      </w:pPr>
      <w:r w:rsidRPr="00AB047C">
        <w:rPr>
          <w:rFonts w:ascii="Times New Roman" w:hAnsi="Times New Roman"/>
          <w:szCs w:val="24"/>
        </w:rPr>
        <w:tab/>
      </w:r>
      <w:r w:rsidR="008B614F">
        <w:rPr>
          <w:rFonts w:ascii="Times New Roman" w:hAnsi="Times New Roman"/>
          <w:szCs w:val="24"/>
        </w:rPr>
        <w:t xml:space="preserve">1. </w:t>
      </w:r>
      <w:r w:rsidRPr="00AB047C">
        <w:rPr>
          <w:rFonts w:ascii="Times New Roman" w:hAnsi="Times New Roman"/>
          <w:szCs w:val="24"/>
        </w:rPr>
        <w:t xml:space="preserve">Patvirtinti </w:t>
      </w:r>
      <w:r w:rsidR="00367903">
        <w:rPr>
          <w:rFonts w:ascii="Times New Roman" w:hAnsi="Times New Roman"/>
          <w:szCs w:val="24"/>
        </w:rPr>
        <w:t xml:space="preserve">asmeninės pagalbos valandinį įkainį – </w:t>
      </w:r>
      <w:r w:rsidR="00C35759">
        <w:rPr>
          <w:rFonts w:ascii="Times New Roman" w:hAnsi="Times New Roman"/>
          <w:szCs w:val="24"/>
        </w:rPr>
        <w:t>7,87</w:t>
      </w:r>
      <w:r w:rsidR="00367903">
        <w:rPr>
          <w:rFonts w:ascii="Times New Roman" w:hAnsi="Times New Roman"/>
          <w:szCs w:val="24"/>
        </w:rPr>
        <w:t xml:space="preserve"> Eur/val.</w:t>
      </w:r>
    </w:p>
    <w:p w14:paraId="03240A9B" w14:textId="49978296" w:rsidR="008B614F" w:rsidRDefault="008B614F" w:rsidP="0013032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 </w:t>
      </w:r>
      <w:r w:rsidR="00367903">
        <w:rPr>
          <w:rFonts w:ascii="Times New Roman" w:hAnsi="Times New Roman"/>
          <w:szCs w:val="24"/>
        </w:rPr>
        <w:t>Pavesti Savivaldybės administracijos direktoriui pat</w:t>
      </w:r>
      <w:r w:rsidR="00B24736">
        <w:rPr>
          <w:rFonts w:ascii="Times New Roman" w:hAnsi="Times New Roman"/>
          <w:szCs w:val="24"/>
        </w:rPr>
        <w:t>virtinti</w:t>
      </w:r>
      <w:r w:rsidR="00B24736" w:rsidRPr="00B24736">
        <w:rPr>
          <w:rFonts w:ascii="Times New Roman" w:hAnsi="Times New Roman"/>
          <w:szCs w:val="24"/>
        </w:rPr>
        <w:t xml:space="preserve"> </w:t>
      </w:r>
      <w:r w:rsidR="00B24736">
        <w:rPr>
          <w:rFonts w:ascii="Times New Roman" w:hAnsi="Times New Roman"/>
          <w:szCs w:val="24"/>
        </w:rPr>
        <w:t>Asmeninės pagalbos paslaugos organizavimo ir asmens mokėjimo dydžio už asmeninės pagalbos paslaugas nustatymo tvarkos aprašą</w:t>
      </w:r>
      <w:r>
        <w:rPr>
          <w:rFonts w:ascii="Times New Roman" w:hAnsi="Times New Roman"/>
          <w:szCs w:val="24"/>
        </w:rPr>
        <w:t>.</w:t>
      </w:r>
    </w:p>
    <w:p w14:paraId="791BD2EB" w14:textId="77777777" w:rsidR="008B614F" w:rsidRPr="00AB047C" w:rsidRDefault="008B614F" w:rsidP="0013032A">
      <w:pPr>
        <w:jc w:val="both"/>
        <w:rPr>
          <w:rFonts w:ascii="Times New Roman" w:hAnsi="Times New Roman"/>
          <w:szCs w:val="24"/>
        </w:rPr>
      </w:pPr>
    </w:p>
    <w:p w14:paraId="0024613B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0EB2B22F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786A6CD2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25DDA1E4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42987F92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6F62D269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3D2F0633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500D9656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344D49D8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1416ACD4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44F0EDD3" w14:textId="77777777" w:rsidR="0013032A" w:rsidRPr="00AB047C" w:rsidRDefault="0013032A" w:rsidP="0013032A">
      <w:pPr>
        <w:jc w:val="both"/>
        <w:rPr>
          <w:rFonts w:ascii="Times New Roman" w:hAnsi="Times New Roman"/>
          <w:szCs w:val="24"/>
          <w:lang w:val="en-GB"/>
        </w:rPr>
      </w:pPr>
    </w:p>
    <w:p w14:paraId="69E082F4" w14:textId="77777777" w:rsidR="0013032A" w:rsidRPr="00AB047C" w:rsidRDefault="0013032A" w:rsidP="0013032A">
      <w:pPr>
        <w:rPr>
          <w:rFonts w:ascii="Times New Roman" w:hAnsi="Times New Roman"/>
          <w:szCs w:val="24"/>
        </w:rPr>
      </w:pPr>
    </w:p>
    <w:p w14:paraId="650CB988" w14:textId="77777777" w:rsidR="0013032A" w:rsidRPr="00AB047C" w:rsidRDefault="0013032A" w:rsidP="0013032A">
      <w:pPr>
        <w:rPr>
          <w:rFonts w:ascii="Times New Roman" w:hAnsi="Times New Roman"/>
          <w:szCs w:val="24"/>
        </w:rPr>
      </w:pPr>
    </w:p>
    <w:p w14:paraId="34369004" w14:textId="54798DE1" w:rsidR="0013032A" w:rsidRDefault="0013032A" w:rsidP="0013032A">
      <w:pPr>
        <w:rPr>
          <w:rFonts w:ascii="Times New Roman" w:hAnsi="Times New Roman"/>
          <w:szCs w:val="24"/>
        </w:rPr>
      </w:pPr>
    </w:p>
    <w:p w14:paraId="5644E553" w14:textId="2C1E9345" w:rsidR="00B24736" w:rsidRDefault="00B24736" w:rsidP="0013032A">
      <w:pPr>
        <w:rPr>
          <w:rFonts w:ascii="Times New Roman" w:hAnsi="Times New Roman"/>
          <w:szCs w:val="24"/>
        </w:rPr>
      </w:pPr>
    </w:p>
    <w:p w14:paraId="2C048A0C" w14:textId="4530A8E1" w:rsidR="00B24736" w:rsidRDefault="00B24736" w:rsidP="0013032A">
      <w:pPr>
        <w:rPr>
          <w:rFonts w:ascii="Times New Roman" w:hAnsi="Times New Roman"/>
          <w:szCs w:val="24"/>
        </w:rPr>
      </w:pPr>
    </w:p>
    <w:p w14:paraId="76CB9441" w14:textId="77777777" w:rsidR="00B24736" w:rsidRPr="00AB047C" w:rsidRDefault="00B24736" w:rsidP="0013032A">
      <w:pPr>
        <w:rPr>
          <w:rFonts w:ascii="Times New Roman" w:hAnsi="Times New Roman"/>
          <w:szCs w:val="24"/>
        </w:rPr>
      </w:pPr>
    </w:p>
    <w:p w14:paraId="241192FB" w14:textId="7B2ECE8B" w:rsidR="0013032A" w:rsidRDefault="0013032A" w:rsidP="0013032A">
      <w:pPr>
        <w:rPr>
          <w:rFonts w:ascii="Times New Roman" w:hAnsi="Times New Roman"/>
          <w:szCs w:val="24"/>
        </w:rPr>
      </w:pPr>
    </w:p>
    <w:p w14:paraId="4DB6980A" w14:textId="77777777" w:rsidR="00B25C8D" w:rsidRPr="00AB047C" w:rsidRDefault="00B25C8D" w:rsidP="0013032A">
      <w:pPr>
        <w:rPr>
          <w:rFonts w:ascii="Times New Roman" w:hAnsi="Times New Roman"/>
          <w:szCs w:val="24"/>
        </w:rPr>
      </w:pPr>
    </w:p>
    <w:p w14:paraId="51407ACE" w14:textId="77777777" w:rsidR="0013032A" w:rsidRPr="00AB047C" w:rsidRDefault="0013032A" w:rsidP="0013032A">
      <w:pPr>
        <w:rPr>
          <w:rFonts w:ascii="Times New Roman" w:hAnsi="Times New Roman"/>
          <w:szCs w:val="24"/>
        </w:rPr>
      </w:pPr>
    </w:p>
    <w:p w14:paraId="31B3FF96" w14:textId="4AB9F693" w:rsidR="0013032A" w:rsidRDefault="008B614F" w:rsidP="001303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Virginija Savickienė</w:t>
      </w:r>
    </w:p>
    <w:p w14:paraId="5B354E73" w14:textId="7054B5EA" w:rsidR="008B614F" w:rsidRPr="00AB047C" w:rsidRDefault="008B614F" w:rsidP="0013032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2021-0</w:t>
      </w:r>
      <w:r w:rsidR="00B24736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>-</w:t>
      </w:r>
      <w:r w:rsidR="00B24736">
        <w:rPr>
          <w:rFonts w:ascii="Times New Roman" w:hAnsi="Times New Roman"/>
          <w:szCs w:val="24"/>
        </w:rPr>
        <w:t>0</w:t>
      </w:r>
      <w:r w:rsidR="00C35759">
        <w:rPr>
          <w:rFonts w:ascii="Times New Roman" w:hAnsi="Times New Roman"/>
          <w:szCs w:val="24"/>
        </w:rPr>
        <w:t>9</w:t>
      </w:r>
    </w:p>
    <w:p w14:paraId="03D0770D" w14:textId="77777777" w:rsidR="00837914" w:rsidRDefault="00837914" w:rsidP="00837914">
      <w:pPr>
        <w:rPr>
          <w:rFonts w:ascii="Times New Roman" w:hAnsi="Times New Roman"/>
          <w:szCs w:val="24"/>
        </w:rPr>
      </w:pPr>
    </w:p>
    <w:p w14:paraId="53B31859" w14:textId="741925EA" w:rsidR="00B24736" w:rsidRDefault="00B24736" w:rsidP="00837914">
      <w:pPr>
        <w:rPr>
          <w:rFonts w:ascii="Times New Roman" w:hAnsi="Times New Roman"/>
          <w:szCs w:val="24"/>
        </w:rPr>
        <w:sectPr w:rsidR="00B24736" w:rsidSect="00FF5662">
          <w:headerReference w:type="default" r:id="rId10"/>
          <w:pgSz w:w="12240" w:h="15840" w:code="1"/>
          <w:pgMar w:top="1134" w:right="567" w:bottom="567" w:left="1701" w:header="283" w:footer="283" w:gutter="0"/>
          <w:cols w:space="720"/>
          <w:titlePg/>
          <w:docGrid w:linePitch="360"/>
        </w:sectPr>
      </w:pP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6C53A242" w14:textId="6ED7F3BE" w:rsidR="005700FC" w:rsidRDefault="00915CE4" w:rsidP="00B2473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SAVIVALDYBĖS TARYBOS</w:t>
      </w:r>
      <w:r w:rsidR="005700FC" w:rsidRPr="005700FC">
        <w:rPr>
          <w:rFonts w:ascii="Times New Roman" w:hAnsi="Times New Roman"/>
          <w:b/>
          <w:szCs w:val="24"/>
        </w:rPr>
        <w:t xml:space="preserve"> SPRENDIMO „</w:t>
      </w:r>
      <w:r w:rsidR="00FF12E4" w:rsidRPr="00AB047C">
        <w:rPr>
          <w:rFonts w:ascii="Times New Roman" w:hAnsi="Times New Roman"/>
          <w:b/>
          <w:szCs w:val="24"/>
        </w:rPr>
        <w:t xml:space="preserve">DĖL </w:t>
      </w:r>
      <w:r w:rsidR="00B24736">
        <w:rPr>
          <w:rFonts w:ascii="Times New Roman" w:hAnsi="Times New Roman"/>
          <w:b/>
          <w:szCs w:val="24"/>
        </w:rPr>
        <w:t>ASMENINĖS PAGALBOS VALANDINIO ĮKAINIO</w:t>
      </w:r>
      <w:r w:rsidR="00B24736" w:rsidRPr="00AB047C">
        <w:rPr>
          <w:rFonts w:ascii="Times New Roman" w:hAnsi="Times New Roman"/>
          <w:b/>
          <w:szCs w:val="24"/>
        </w:rPr>
        <w:t xml:space="preserve"> PATVIRTINIMO</w:t>
      </w:r>
      <w:r w:rsidR="005700FC" w:rsidRPr="005700FC">
        <w:rPr>
          <w:rFonts w:ascii="Times New Roman" w:hAnsi="Times New Roman"/>
          <w:b/>
          <w:szCs w:val="24"/>
        </w:rPr>
        <w:t>“ PROJEKTO</w:t>
      </w:r>
      <w:r w:rsidR="00B2473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AIŠKINAMASIS RAŠTAS</w:t>
      </w:r>
    </w:p>
    <w:p w14:paraId="6F257A9B" w14:textId="77777777" w:rsidR="00915CE4" w:rsidRPr="005700FC" w:rsidRDefault="00915CE4" w:rsidP="005700FC">
      <w:pPr>
        <w:jc w:val="center"/>
        <w:rPr>
          <w:rFonts w:ascii="Times New Roman" w:hAnsi="Times New Roman"/>
          <w:b/>
          <w:szCs w:val="24"/>
        </w:rPr>
      </w:pPr>
    </w:p>
    <w:p w14:paraId="5F84A813" w14:textId="6498FA58" w:rsidR="005700FC" w:rsidRPr="005700FC" w:rsidRDefault="005700FC" w:rsidP="005700FC">
      <w:pPr>
        <w:jc w:val="center"/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20</w:t>
      </w:r>
      <w:r w:rsidR="000F2EBC">
        <w:rPr>
          <w:rFonts w:ascii="Times New Roman" w:hAnsi="Times New Roman"/>
          <w:szCs w:val="24"/>
        </w:rPr>
        <w:t>21</w:t>
      </w:r>
      <w:r w:rsidRPr="005700FC">
        <w:rPr>
          <w:rFonts w:ascii="Times New Roman" w:hAnsi="Times New Roman"/>
          <w:szCs w:val="24"/>
        </w:rPr>
        <w:t xml:space="preserve"> m. </w:t>
      </w:r>
      <w:r w:rsidR="00B24736">
        <w:rPr>
          <w:rFonts w:ascii="Times New Roman" w:hAnsi="Times New Roman"/>
          <w:szCs w:val="24"/>
        </w:rPr>
        <w:t xml:space="preserve">rugsėjo </w:t>
      </w:r>
      <w:r w:rsidR="00C35759">
        <w:rPr>
          <w:rFonts w:ascii="Times New Roman" w:hAnsi="Times New Roman"/>
          <w:szCs w:val="24"/>
        </w:rPr>
        <w:t>9</w:t>
      </w:r>
      <w:r w:rsidRPr="005700FC">
        <w:rPr>
          <w:rFonts w:ascii="Times New Roman" w:hAnsi="Times New Roman"/>
          <w:szCs w:val="24"/>
        </w:rPr>
        <w:t xml:space="preserve"> d.  </w:t>
      </w:r>
    </w:p>
    <w:p w14:paraId="7F30D99C" w14:textId="77777777" w:rsidR="005700FC" w:rsidRPr="005700FC" w:rsidRDefault="005700FC" w:rsidP="005700FC">
      <w:pPr>
        <w:jc w:val="center"/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Panevėžys</w:t>
      </w:r>
    </w:p>
    <w:p w14:paraId="1019276B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01A99030" w14:textId="5BB72962" w:rsidR="00915CE4" w:rsidRPr="007D0CC3" w:rsidRDefault="005700FC" w:rsidP="00915CE4">
      <w:pPr>
        <w:jc w:val="both"/>
        <w:rPr>
          <w:rFonts w:ascii="Times New Roman" w:hAnsi="Times New Roman"/>
          <w:b/>
          <w:bCs/>
        </w:rPr>
      </w:pPr>
      <w:r w:rsidRPr="005700FC">
        <w:rPr>
          <w:rFonts w:ascii="Times New Roman" w:hAnsi="Times New Roman"/>
          <w:bCs/>
          <w:szCs w:val="24"/>
        </w:rPr>
        <w:tab/>
      </w:r>
      <w:r w:rsidR="00915CE4" w:rsidRPr="00815A17">
        <w:rPr>
          <w:rFonts w:ascii="Times New Roman" w:hAnsi="Times New Roman"/>
          <w:b/>
        </w:rPr>
        <w:t>1.</w:t>
      </w:r>
      <w:r w:rsidR="00915CE4" w:rsidRPr="007D0CC3">
        <w:rPr>
          <w:rFonts w:ascii="Times New Roman" w:hAnsi="Times New Roman"/>
          <w:bCs/>
        </w:rPr>
        <w:t xml:space="preserve"> </w:t>
      </w:r>
      <w:r w:rsidR="00915CE4" w:rsidRPr="007D0CC3">
        <w:rPr>
          <w:rFonts w:ascii="Times New Roman" w:hAnsi="Times New Roman"/>
          <w:b/>
        </w:rPr>
        <w:t xml:space="preserve">Sprendimo </w:t>
      </w:r>
      <w:r w:rsidR="00915CE4" w:rsidRPr="007D0CC3">
        <w:rPr>
          <w:rFonts w:ascii="Times New Roman" w:hAnsi="Times New Roman"/>
          <w:b/>
          <w:bCs/>
        </w:rPr>
        <w:t>projekto tikslai ir uždaviniai</w:t>
      </w:r>
    </w:p>
    <w:p w14:paraId="50F07AFC" w14:textId="6AB5F16F" w:rsidR="00915CE4" w:rsidRDefault="00915CE4" w:rsidP="00B8332E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B8332E">
        <w:rPr>
          <w:rFonts w:ascii="Times New Roman" w:hAnsi="Times New Roman"/>
        </w:rPr>
        <w:t xml:space="preserve">Sprendimo projekto tikslas – </w:t>
      </w:r>
      <w:r w:rsidR="000A1F3A">
        <w:rPr>
          <w:rFonts w:ascii="Times New Roman" w:hAnsi="Times New Roman"/>
        </w:rPr>
        <w:t>patvirtinti</w:t>
      </w:r>
      <w:r w:rsidR="000A1F3A" w:rsidRPr="00AB047C">
        <w:rPr>
          <w:rFonts w:ascii="Times New Roman" w:hAnsi="Times New Roman"/>
          <w:szCs w:val="24"/>
        </w:rPr>
        <w:t xml:space="preserve"> </w:t>
      </w:r>
      <w:r w:rsidR="00B24736">
        <w:rPr>
          <w:rFonts w:ascii="Times New Roman" w:hAnsi="Times New Roman"/>
          <w:szCs w:val="24"/>
        </w:rPr>
        <w:t>asmeninės pagalbos valandinį įkainį</w:t>
      </w:r>
      <w:r w:rsidRPr="007D0CC3">
        <w:rPr>
          <w:rFonts w:ascii="Times New Roman" w:hAnsi="Times New Roman"/>
        </w:rPr>
        <w:t>.</w:t>
      </w:r>
    </w:p>
    <w:p w14:paraId="34AAF53B" w14:textId="1CBB6920" w:rsidR="00915CE4" w:rsidRPr="007D0CC3" w:rsidRDefault="00915CE4" w:rsidP="00915CE4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6426DAB6" w14:textId="5B111DCB" w:rsidR="000A1F3A" w:rsidRDefault="00B24736" w:rsidP="00915CE4">
      <w:pPr>
        <w:ind w:firstLine="720"/>
        <w:jc w:val="both"/>
        <w:rPr>
          <w:rFonts w:ascii="Times New Roman" w:hAnsi="Times New Roman"/>
        </w:rPr>
      </w:pPr>
      <w:r w:rsidRPr="000E435A">
        <w:rPr>
          <w:rFonts w:ascii="Times New Roman" w:hAnsi="Times New Roman"/>
          <w:szCs w:val="24"/>
        </w:rPr>
        <w:t>Lietuvos Respublikos neįgaliųjų socialinės integracijos įstatymo 25¹ straipsnis ir Lietuvos Respublikos socialinės apsaugos ir darbo ministro 2021 m. liepos 1 d. įsakymas Nr. A1-478 „Dėl Lietuvos Respublikos neįgaliųjų socialinės integracijos įstatymo 25¹ straipsnio įgyvendinimo“, kuriais nustatoma, kad nuo 2021 m. liepos 1 d. už asmeninės pagalbos teikimo organizavimą ir jos kokybės užtikrinimą atsako savivaldybių institucijos.</w:t>
      </w:r>
    </w:p>
    <w:p w14:paraId="7A51C17C" w14:textId="7A324A92" w:rsidR="006319B7" w:rsidRDefault="006319B7" w:rsidP="006319B7">
      <w:pPr>
        <w:ind w:firstLine="720"/>
        <w:contextualSpacing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Asmeninės pagalbos paslaugas teiks Panevėžio rajono socialinių paslaugų centras </w:t>
      </w:r>
      <w:r w:rsidR="00F15A41">
        <w:rPr>
          <w:rFonts w:ascii="Times New Roman" w:hAnsi="Times New Roman"/>
          <w:noProof/>
          <w:szCs w:val="24"/>
        </w:rPr>
        <w:t>(</w:t>
      </w:r>
      <w:r>
        <w:rPr>
          <w:rFonts w:ascii="Times New Roman" w:hAnsi="Times New Roman"/>
          <w:noProof/>
          <w:szCs w:val="24"/>
        </w:rPr>
        <w:t>toliau – Centras).</w:t>
      </w:r>
    </w:p>
    <w:p w14:paraId="565A6431" w14:textId="6FE44141" w:rsidR="00C35759" w:rsidRDefault="006319B7" w:rsidP="00C35759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0E435A">
        <w:rPr>
          <w:rFonts w:ascii="Times New Roman" w:hAnsi="Times New Roman"/>
          <w:noProof/>
          <w:szCs w:val="24"/>
        </w:rPr>
        <w:t xml:space="preserve">Šiuo sprendimu </w:t>
      </w:r>
      <w:r w:rsidR="00C35759">
        <w:rPr>
          <w:rFonts w:ascii="Times New Roman" w:hAnsi="Times New Roman"/>
          <w:szCs w:val="24"/>
        </w:rPr>
        <w:t>siūloma nustatyti asmeninės pagalbos valandinį įkainį – 7,87 Eur/val.</w:t>
      </w:r>
    </w:p>
    <w:p w14:paraId="4EA0DB69" w14:textId="74AD54A2" w:rsidR="006319B7" w:rsidRPr="0060444D" w:rsidRDefault="006319B7" w:rsidP="006319B7">
      <w:pPr>
        <w:ind w:firstLine="720"/>
        <w:contextualSpacing/>
        <w:jc w:val="both"/>
        <w:rPr>
          <w:rFonts w:ascii="Times New Roman" w:hAnsi="Times New Roman"/>
          <w:bCs/>
          <w:noProof/>
          <w:szCs w:val="24"/>
        </w:rPr>
      </w:pPr>
      <w:r>
        <w:rPr>
          <w:rFonts w:ascii="Times New Roman" w:hAnsi="Times New Roman"/>
          <w:bCs/>
          <w:noProof/>
          <w:szCs w:val="24"/>
        </w:rPr>
        <w:t>V</w:t>
      </w:r>
      <w:r w:rsidRPr="000E435A">
        <w:rPr>
          <w:rFonts w:ascii="Times New Roman" w:hAnsi="Times New Roman"/>
          <w:bCs/>
          <w:noProof/>
          <w:szCs w:val="24"/>
        </w:rPr>
        <w:t>adovaujantis</w:t>
      </w:r>
      <w:r>
        <w:rPr>
          <w:rFonts w:ascii="Times New Roman" w:hAnsi="Times New Roman"/>
          <w:bCs/>
          <w:noProof/>
          <w:szCs w:val="24"/>
        </w:rPr>
        <w:t xml:space="preserve"> patvirtintu valandiniu įkainiu</w:t>
      </w:r>
      <w:r w:rsidRPr="000E435A">
        <w:rPr>
          <w:rFonts w:ascii="Times New Roman" w:hAnsi="Times New Roman"/>
          <w:bCs/>
          <w:noProof/>
          <w:szCs w:val="24"/>
        </w:rPr>
        <w:t xml:space="preserve"> bus apskaičiuojamas asmens mokėjimo už teikiamą asmeninę pagalbą dydis</w:t>
      </w:r>
      <w:r>
        <w:rPr>
          <w:rFonts w:ascii="Times New Roman" w:hAnsi="Times New Roman"/>
          <w:bCs/>
          <w:noProof/>
          <w:szCs w:val="24"/>
        </w:rPr>
        <w:t>, kuris negalės neviršyti 20 procentų asmeninės pagalbos teikimo išlaidų dydžio ir negalės būti didesnis negu 20 procentų asmens pajamų.</w:t>
      </w:r>
    </w:p>
    <w:p w14:paraId="6A3FDE10" w14:textId="0192DDA7" w:rsidR="00915CE4" w:rsidRPr="007D0CC3" w:rsidRDefault="00915CE4" w:rsidP="00152013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3. Laukiami rezultatai</w:t>
      </w:r>
    </w:p>
    <w:p w14:paraId="0F180E84" w14:textId="0E05746E" w:rsidR="006319B7" w:rsidRPr="000E435A" w:rsidRDefault="006319B7" w:rsidP="006319B7">
      <w:pPr>
        <w:ind w:firstLine="720"/>
        <w:contextualSpacing/>
        <w:jc w:val="both"/>
        <w:rPr>
          <w:rFonts w:ascii="Times New Roman" w:eastAsia="Calibri" w:hAnsi="Times New Roman"/>
          <w:szCs w:val="24"/>
        </w:rPr>
      </w:pPr>
      <w:r w:rsidRPr="000E435A">
        <w:rPr>
          <w:rFonts w:ascii="Times New Roman" w:hAnsi="Times New Roman"/>
          <w:szCs w:val="24"/>
        </w:rPr>
        <w:t xml:space="preserve">Teikiant asmeninę pagalbą planuojama plėsti </w:t>
      </w:r>
      <w:r>
        <w:rPr>
          <w:rFonts w:ascii="Times New Roman" w:hAnsi="Times New Roman"/>
          <w:szCs w:val="24"/>
        </w:rPr>
        <w:t>Centro</w:t>
      </w:r>
      <w:r w:rsidRPr="000E435A">
        <w:rPr>
          <w:rFonts w:ascii="Times New Roman" w:hAnsi="Times New Roman"/>
          <w:szCs w:val="24"/>
        </w:rPr>
        <w:t xml:space="preserve"> teikiamų paslaugų tinklą. Planuojama, kad iki 2021 m. pabaigos, atsižvelgiant į individualius asmens poreikius, asmeninę pagalbą gaus </w:t>
      </w:r>
      <w:r>
        <w:rPr>
          <w:rFonts w:ascii="Times New Roman" w:hAnsi="Times New Roman"/>
          <w:szCs w:val="24"/>
        </w:rPr>
        <w:t>visi norintys</w:t>
      </w:r>
      <w:r w:rsidRPr="000E435A">
        <w:rPr>
          <w:rFonts w:ascii="Times New Roman" w:hAnsi="Times New Roman"/>
          <w:szCs w:val="24"/>
        </w:rPr>
        <w:t xml:space="preserve"> neįgal</w:t>
      </w:r>
      <w:r>
        <w:rPr>
          <w:rFonts w:ascii="Times New Roman" w:hAnsi="Times New Roman"/>
          <w:szCs w:val="24"/>
        </w:rPr>
        <w:t>ūs</w:t>
      </w:r>
      <w:r w:rsidRPr="000E435A">
        <w:rPr>
          <w:rFonts w:ascii="Times New Roman" w:hAnsi="Times New Roman"/>
          <w:szCs w:val="24"/>
        </w:rPr>
        <w:t xml:space="preserve"> asmen</w:t>
      </w:r>
      <w:r>
        <w:rPr>
          <w:rFonts w:ascii="Times New Roman" w:hAnsi="Times New Roman"/>
          <w:szCs w:val="24"/>
        </w:rPr>
        <w:t>ys</w:t>
      </w:r>
      <w:r w:rsidRPr="000E435A">
        <w:rPr>
          <w:rFonts w:ascii="Times New Roman" w:hAnsi="Times New Roman"/>
          <w:szCs w:val="24"/>
        </w:rPr>
        <w:t xml:space="preserve">. </w:t>
      </w:r>
      <w:r w:rsidRPr="000E435A">
        <w:rPr>
          <w:rFonts w:ascii="Times New Roman" w:hAnsi="Times New Roman"/>
          <w:spacing w:val="2"/>
          <w:szCs w:val="24"/>
        </w:rPr>
        <w:t>Asmeninis asistentas galės suteikti pagalbą namuose ar viešojoje erdvėje, galės padėti pasirūpinti asmens higiena, maistu, padėti nuvykti į reikiamą vietą, pagelbėti bendrauti, tvarkyti finansinius išteklius, orientuotis aplinkoje, organizuoti laisvalaikį ir poilsį, palydėti ir padėti nuvykti į darbo pokalbį, surasti tinkamą transporto priemonę, padėti judėti ten, kur nėra pritaikyta aplinka. Svarbiausias asmeninio asistento uždavinys – ne atlikti veiksmus už neįgalųjį, o atlikti kartu su juo.</w:t>
      </w:r>
      <w:r>
        <w:rPr>
          <w:rFonts w:ascii="Times New Roman" w:hAnsi="Times New Roman"/>
          <w:spacing w:val="2"/>
          <w:szCs w:val="24"/>
        </w:rPr>
        <w:t xml:space="preserve"> </w:t>
      </w:r>
    </w:p>
    <w:p w14:paraId="6DF465B3" w14:textId="7A4DF248" w:rsidR="00915CE4" w:rsidRPr="007D0CC3" w:rsidRDefault="00915CE4" w:rsidP="00915CE4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207CD8C5" w14:textId="0EB5771B" w:rsidR="006319B7" w:rsidRDefault="006319B7" w:rsidP="00915CE4">
      <w:pPr>
        <w:ind w:left="30" w:firstLine="69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Panevėžio</w:t>
      </w:r>
      <w:r w:rsidRPr="000E435A">
        <w:rPr>
          <w:rFonts w:ascii="Times New Roman" w:hAnsi="Times New Roman"/>
          <w:bCs/>
          <w:szCs w:val="24"/>
        </w:rPr>
        <w:t xml:space="preserve"> rajono savivaldybės administracija</w:t>
      </w:r>
      <w:r>
        <w:rPr>
          <w:rFonts w:ascii="Times New Roman" w:hAnsi="Times New Roman"/>
          <w:bCs/>
          <w:szCs w:val="24"/>
        </w:rPr>
        <w:t xml:space="preserve"> (toliau – Savivaldybės administracija)</w:t>
      </w:r>
      <w:r w:rsidRPr="000E435A">
        <w:rPr>
          <w:rFonts w:ascii="Times New Roman" w:hAnsi="Times New Roman"/>
          <w:bCs/>
          <w:szCs w:val="24"/>
        </w:rPr>
        <w:t xml:space="preserve"> ir Neįgaliųjų reikalų departamentas prie </w:t>
      </w:r>
      <w:r>
        <w:rPr>
          <w:rFonts w:ascii="Times New Roman" w:hAnsi="Times New Roman"/>
          <w:bCs/>
          <w:szCs w:val="24"/>
        </w:rPr>
        <w:t>S</w:t>
      </w:r>
      <w:r w:rsidRPr="000E435A">
        <w:rPr>
          <w:rFonts w:ascii="Times New Roman" w:hAnsi="Times New Roman"/>
          <w:bCs/>
          <w:szCs w:val="24"/>
        </w:rPr>
        <w:t>ocialinės apsaugos ir darbo ministerijos 2021 m. liepos mėn</w:t>
      </w:r>
      <w:r>
        <w:rPr>
          <w:rFonts w:ascii="Times New Roman" w:hAnsi="Times New Roman"/>
          <w:bCs/>
          <w:szCs w:val="24"/>
        </w:rPr>
        <w:t>esį</w:t>
      </w:r>
      <w:r w:rsidRPr="000E435A">
        <w:rPr>
          <w:rFonts w:ascii="Times New Roman" w:hAnsi="Times New Roman"/>
          <w:bCs/>
          <w:szCs w:val="24"/>
        </w:rPr>
        <w:t xml:space="preserve"> </w:t>
      </w:r>
      <w:r w:rsidRPr="000E435A">
        <w:rPr>
          <w:rFonts w:ascii="Times New Roman" w:hAnsi="Times New Roman"/>
          <w:bCs/>
          <w:szCs w:val="24"/>
          <w:shd w:val="clear" w:color="auto" w:fill="FFFFFF" w:themeFill="background1"/>
        </w:rPr>
        <w:t xml:space="preserve">pasirašė Lietuvos Respublikos valstybės biudžeto lėšų, skirtų asmeninei pagalbai teikti ir administruoti, naudojimo sutartį, kurios pagrindu </w:t>
      </w:r>
      <w:r>
        <w:rPr>
          <w:rFonts w:ascii="Times New Roman" w:hAnsi="Times New Roman"/>
          <w:bCs/>
          <w:szCs w:val="24"/>
          <w:shd w:val="clear" w:color="auto" w:fill="FFFFFF" w:themeFill="background1"/>
        </w:rPr>
        <w:t>S</w:t>
      </w:r>
      <w:r w:rsidRPr="000E435A">
        <w:rPr>
          <w:rFonts w:ascii="Times New Roman" w:hAnsi="Times New Roman"/>
          <w:bCs/>
          <w:szCs w:val="24"/>
          <w:shd w:val="clear" w:color="auto" w:fill="FFFFFF" w:themeFill="background1"/>
        </w:rPr>
        <w:t xml:space="preserve">avivaldybės administracijai 2021 metais asmeninei pagalbai teikti ir administruoti skirta </w:t>
      </w:r>
      <w:r>
        <w:rPr>
          <w:rFonts w:ascii="Times New Roman" w:hAnsi="Times New Roman"/>
          <w:bCs/>
          <w:szCs w:val="24"/>
          <w:shd w:val="clear" w:color="auto" w:fill="FFFFFF" w:themeFill="background1"/>
        </w:rPr>
        <w:t>30 698,00</w:t>
      </w:r>
      <w:r w:rsidRPr="000E435A">
        <w:rPr>
          <w:rFonts w:ascii="Times New Roman" w:hAnsi="Times New Roman"/>
          <w:bCs/>
          <w:szCs w:val="24"/>
          <w:shd w:val="clear" w:color="auto" w:fill="FFFFFF" w:themeFill="background1"/>
        </w:rPr>
        <w:t xml:space="preserve"> Eur </w:t>
      </w:r>
      <w:r w:rsidRPr="000E435A">
        <w:rPr>
          <w:rFonts w:ascii="Times New Roman" w:hAnsi="Times New Roman"/>
          <w:bCs/>
          <w:szCs w:val="24"/>
        </w:rPr>
        <w:t>valstybės biudžeto lėšų. Pagal savo finansines galimybes</w:t>
      </w:r>
      <w:r>
        <w:rPr>
          <w:rFonts w:ascii="Times New Roman" w:hAnsi="Times New Roman"/>
          <w:bCs/>
          <w:szCs w:val="24"/>
        </w:rPr>
        <w:t xml:space="preserve"> už teikiamas asmeninės pagalbos paslaugas</w:t>
      </w:r>
      <w:r w:rsidRPr="000E435A">
        <w:rPr>
          <w:rFonts w:ascii="Times New Roman" w:hAnsi="Times New Roman"/>
          <w:bCs/>
          <w:szCs w:val="24"/>
        </w:rPr>
        <w:t xml:space="preserve"> mokės ir asmeninės pagalbos gavėjai.</w:t>
      </w:r>
    </w:p>
    <w:p w14:paraId="3B1EB138" w14:textId="22A83CEC" w:rsidR="00C35759" w:rsidRDefault="00C35759" w:rsidP="00C35759">
      <w:pPr>
        <w:ind w:firstLine="720"/>
        <w:contextualSpacing/>
        <w:jc w:val="both"/>
        <w:rPr>
          <w:rFonts w:ascii="Times New Roman" w:hAnsi="Times New Roman"/>
          <w:szCs w:val="24"/>
        </w:rPr>
      </w:pPr>
      <w:r w:rsidRPr="000E435A">
        <w:rPr>
          <w:rFonts w:ascii="Times New Roman" w:hAnsi="Times New Roman"/>
          <w:bCs/>
          <w:noProof/>
          <w:szCs w:val="24"/>
        </w:rPr>
        <w:t xml:space="preserve">Valandinis įkainis apskaičiuotas vadovaujantis </w:t>
      </w:r>
      <w:r w:rsidRPr="000E435A">
        <w:rPr>
          <w:rFonts w:ascii="Times New Roman" w:hAnsi="Times New Roman"/>
          <w:szCs w:val="24"/>
        </w:rPr>
        <w:t>Lietuvos Respublikos socialinės apsaugos ir darbo ministro 2021 m. liepos 1 d. įsakym</w:t>
      </w:r>
      <w:r>
        <w:rPr>
          <w:rFonts w:ascii="Times New Roman" w:hAnsi="Times New Roman"/>
          <w:szCs w:val="24"/>
        </w:rPr>
        <w:t>u</w:t>
      </w:r>
      <w:r w:rsidRPr="000E435A">
        <w:rPr>
          <w:rFonts w:ascii="Times New Roman" w:hAnsi="Times New Roman"/>
          <w:szCs w:val="24"/>
        </w:rPr>
        <w:t xml:space="preserve"> Nr. A1-478 „Dėl Lietuvos Respublikos neįgaliųjų socialinės integracijos įstatymo 25¹ straipsnio įgyvendinimo“</w:t>
      </w:r>
      <w:r w:rsidRPr="000E435A">
        <w:rPr>
          <w:rFonts w:ascii="Times New Roman" w:hAnsi="Times New Roman"/>
          <w:bCs/>
          <w:noProof/>
          <w:szCs w:val="24"/>
        </w:rPr>
        <w:t xml:space="preserve">. </w:t>
      </w:r>
      <w:r w:rsidRPr="000E435A">
        <w:rPr>
          <w:rFonts w:ascii="Times New Roman" w:hAnsi="Times New Roman"/>
          <w:szCs w:val="24"/>
        </w:rPr>
        <w:t>Įkain</w:t>
      </w:r>
      <w:r>
        <w:rPr>
          <w:rFonts w:ascii="Times New Roman" w:hAnsi="Times New Roman"/>
          <w:szCs w:val="24"/>
        </w:rPr>
        <w:t>is apskaičiuotas</w:t>
      </w:r>
      <w:r w:rsidRPr="000E435A">
        <w:rPr>
          <w:rFonts w:ascii="Times New Roman" w:hAnsi="Times New Roman"/>
          <w:szCs w:val="24"/>
        </w:rPr>
        <w:t xml:space="preserve"> atsižvelgiant į</w:t>
      </w:r>
      <w:r>
        <w:rPr>
          <w:rFonts w:ascii="Times New Roman" w:hAnsi="Times New Roman"/>
          <w:szCs w:val="24"/>
        </w:rPr>
        <w:t xml:space="preserve"> planuojamas</w:t>
      </w:r>
      <w:r w:rsidRPr="000E435A">
        <w:rPr>
          <w:rFonts w:ascii="Times New Roman" w:hAnsi="Times New Roman"/>
          <w:szCs w:val="24"/>
        </w:rPr>
        <w:t xml:space="preserve"> asmeninės pagalbos teikimo ir organizavimo išlaidas. Įkainį sudaro bendroji asmeninės pagalbos lėšų dalis</w:t>
      </w:r>
      <w:r>
        <w:rPr>
          <w:rFonts w:ascii="Times New Roman" w:hAnsi="Times New Roman"/>
          <w:szCs w:val="24"/>
        </w:rPr>
        <w:t xml:space="preserve"> –</w:t>
      </w:r>
      <w:r w:rsidRPr="000E435A">
        <w:rPr>
          <w:rFonts w:ascii="Times New Roman" w:hAnsi="Times New Roman"/>
          <w:szCs w:val="24"/>
        </w:rPr>
        <w:t xml:space="preserve"> asmeninę pagalbą organizuojančių ir teikiančių darbuotojų kvalifikacijos kėlimo ir komandiruočių išlaid</w:t>
      </w:r>
      <w:r>
        <w:rPr>
          <w:rFonts w:ascii="Times New Roman" w:hAnsi="Times New Roman"/>
          <w:szCs w:val="24"/>
        </w:rPr>
        <w:t>os,</w:t>
      </w:r>
      <w:r w:rsidRPr="000E435A">
        <w:rPr>
          <w:rFonts w:ascii="Times New Roman" w:hAnsi="Times New Roman"/>
          <w:szCs w:val="24"/>
        </w:rPr>
        <w:t xml:space="preserve"> ryšių įrangos ir ryšių paslaugų įsigijimo išlaid</w:t>
      </w:r>
      <w:r>
        <w:rPr>
          <w:rFonts w:ascii="Times New Roman" w:hAnsi="Times New Roman"/>
          <w:szCs w:val="24"/>
        </w:rPr>
        <w:t>os –</w:t>
      </w:r>
      <w:r w:rsidRPr="000E435A">
        <w:rPr>
          <w:rFonts w:ascii="Times New Roman" w:hAnsi="Times New Roman"/>
          <w:szCs w:val="24"/>
        </w:rPr>
        <w:t xml:space="preserve"> ir kintamoji dalis</w:t>
      </w:r>
      <w:r>
        <w:rPr>
          <w:rFonts w:ascii="Times New Roman" w:hAnsi="Times New Roman"/>
          <w:szCs w:val="24"/>
        </w:rPr>
        <w:t xml:space="preserve"> –</w:t>
      </w:r>
      <w:r w:rsidRPr="000E435A">
        <w:rPr>
          <w:rFonts w:ascii="Times New Roman" w:hAnsi="Times New Roman"/>
          <w:szCs w:val="24"/>
        </w:rPr>
        <w:t xml:space="preserve"> asmeninę pagalbą organizuojančių ir teikiančių darbuotojų darbo užmokest</w:t>
      </w:r>
      <w:r>
        <w:rPr>
          <w:rFonts w:ascii="Times New Roman" w:hAnsi="Times New Roman"/>
          <w:szCs w:val="24"/>
        </w:rPr>
        <w:t>is,</w:t>
      </w:r>
      <w:r w:rsidRPr="000E435A">
        <w:rPr>
          <w:rFonts w:ascii="Times New Roman" w:hAnsi="Times New Roman"/>
          <w:szCs w:val="24"/>
        </w:rPr>
        <w:t xml:space="preserve"> valstybinio socialinio draudimo įmok</w:t>
      </w:r>
      <w:r>
        <w:rPr>
          <w:rFonts w:ascii="Times New Roman" w:hAnsi="Times New Roman"/>
          <w:szCs w:val="24"/>
        </w:rPr>
        <w:t>o</w:t>
      </w:r>
      <w:r w:rsidRPr="000E435A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,</w:t>
      </w:r>
      <w:r w:rsidRPr="000E435A">
        <w:rPr>
          <w:rFonts w:ascii="Times New Roman" w:hAnsi="Times New Roman"/>
          <w:szCs w:val="24"/>
        </w:rPr>
        <w:t xml:space="preserve"> darbdavių socialin</w:t>
      </w:r>
      <w:r>
        <w:rPr>
          <w:rFonts w:ascii="Times New Roman" w:hAnsi="Times New Roman"/>
          <w:szCs w:val="24"/>
        </w:rPr>
        <w:t>ė</w:t>
      </w:r>
      <w:r w:rsidRPr="000E435A">
        <w:rPr>
          <w:rFonts w:ascii="Times New Roman" w:hAnsi="Times New Roman"/>
          <w:szCs w:val="24"/>
        </w:rPr>
        <w:t xml:space="preserve"> param</w:t>
      </w:r>
      <w:r>
        <w:rPr>
          <w:rFonts w:ascii="Times New Roman" w:hAnsi="Times New Roman"/>
          <w:szCs w:val="24"/>
        </w:rPr>
        <w:t>a</w:t>
      </w:r>
      <w:r w:rsidRPr="000E435A">
        <w:rPr>
          <w:rFonts w:ascii="Times New Roman" w:hAnsi="Times New Roman"/>
          <w:szCs w:val="24"/>
        </w:rPr>
        <w:t xml:space="preserve"> pinigais</w:t>
      </w:r>
      <w:r>
        <w:rPr>
          <w:rFonts w:ascii="Times New Roman" w:hAnsi="Times New Roman"/>
          <w:szCs w:val="24"/>
        </w:rPr>
        <w:t>,</w:t>
      </w:r>
      <w:r w:rsidRPr="000E435A">
        <w:rPr>
          <w:rFonts w:ascii="Times New Roman" w:hAnsi="Times New Roman"/>
          <w:szCs w:val="24"/>
        </w:rPr>
        <w:t xml:space="preserve"> transporto išlaid</w:t>
      </w:r>
      <w:r>
        <w:rPr>
          <w:rFonts w:ascii="Times New Roman" w:hAnsi="Times New Roman"/>
          <w:szCs w:val="24"/>
        </w:rPr>
        <w:t>os</w:t>
      </w:r>
      <w:r w:rsidRPr="000E435A">
        <w:rPr>
          <w:rFonts w:ascii="Times New Roman" w:hAnsi="Times New Roman"/>
          <w:szCs w:val="24"/>
        </w:rPr>
        <w:t>, susijusi</w:t>
      </w:r>
      <w:r>
        <w:rPr>
          <w:rFonts w:ascii="Times New Roman" w:hAnsi="Times New Roman"/>
          <w:szCs w:val="24"/>
        </w:rPr>
        <w:t>os</w:t>
      </w:r>
      <w:r w:rsidRPr="000E435A">
        <w:rPr>
          <w:rFonts w:ascii="Times New Roman" w:hAnsi="Times New Roman"/>
          <w:szCs w:val="24"/>
        </w:rPr>
        <w:t xml:space="preserve"> su asmeninės pagalbos teikimu</w:t>
      </w:r>
      <w:r>
        <w:rPr>
          <w:rFonts w:ascii="Times New Roman" w:hAnsi="Times New Roman"/>
          <w:szCs w:val="24"/>
        </w:rPr>
        <w:t>,</w:t>
      </w:r>
      <w:r w:rsidRPr="000E435A">
        <w:rPr>
          <w:rFonts w:ascii="Times New Roman" w:hAnsi="Times New Roman"/>
          <w:szCs w:val="24"/>
        </w:rPr>
        <w:t xml:space="preserve"> išlaid</w:t>
      </w:r>
      <w:r>
        <w:rPr>
          <w:rFonts w:ascii="Times New Roman" w:hAnsi="Times New Roman"/>
          <w:szCs w:val="24"/>
        </w:rPr>
        <w:t>o</w:t>
      </w:r>
      <w:r w:rsidRPr="000E435A">
        <w:rPr>
          <w:rFonts w:ascii="Times New Roman" w:hAnsi="Times New Roman"/>
          <w:szCs w:val="24"/>
        </w:rPr>
        <w:t>s kitoms prekėms bei paslaugoms, susijusioms su asmeninės pagalbos teikimu, įsigyti.</w:t>
      </w:r>
    </w:p>
    <w:p w14:paraId="62A6FC02" w14:textId="77777777" w:rsidR="00C35759" w:rsidRDefault="00C35759" w:rsidP="00915CE4">
      <w:pPr>
        <w:ind w:left="30" w:firstLine="690"/>
        <w:jc w:val="both"/>
        <w:rPr>
          <w:rFonts w:ascii="Times New Roman" w:hAnsi="Times New Roman"/>
          <w:bCs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7"/>
        <w:gridCol w:w="3311"/>
        <w:gridCol w:w="1417"/>
        <w:gridCol w:w="2410"/>
        <w:gridCol w:w="1563"/>
      </w:tblGrid>
      <w:tr w:rsidR="000B502D" w14:paraId="138D776E" w14:textId="77777777" w:rsidTr="000B502D">
        <w:tc>
          <w:tcPr>
            <w:tcW w:w="937" w:type="dxa"/>
          </w:tcPr>
          <w:p w14:paraId="67D44768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Eil.</w:t>
            </w:r>
          </w:p>
          <w:p w14:paraId="55C45871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Nr.</w:t>
            </w:r>
          </w:p>
          <w:p w14:paraId="36804968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1" w:type="dxa"/>
          </w:tcPr>
          <w:p w14:paraId="728CF85D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Išlaidos</w:t>
            </w:r>
          </w:p>
        </w:tc>
        <w:tc>
          <w:tcPr>
            <w:tcW w:w="1417" w:type="dxa"/>
          </w:tcPr>
          <w:p w14:paraId="252102F8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Bendroji lėšų dalis</w:t>
            </w:r>
          </w:p>
        </w:tc>
        <w:tc>
          <w:tcPr>
            <w:tcW w:w="2410" w:type="dxa"/>
          </w:tcPr>
          <w:p w14:paraId="69FEE4D7" w14:textId="0C3308D1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Kintamoji lėšų dalis</w:t>
            </w:r>
          </w:p>
          <w:p w14:paraId="729E0E1A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(Socialinio darbuotojo padėjėjo DU)</w:t>
            </w:r>
          </w:p>
        </w:tc>
        <w:tc>
          <w:tcPr>
            <w:tcW w:w="1563" w:type="dxa"/>
          </w:tcPr>
          <w:p w14:paraId="34900145" w14:textId="77777777" w:rsidR="00C35759" w:rsidRDefault="00C35759" w:rsidP="0070440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Iš viso:</w:t>
            </w:r>
          </w:p>
        </w:tc>
      </w:tr>
      <w:tr w:rsidR="000B502D" w14:paraId="75293590" w14:textId="77777777" w:rsidTr="000B502D">
        <w:tc>
          <w:tcPr>
            <w:tcW w:w="937" w:type="dxa"/>
          </w:tcPr>
          <w:p w14:paraId="352B75C0" w14:textId="77777777" w:rsidR="00C35759" w:rsidRPr="005521FD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3311" w:type="dxa"/>
          </w:tcPr>
          <w:p w14:paraId="5F5128D4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Pastovioji darbo užmokesčio dalis</w:t>
            </w:r>
          </w:p>
        </w:tc>
        <w:tc>
          <w:tcPr>
            <w:tcW w:w="1417" w:type="dxa"/>
          </w:tcPr>
          <w:p w14:paraId="4798444D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811E68" w14:textId="2E40DE19" w:rsidR="00C35759" w:rsidRPr="008E17BE" w:rsidRDefault="00C35759" w:rsidP="00C35759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5,59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x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177 = 989,43</w:t>
            </w:r>
          </w:p>
        </w:tc>
        <w:tc>
          <w:tcPr>
            <w:tcW w:w="1563" w:type="dxa"/>
            <w:vAlign w:val="center"/>
          </w:tcPr>
          <w:p w14:paraId="6F784CDA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989,43</w:t>
            </w:r>
          </w:p>
        </w:tc>
      </w:tr>
      <w:tr w:rsidR="000B502D" w14:paraId="689856B8" w14:textId="77777777" w:rsidTr="000B502D">
        <w:tc>
          <w:tcPr>
            <w:tcW w:w="937" w:type="dxa"/>
          </w:tcPr>
          <w:p w14:paraId="48F8C495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1.2.</w:t>
            </w:r>
          </w:p>
        </w:tc>
        <w:tc>
          <w:tcPr>
            <w:tcW w:w="3311" w:type="dxa"/>
          </w:tcPr>
          <w:p w14:paraId="0A9A57EE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Kintamoji darbo užmokesčio dalis</w:t>
            </w:r>
          </w:p>
        </w:tc>
        <w:tc>
          <w:tcPr>
            <w:tcW w:w="1417" w:type="dxa"/>
          </w:tcPr>
          <w:p w14:paraId="5E2C0A18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A8C233E" w14:textId="09953CD4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% = 49,47</w:t>
            </w:r>
          </w:p>
        </w:tc>
        <w:tc>
          <w:tcPr>
            <w:tcW w:w="1563" w:type="dxa"/>
            <w:vAlign w:val="center"/>
          </w:tcPr>
          <w:p w14:paraId="4D30EA46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49,47</w:t>
            </w:r>
          </w:p>
        </w:tc>
      </w:tr>
      <w:tr w:rsidR="000B502D" w14:paraId="2F534ABC" w14:textId="77777777" w:rsidTr="000B502D">
        <w:tc>
          <w:tcPr>
            <w:tcW w:w="937" w:type="dxa"/>
          </w:tcPr>
          <w:p w14:paraId="3743C223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</w:t>
            </w:r>
          </w:p>
        </w:tc>
        <w:tc>
          <w:tcPr>
            <w:tcW w:w="3311" w:type="dxa"/>
          </w:tcPr>
          <w:p w14:paraId="3D7B84C4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Sodra</w:t>
            </w:r>
          </w:p>
        </w:tc>
        <w:tc>
          <w:tcPr>
            <w:tcW w:w="1417" w:type="dxa"/>
          </w:tcPr>
          <w:p w14:paraId="46A13B0E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14:paraId="3263587C" w14:textId="3D4B390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1,14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% = 15,06</w:t>
            </w:r>
          </w:p>
        </w:tc>
        <w:tc>
          <w:tcPr>
            <w:tcW w:w="1563" w:type="dxa"/>
          </w:tcPr>
          <w:p w14:paraId="28466311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15,06</w:t>
            </w:r>
          </w:p>
        </w:tc>
      </w:tr>
      <w:tr w:rsidR="00C35759" w14:paraId="39D73819" w14:textId="77777777" w:rsidTr="000B502D">
        <w:tc>
          <w:tcPr>
            <w:tcW w:w="937" w:type="dxa"/>
            <w:shd w:val="clear" w:color="auto" w:fill="BFBFBF" w:themeFill="background1" w:themeFillShade="BF"/>
          </w:tcPr>
          <w:p w14:paraId="2966D3AF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311" w:type="dxa"/>
            <w:shd w:val="clear" w:color="auto" w:fill="BFBFBF" w:themeFill="background1" w:themeFillShade="BF"/>
          </w:tcPr>
          <w:p w14:paraId="68D39BB1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Bendra suma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908BB35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F0294ED" w14:textId="2F6B1089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053,96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21183C8A" w14:textId="09D79B3C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053,96</w:t>
            </w:r>
          </w:p>
        </w:tc>
      </w:tr>
      <w:tr w:rsidR="000B502D" w14:paraId="784A521A" w14:textId="77777777" w:rsidTr="000B502D">
        <w:tc>
          <w:tcPr>
            <w:tcW w:w="937" w:type="dxa"/>
          </w:tcPr>
          <w:p w14:paraId="108FF93E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3311" w:type="dxa"/>
          </w:tcPr>
          <w:p w14:paraId="7E59710C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Kvalifikacijos kėlimas, komandiruotės</w:t>
            </w:r>
          </w:p>
        </w:tc>
        <w:tc>
          <w:tcPr>
            <w:tcW w:w="1417" w:type="dxa"/>
            <w:vAlign w:val="center"/>
          </w:tcPr>
          <w:p w14:paraId="4852DC09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10,00</w:t>
            </w:r>
          </w:p>
        </w:tc>
        <w:tc>
          <w:tcPr>
            <w:tcW w:w="2410" w:type="dxa"/>
            <w:vAlign w:val="center"/>
          </w:tcPr>
          <w:p w14:paraId="2DD016B8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23045555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10,00</w:t>
            </w:r>
          </w:p>
        </w:tc>
      </w:tr>
      <w:tr w:rsidR="000B502D" w14:paraId="40D23F75" w14:textId="77777777" w:rsidTr="000B502D">
        <w:tc>
          <w:tcPr>
            <w:tcW w:w="937" w:type="dxa"/>
          </w:tcPr>
          <w:p w14:paraId="563CA070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2.2.</w:t>
            </w:r>
          </w:p>
        </w:tc>
        <w:tc>
          <w:tcPr>
            <w:tcW w:w="3311" w:type="dxa"/>
          </w:tcPr>
          <w:p w14:paraId="6EE3BF3A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Transporto išlaidos</w:t>
            </w:r>
          </w:p>
        </w:tc>
        <w:tc>
          <w:tcPr>
            <w:tcW w:w="1417" w:type="dxa"/>
          </w:tcPr>
          <w:p w14:paraId="322C0C68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14:paraId="5EE4C0D4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120,00</w:t>
            </w:r>
          </w:p>
        </w:tc>
        <w:tc>
          <w:tcPr>
            <w:tcW w:w="1563" w:type="dxa"/>
          </w:tcPr>
          <w:p w14:paraId="08C6770F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120,00</w:t>
            </w:r>
          </w:p>
        </w:tc>
      </w:tr>
      <w:tr w:rsidR="000B502D" w14:paraId="7EC2B888" w14:textId="77777777" w:rsidTr="000B502D">
        <w:tc>
          <w:tcPr>
            <w:tcW w:w="937" w:type="dxa"/>
          </w:tcPr>
          <w:p w14:paraId="5CD95081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2.3.</w:t>
            </w:r>
          </w:p>
        </w:tc>
        <w:tc>
          <w:tcPr>
            <w:tcW w:w="3311" w:type="dxa"/>
          </w:tcPr>
          <w:p w14:paraId="17F25F60" w14:textId="6B47CC32" w:rsidR="000B502D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Išlaidos kitoms prekėms ir paslaugoms</w:t>
            </w:r>
            <w:r w:rsidR="000B502D">
              <w:rPr>
                <w:rFonts w:ascii="Times New Roman" w:hAnsi="Times New Roman"/>
                <w:szCs w:val="24"/>
              </w:rPr>
              <w:t xml:space="preserve"> (pirštinės, kaukės, dezinfek</w:t>
            </w:r>
            <w:r w:rsidR="00EF02CA">
              <w:rPr>
                <w:rFonts w:ascii="Times New Roman" w:hAnsi="Times New Roman"/>
                <w:szCs w:val="24"/>
              </w:rPr>
              <w:t>avimo priemonės</w:t>
            </w:r>
            <w:r w:rsidR="000B502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417" w:type="dxa"/>
          </w:tcPr>
          <w:p w14:paraId="484198AD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8B0489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30,00</w:t>
            </w:r>
          </w:p>
        </w:tc>
        <w:tc>
          <w:tcPr>
            <w:tcW w:w="1563" w:type="dxa"/>
            <w:vAlign w:val="center"/>
          </w:tcPr>
          <w:p w14:paraId="4B39AD86" w14:textId="0F4D32A0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30,00</w:t>
            </w:r>
          </w:p>
        </w:tc>
      </w:tr>
      <w:tr w:rsidR="000B502D" w14:paraId="34A5F7DD" w14:textId="77777777" w:rsidTr="000B502D">
        <w:tc>
          <w:tcPr>
            <w:tcW w:w="937" w:type="dxa"/>
          </w:tcPr>
          <w:p w14:paraId="0F2E24DB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2.4.</w:t>
            </w:r>
          </w:p>
        </w:tc>
        <w:tc>
          <w:tcPr>
            <w:tcW w:w="3311" w:type="dxa"/>
          </w:tcPr>
          <w:p w14:paraId="7848AB50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Ryšių įranga ir ryšių paslaugos</w:t>
            </w:r>
          </w:p>
        </w:tc>
        <w:tc>
          <w:tcPr>
            <w:tcW w:w="1417" w:type="dxa"/>
            <w:vAlign w:val="center"/>
          </w:tcPr>
          <w:p w14:paraId="16E12064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15,00</w:t>
            </w:r>
          </w:p>
        </w:tc>
        <w:tc>
          <w:tcPr>
            <w:tcW w:w="2410" w:type="dxa"/>
            <w:vAlign w:val="center"/>
          </w:tcPr>
          <w:p w14:paraId="55A44769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1A5471FF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15,00</w:t>
            </w:r>
          </w:p>
        </w:tc>
      </w:tr>
      <w:tr w:rsidR="000B502D" w14:paraId="523D0F67" w14:textId="77777777" w:rsidTr="000B502D">
        <w:tc>
          <w:tcPr>
            <w:tcW w:w="937" w:type="dxa"/>
          </w:tcPr>
          <w:p w14:paraId="5E22A3EA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</w:t>
            </w:r>
          </w:p>
        </w:tc>
        <w:tc>
          <w:tcPr>
            <w:tcW w:w="3311" w:type="dxa"/>
          </w:tcPr>
          <w:p w14:paraId="71F71E8C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Pavadavimas</w:t>
            </w:r>
          </w:p>
        </w:tc>
        <w:tc>
          <w:tcPr>
            <w:tcW w:w="1417" w:type="dxa"/>
          </w:tcPr>
          <w:p w14:paraId="305BD932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</w:tcPr>
          <w:p w14:paraId="4EA82236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87,83</w:t>
            </w:r>
          </w:p>
        </w:tc>
        <w:tc>
          <w:tcPr>
            <w:tcW w:w="1563" w:type="dxa"/>
          </w:tcPr>
          <w:p w14:paraId="233563A9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87,83</w:t>
            </w:r>
          </w:p>
        </w:tc>
      </w:tr>
      <w:tr w:rsidR="00C35759" w14:paraId="386C7B19" w14:textId="77777777" w:rsidTr="000B502D">
        <w:tc>
          <w:tcPr>
            <w:tcW w:w="937" w:type="dxa"/>
            <w:shd w:val="clear" w:color="auto" w:fill="BFBFBF" w:themeFill="background1" w:themeFillShade="BF"/>
          </w:tcPr>
          <w:p w14:paraId="0B84C76D" w14:textId="77777777" w:rsidR="00C35759" w:rsidRDefault="00C35759" w:rsidP="000B50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3311" w:type="dxa"/>
            <w:shd w:val="clear" w:color="auto" w:fill="BFBFBF" w:themeFill="background1" w:themeFillShade="BF"/>
          </w:tcPr>
          <w:p w14:paraId="7FE34E60" w14:textId="77777777" w:rsidR="00C35759" w:rsidRDefault="00C35759" w:rsidP="0070440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Bendra suma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E42B867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25,00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0A92740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237,83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2453A84E" w14:textId="77777777" w:rsidR="00C35759" w:rsidRDefault="00C35759" w:rsidP="00C357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262,83</w:t>
            </w:r>
          </w:p>
        </w:tc>
      </w:tr>
      <w:tr w:rsidR="00C35759" w14:paraId="1D9BAF38" w14:textId="77777777" w:rsidTr="000B502D">
        <w:tc>
          <w:tcPr>
            <w:tcW w:w="937" w:type="dxa"/>
            <w:shd w:val="clear" w:color="auto" w:fill="BFBFBF" w:themeFill="background1" w:themeFillShade="BF"/>
          </w:tcPr>
          <w:p w14:paraId="34BB41DA" w14:textId="77777777" w:rsidR="00C35759" w:rsidRDefault="00C35759" w:rsidP="0070440D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11" w:type="dxa"/>
            <w:shd w:val="clear" w:color="auto" w:fill="BFBFBF" w:themeFill="background1" w:themeFillShade="BF"/>
          </w:tcPr>
          <w:p w14:paraId="0EDA24E3" w14:textId="77777777" w:rsidR="00C35759" w:rsidRPr="00AF1D06" w:rsidRDefault="00C35759" w:rsidP="0070440D">
            <w:pPr>
              <w:rPr>
                <w:rFonts w:ascii="Times New Roman" w:hAnsi="Times New Roman"/>
                <w:b/>
                <w:szCs w:val="24"/>
              </w:rPr>
            </w:pPr>
            <w:r w:rsidRPr="00AF1D06">
              <w:rPr>
                <w:rFonts w:ascii="Times New Roman" w:hAnsi="Times New Roman"/>
                <w:b/>
                <w:szCs w:val="24"/>
              </w:rPr>
              <w:t>Iš viso: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1C5C006" w14:textId="77777777" w:rsidR="00C35759" w:rsidRPr="00AF1D06" w:rsidRDefault="00C35759" w:rsidP="00C357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F1D06">
              <w:rPr>
                <w:rFonts w:ascii="Times New Roman" w:hAnsi="Times New Roman"/>
                <w:b/>
                <w:szCs w:val="24"/>
              </w:rPr>
              <w:t>25,00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A64A2C8" w14:textId="1BF5341C" w:rsidR="00C35759" w:rsidRPr="00AF1D06" w:rsidRDefault="00C35759" w:rsidP="00C357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F1D06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F1D06">
              <w:rPr>
                <w:rFonts w:ascii="Times New Roman" w:hAnsi="Times New Roman"/>
                <w:b/>
                <w:szCs w:val="24"/>
              </w:rPr>
              <w:t>291,79</w:t>
            </w:r>
          </w:p>
        </w:tc>
        <w:tc>
          <w:tcPr>
            <w:tcW w:w="1563" w:type="dxa"/>
            <w:shd w:val="clear" w:color="auto" w:fill="BFBFBF" w:themeFill="background1" w:themeFillShade="BF"/>
          </w:tcPr>
          <w:p w14:paraId="01C5D57C" w14:textId="3966130A" w:rsidR="00C35759" w:rsidRPr="00AF1D06" w:rsidRDefault="00C35759" w:rsidP="00C3575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F1D06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F1D06">
              <w:rPr>
                <w:rFonts w:ascii="Times New Roman" w:hAnsi="Times New Roman"/>
                <w:b/>
                <w:szCs w:val="24"/>
              </w:rPr>
              <w:t>316,79</w:t>
            </w:r>
          </w:p>
        </w:tc>
      </w:tr>
    </w:tbl>
    <w:p w14:paraId="57161BC7" w14:textId="77777777" w:rsidR="00C35759" w:rsidRDefault="00C35759" w:rsidP="00C35759">
      <w:pPr>
        <w:rPr>
          <w:rFonts w:ascii="Times New Roman" w:hAnsi="Times New Roman"/>
          <w:szCs w:val="24"/>
        </w:rPr>
      </w:pPr>
    </w:p>
    <w:p w14:paraId="063482EE" w14:textId="28DCE8F8" w:rsidR="00C35759" w:rsidRPr="00AF1D06" w:rsidRDefault="00C35759" w:rsidP="00C35759">
      <w:pPr>
        <w:jc w:val="both"/>
        <w:rPr>
          <w:rFonts w:ascii="Times New Roman" w:hAnsi="Times New Roman"/>
          <w:szCs w:val="24"/>
          <w:lang w:val="en-US"/>
        </w:rPr>
      </w:pPr>
      <w:r w:rsidRPr="00AF1D06">
        <w:rPr>
          <w:rFonts w:ascii="Times New Roman" w:hAnsi="Times New Roman"/>
          <w:b/>
          <w:szCs w:val="24"/>
        </w:rPr>
        <w:t>1 val. paslaugos kaina - 7,87 Eur.</w:t>
      </w:r>
      <w:r>
        <w:rPr>
          <w:rFonts w:ascii="Times New Roman" w:hAnsi="Times New Roman"/>
          <w:szCs w:val="24"/>
        </w:rPr>
        <w:t xml:space="preserve"> (1316,79 : 167,4 metinis vidutinis mėnesio valandų skaičius </w:t>
      </w:r>
      <w:r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2021 m).</w:t>
      </w:r>
    </w:p>
    <w:p w14:paraId="7F3709E8" w14:textId="1A0081B6" w:rsidR="00915CE4" w:rsidRDefault="00915CE4" w:rsidP="00915CE4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7FD4CE3B" w14:textId="228CFFC1" w:rsidR="006319B7" w:rsidRPr="001652EA" w:rsidRDefault="006319B7" w:rsidP="006319B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3"/>
          <w:szCs w:val="23"/>
        </w:rPr>
        <w:t>S</w:t>
      </w:r>
      <w:r w:rsidRPr="001652EA">
        <w:rPr>
          <w:rFonts w:ascii="Times New Roman" w:hAnsi="Times New Roman"/>
          <w:sz w:val="23"/>
          <w:szCs w:val="23"/>
        </w:rPr>
        <w:t>avivaldybės administracijos direktoriaus įsakym</w:t>
      </w:r>
      <w:r w:rsidR="00EB4779">
        <w:rPr>
          <w:rFonts w:ascii="Times New Roman" w:hAnsi="Times New Roman"/>
          <w:sz w:val="23"/>
          <w:szCs w:val="23"/>
        </w:rPr>
        <w:t>u</w:t>
      </w:r>
      <w:r w:rsidRPr="001652EA">
        <w:rPr>
          <w:rFonts w:ascii="Times New Roman" w:hAnsi="Times New Roman"/>
          <w:sz w:val="23"/>
          <w:szCs w:val="23"/>
        </w:rPr>
        <w:t xml:space="preserve"> bus patvirtint</w:t>
      </w:r>
      <w:r w:rsidR="00EB4779">
        <w:rPr>
          <w:rFonts w:ascii="Times New Roman" w:hAnsi="Times New Roman"/>
          <w:sz w:val="23"/>
          <w:szCs w:val="23"/>
        </w:rPr>
        <w:t>as</w:t>
      </w:r>
      <w:r w:rsidRPr="001652EA">
        <w:rPr>
          <w:rFonts w:ascii="Times New Roman" w:hAnsi="Times New Roman"/>
          <w:sz w:val="23"/>
          <w:szCs w:val="23"/>
        </w:rPr>
        <w:t xml:space="preserve"> </w:t>
      </w:r>
      <w:r w:rsidR="00EB4779">
        <w:rPr>
          <w:rFonts w:ascii="Times New Roman" w:hAnsi="Times New Roman"/>
          <w:szCs w:val="24"/>
        </w:rPr>
        <w:t>Asmeninės pagalbos paslaugos organizavimo ir asmens mokėjimo dydžio už asmeninės pagalbos paslaugas nustatymo tvarkos aprašas</w:t>
      </w:r>
      <w:r w:rsidRPr="001652EA">
        <w:rPr>
          <w:rFonts w:ascii="Times New Roman" w:hAnsi="Times New Roman"/>
          <w:szCs w:val="24"/>
        </w:rPr>
        <w:t>.</w:t>
      </w:r>
    </w:p>
    <w:p w14:paraId="7D83FB05" w14:textId="1BE555F8" w:rsidR="00915CE4" w:rsidRPr="007D0CC3" w:rsidRDefault="00714FE4" w:rsidP="00915CE4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Ner</w:t>
      </w:r>
      <w:r w:rsidR="00EB4779" w:rsidRPr="007664E5">
        <w:rPr>
          <w:rFonts w:ascii="Times New Roman" w:hAnsi="Times New Roman"/>
          <w:szCs w:val="24"/>
        </w:rPr>
        <w:t xml:space="preserve">eikalingas </w:t>
      </w:r>
      <w:r w:rsidR="00EB4779">
        <w:rPr>
          <w:rFonts w:ascii="Times New Roman" w:hAnsi="Times New Roman"/>
          <w:szCs w:val="24"/>
        </w:rPr>
        <w:t xml:space="preserve">sprendimo projekto </w:t>
      </w:r>
      <w:r w:rsidR="00EB4779" w:rsidRPr="007664E5">
        <w:rPr>
          <w:rFonts w:ascii="Times New Roman" w:hAnsi="Times New Roman"/>
          <w:szCs w:val="24"/>
        </w:rPr>
        <w:t>antikorupcinis vertinimas.</w:t>
      </w:r>
    </w:p>
    <w:p w14:paraId="7265878A" w14:textId="1B1F5024" w:rsidR="00915CE4" w:rsidRDefault="00915CE4" w:rsidP="00915CE4">
      <w:pPr>
        <w:jc w:val="both"/>
        <w:rPr>
          <w:rFonts w:ascii="Times New Roman" w:hAnsi="Times New Roman"/>
        </w:rPr>
      </w:pPr>
    </w:p>
    <w:p w14:paraId="1B5241A8" w14:textId="77777777" w:rsidR="00B8332E" w:rsidRPr="007D0CC3" w:rsidRDefault="00B8332E" w:rsidP="00915CE4">
      <w:pPr>
        <w:jc w:val="both"/>
        <w:rPr>
          <w:rFonts w:ascii="Times New Roman" w:hAnsi="Times New Roman"/>
        </w:rPr>
      </w:pPr>
    </w:p>
    <w:p w14:paraId="714D5ADF" w14:textId="77777777" w:rsidR="00915CE4" w:rsidRPr="007D0CC3" w:rsidRDefault="00915CE4" w:rsidP="00915CE4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sectPr w:rsidR="00915CE4" w:rsidRPr="007D0CC3" w:rsidSect="00837914">
      <w:pgSz w:w="12240" w:h="15840"/>
      <w:pgMar w:top="576" w:right="720" w:bottom="864" w:left="187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775D" w14:textId="77777777" w:rsidR="00735EC0" w:rsidRDefault="00735EC0">
      <w:r>
        <w:separator/>
      </w:r>
    </w:p>
  </w:endnote>
  <w:endnote w:type="continuationSeparator" w:id="0">
    <w:p w14:paraId="42C0C292" w14:textId="77777777" w:rsidR="00735EC0" w:rsidRDefault="0073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D5E2" w14:textId="77777777" w:rsidR="00735EC0" w:rsidRDefault="00735EC0">
      <w:r>
        <w:separator/>
      </w:r>
    </w:p>
  </w:footnote>
  <w:footnote w:type="continuationSeparator" w:id="0">
    <w:p w14:paraId="21561722" w14:textId="77777777" w:rsidR="00735EC0" w:rsidRDefault="00735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8160120" w14:textId="77777777" w:rsidR="003B0ED7" w:rsidRDefault="00B66D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3A45"/>
    <w:rsid w:val="00024E05"/>
    <w:rsid w:val="00027FE1"/>
    <w:rsid w:val="00067E5A"/>
    <w:rsid w:val="0007794C"/>
    <w:rsid w:val="000A1F3A"/>
    <w:rsid w:val="000B502D"/>
    <w:rsid w:val="000C21EC"/>
    <w:rsid w:val="000D69BE"/>
    <w:rsid w:val="000E0215"/>
    <w:rsid w:val="000E371A"/>
    <w:rsid w:val="000F2EBC"/>
    <w:rsid w:val="001077C5"/>
    <w:rsid w:val="00116C28"/>
    <w:rsid w:val="0013032A"/>
    <w:rsid w:val="00152013"/>
    <w:rsid w:val="00156B47"/>
    <w:rsid w:val="00163973"/>
    <w:rsid w:val="001644F0"/>
    <w:rsid w:val="00173CAD"/>
    <w:rsid w:val="001B070A"/>
    <w:rsid w:val="001B688F"/>
    <w:rsid w:val="001C2A64"/>
    <w:rsid w:val="001D08FD"/>
    <w:rsid w:val="001E612B"/>
    <w:rsid w:val="001F1347"/>
    <w:rsid w:val="001F776B"/>
    <w:rsid w:val="00203CD2"/>
    <w:rsid w:val="00247B22"/>
    <w:rsid w:val="0027364A"/>
    <w:rsid w:val="002914B5"/>
    <w:rsid w:val="002A3449"/>
    <w:rsid w:val="002B5407"/>
    <w:rsid w:val="002C3734"/>
    <w:rsid w:val="002D43D5"/>
    <w:rsid w:val="002D4815"/>
    <w:rsid w:val="002D4D1A"/>
    <w:rsid w:val="002E61A4"/>
    <w:rsid w:val="00304C78"/>
    <w:rsid w:val="00315BD5"/>
    <w:rsid w:val="00342C58"/>
    <w:rsid w:val="00354BEA"/>
    <w:rsid w:val="00354EBB"/>
    <w:rsid w:val="00367903"/>
    <w:rsid w:val="00393734"/>
    <w:rsid w:val="003A54FE"/>
    <w:rsid w:val="003B24DD"/>
    <w:rsid w:val="003C141A"/>
    <w:rsid w:val="003C3427"/>
    <w:rsid w:val="003E306D"/>
    <w:rsid w:val="0040158C"/>
    <w:rsid w:val="00405760"/>
    <w:rsid w:val="00420F0B"/>
    <w:rsid w:val="00446D96"/>
    <w:rsid w:val="004542CD"/>
    <w:rsid w:val="004A282D"/>
    <w:rsid w:val="004B6F4D"/>
    <w:rsid w:val="004C2180"/>
    <w:rsid w:val="004C2BCC"/>
    <w:rsid w:val="004D02B8"/>
    <w:rsid w:val="004F4A6D"/>
    <w:rsid w:val="00506E58"/>
    <w:rsid w:val="00522F95"/>
    <w:rsid w:val="00525C33"/>
    <w:rsid w:val="0052771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23B9F"/>
    <w:rsid w:val="006301D4"/>
    <w:rsid w:val="006319B7"/>
    <w:rsid w:val="00636109"/>
    <w:rsid w:val="00645986"/>
    <w:rsid w:val="0065060D"/>
    <w:rsid w:val="00651320"/>
    <w:rsid w:val="00665919"/>
    <w:rsid w:val="00665D2B"/>
    <w:rsid w:val="00672629"/>
    <w:rsid w:val="00680FA0"/>
    <w:rsid w:val="00683913"/>
    <w:rsid w:val="006A6495"/>
    <w:rsid w:val="006C6F74"/>
    <w:rsid w:val="006D1A30"/>
    <w:rsid w:val="006D4B54"/>
    <w:rsid w:val="006E4A00"/>
    <w:rsid w:val="00700B56"/>
    <w:rsid w:val="00710DED"/>
    <w:rsid w:val="0071170E"/>
    <w:rsid w:val="00714FE4"/>
    <w:rsid w:val="0072433D"/>
    <w:rsid w:val="00726BD5"/>
    <w:rsid w:val="00726ED8"/>
    <w:rsid w:val="00727D92"/>
    <w:rsid w:val="007307A2"/>
    <w:rsid w:val="0073467F"/>
    <w:rsid w:val="00735EC0"/>
    <w:rsid w:val="00741E0C"/>
    <w:rsid w:val="00746DDC"/>
    <w:rsid w:val="0076629E"/>
    <w:rsid w:val="00772B73"/>
    <w:rsid w:val="007B0356"/>
    <w:rsid w:val="007B7BEA"/>
    <w:rsid w:val="007B7E11"/>
    <w:rsid w:val="007C1076"/>
    <w:rsid w:val="007D682B"/>
    <w:rsid w:val="007E2F77"/>
    <w:rsid w:val="007F3E2F"/>
    <w:rsid w:val="007F4D07"/>
    <w:rsid w:val="007F63E3"/>
    <w:rsid w:val="00812224"/>
    <w:rsid w:val="00815A17"/>
    <w:rsid w:val="00816A40"/>
    <w:rsid w:val="008245F4"/>
    <w:rsid w:val="0082749C"/>
    <w:rsid w:val="00837914"/>
    <w:rsid w:val="008421BA"/>
    <w:rsid w:val="0088061B"/>
    <w:rsid w:val="00887493"/>
    <w:rsid w:val="008925F2"/>
    <w:rsid w:val="008B614F"/>
    <w:rsid w:val="008E1813"/>
    <w:rsid w:val="008F1277"/>
    <w:rsid w:val="009139E9"/>
    <w:rsid w:val="00915CE4"/>
    <w:rsid w:val="00931FBA"/>
    <w:rsid w:val="00937735"/>
    <w:rsid w:val="00962E76"/>
    <w:rsid w:val="00966AEF"/>
    <w:rsid w:val="009A4913"/>
    <w:rsid w:val="009A7E79"/>
    <w:rsid w:val="009B0CE4"/>
    <w:rsid w:val="009C1156"/>
    <w:rsid w:val="009C1AD6"/>
    <w:rsid w:val="009D7B41"/>
    <w:rsid w:val="00A23D83"/>
    <w:rsid w:val="00A77F3F"/>
    <w:rsid w:val="00AA1ED2"/>
    <w:rsid w:val="00AC7C19"/>
    <w:rsid w:val="00AD2519"/>
    <w:rsid w:val="00AD43AB"/>
    <w:rsid w:val="00AE2979"/>
    <w:rsid w:val="00AF4389"/>
    <w:rsid w:val="00AF58F6"/>
    <w:rsid w:val="00B031E3"/>
    <w:rsid w:val="00B24736"/>
    <w:rsid w:val="00B25C8D"/>
    <w:rsid w:val="00B60B73"/>
    <w:rsid w:val="00B61DE0"/>
    <w:rsid w:val="00B63F24"/>
    <w:rsid w:val="00B66D00"/>
    <w:rsid w:val="00B77CA6"/>
    <w:rsid w:val="00B81A0D"/>
    <w:rsid w:val="00B8332E"/>
    <w:rsid w:val="00B95E20"/>
    <w:rsid w:val="00BA116F"/>
    <w:rsid w:val="00BA5BCD"/>
    <w:rsid w:val="00BD12B4"/>
    <w:rsid w:val="00BF2B6E"/>
    <w:rsid w:val="00C01A7E"/>
    <w:rsid w:val="00C1382B"/>
    <w:rsid w:val="00C34DC7"/>
    <w:rsid w:val="00C35759"/>
    <w:rsid w:val="00C55886"/>
    <w:rsid w:val="00C82D8A"/>
    <w:rsid w:val="00C94E09"/>
    <w:rsid w:val="00CA2B78"/>
    <w:rsid w:val="00CB3CF0"/>
    <w:rsid w:val="00CB43AA"/>
    <w:rsid w:val="00CB5C0C"/>
    <w:rsid w:val="00CF2AE7"/>
    <w:rsid w:val="00CF2FE4"/>
    <w:rsid w:val="00D01836"/>
    <w:rsid w:val="00D05149"/>
    <w:rsid w:val="00D57063"/>
    <w:rsid w:val="00D612C9"/>
    <w:rsid w:val="00D71774"/>
    <w:rsid w:val="00D750C4"/>
    <w:rsid w:val="00D80469"/>
    <w:rsid w:val="00D83922"/>
    <w:rsid w:val="00D94487"/>
    <w:rsid w:val="00DB3D01"/>
    <w:rsid w:val="00DB581C"/>
    <w:rsid w:val="00DF4145"/>
    <w:rsid w:val="00DF50AC"/>
    <w:rsid w:val="00E0024B"/>
    <w:rsid w:val="00E317D6"/>
    <w:rsid w:val="00E40A1C"/>
    <w:rsid w:val="00E4354F"/>
    <w:rsid w:val="00E53D06"/>
    <w:rsid w:val="00E86190"/>
    <w:rsid w:val="00E97F76"/>
    <w:rsid w:val="00EA5FEB"/>
    <w:rsid w:val="00EA7F30"/>
    <w:rsid w:val="00EB4779"/>
    <w:rsid w:val="00EC6D76"/>
    <w:rsid w:val="00ED4CD2"/>
    <w:rsid w:val="00EF02CA"/>
    <w:rsid w:val="00EF1F85"/>
    <w:rsid w:val="00F15A41"/>
    <w:rsid w:val="00F64484"/>
    <w:rsid w:val="00F97474"/>
    <w:rsid w:val="00FA1708"/>
    <w:rsid w:val="00FA644E"/>
    <w:rsid w:val="00FB6D2C"/>
    <w:rsid w:val="00FC2718"/>
    <w:rsid w:val="00FC7042"/>
    <w:rsid w:val="00FC7924"/>
    <w:rsid w:val="00FD43CB"/>
    <w:rsid w:val="00FE421F"/>
    <w:rsid w:val="00FF12E4"/>
    <w:rsid w:val="00FF1474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9</cp:revision>
  <cp:lastPrinted>2021-09-09T09:49:00Z</cp:lastPrinted>
  <dcterms:created xsi:type="dcterms:W3CDTF">2021-09-06T12:20:00Z</dcterms:created>
  <dcterms:modified xsi:type="dcterms:W3CDTF">2021-09-09T11:18:00Z</dcterms:modified>
</cp:coreProperties>
</file>