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2619" w:rsidRDefault="00A95582">
      <w:pPr>
        <w:pStyle w:val="BodyTextIndent"/>
        <w:tabs>
          <w:tab w:val="left" w:pos="6480"/>
          <w:tab w:val="left" w:pos="7035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D2619" w:rsidRPr="00CC34F4" w:rsidRDefault="008A2DC6" w:rsidP="00CC34F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D2619">
        <w:rPr>
          <w:b/>
          <w:bCs/>
          <w:sz w:val="24"/>
          <w:szCs w:val="24"/>
        </w:rPr>
        <w:t xml:space="preserve">                                               Projektas</w:t>
      </w:r>
    </w:p>
    <w:p w:rsidR="001D2619" w:rsidRDefault="001D2619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D2619" w:rsidRPr="00110D26" w:rsidRDefault="001D2619">
      <w:pPr>
        <w:pStyle w:val="Header"/>
        <w:rPr>
          <w:caps/>
          <w:sz w:val="24"/>
        </w:rPr>
      </w:pPr>
    </w:p>
    <w:p w:rsidR="001D2619" w:rsidRPr="00FE39AB" w:rsidRDefault="001D2619">
      <w:pPr>
        <w:pStyle w:val="NoSpacing"/>
        <w:jc w:val="center"/>
        <w:rPr>
          <w:b/>
          <w:sz w:val="28"/>
          <w:szCs w:val="28"/>
        </w:rPr>
      </w:pPr>
      <w:r w:rsidRPr="00FE39AB">
        <w:rPr>
          <w:b/>
          <w:sz w:val="28"/>
          <w:szCs w:val="28"/>
        </w:rPr>
        <w:t>SPRENDIMAS</w:t>
      </w:r>
    </w:p>
    <w:p w:rsidR="001D2619" w:rsidRDefault="001D2619">
      <w:pPr>
        <w:pStyle w:val="NoSpacing"/>
        <w:jc w:val="center"/>
        <w:rPr>
          <w:b/>
          <w:bCs/>
          <w:sz w:val="24"/>
          <w:szCs w:val="24"/>
          <w:lang w:val="en-US"/>
        </w:rPr>
      </w:pPr>
      <w:bookmarkStart w:id="0" w:name="Pavadinimas"/>
      <w:r>
        <w:rPr>
          <w:b/>
          <w:bCs/>
          <w:sz w:val="24"/>
          <w:szCs w:val="24"/>
          <w:lang w:val="en-US"/>
        </w:rPr>
        <w:t xml:space="preserve">DĖL </w:t>
      </w:r>
      <w:bookmarkEnd w:id="0"/>
      <w:r w:rsidR="00044683">
        <w:rPr>
          <w:b/>
          <w:bCs/>
          <w:sz w:val="24"/>
          <w:szCs w:val="24"/>
          <w:lang w:val="en-US"/>
        </w:rPr>
        <w:t>UŽDAROSIOS AKCINĖS BENDROVĖS</w:t>
      </w:r>
      <w:r w:rsidR="000A496B">
        <w:rPr>
          <w:b/>
          <w:bCs/>
          <w:sz w:val="24"/>
          <w:szCs w:val="24"/>
          <w:lang w:val="en-US"/>
        </w:rPr>
        <w:t xml:space="preserve"> </w:t>
      </w:r>
      <w:r w:rsidR="000A496B" w:rsidRPr="000A496B">
        <w:rPr>
          <w:b/>
          <w:bCs/>
          <w:sz w:val="24"/>
          <w:szCs w:val="24"/>
          <w:lang w:val="en-US"/>
        </w:rPr>
        <w:t>„A</w:t>
      </w:r>
      <w:r w:rsidR="00044683">
        <w:rPr>
          <w:b/>
          <w:bCs/>
          <w:sz w:val="24"/>
          <w:szCs w:val="24"/>
          <w:lang w:val="en-US"/>
        </w:rPr>
        <w:t>UKŠTAITIJOS VANDENYS“</w:t>
      </w:r>
      <w:r w:rsidR="003A6791">
        <w:rPr>
          <w:b/>
          <w:bCs/>
          <w:sz w:val="24"/>
          <w:szCs w:val="24"/>
          <w:lang w:val="en-US"/>
        </w:rPr>
        <w:t xml:space="preserve"> </w:t>
      </w:r>
      <w:r w:rsidR="00634609">
        <w:rPr>
          <w:b/>
          <w:bCs/>
          <w:sz w:val="24"/>
          <w:szCs w:val="24"/>
          <w:lang w:val="en-US"/>
        </w:rPr>
        <w:t xml:space="preserve">PERSKAIČIUOTŲ </w:t>
      </w:r>
      <w:r w:rsidR="003A6791">
        <w:rPr>
          <w:b/>
          <w:bCs/>
          <w:sz w:val="24"/>
          <w:szCs w:val="24"/>
          <w:lang w:val="en-US"/>
        </w:rPr>
        <w:t>GERIAMOJO VANDENS TIEKIMO IR NUOTEKŲ TVARKYMO P</w:t>
      </w:r>
      <w:r w:rsidR="003A6791" w:rsidRPr="0075485E">
        <w:rPr>
          <w:b/>
          <w:bCs/>
          <w:sz w:val="24"/>
          <w:szCs w:val="24"/>
          <w:lang w:val="en-US"/>
        </w:rPr>
        <w:t>ASLAUGŲ</w:t>
      </w:r>
      <w:r w:rsidR="003A6791">
        <w:rPr>
          <w:b/>
          <w:bCs/>
          <w:sz w:val="24"/>
          <w:szCs w:val="24"/>
          <w:lang w:val="en-US"/>
        </w:rPr>
        <w:t xml:space="preserve"> BAZINIŲ KAINŲ NUSTATYMO</w:t>
      </w:r>
    </w:p>
    <w:p w:rsidR="00A7577B" w:rsidRDefault="00A7577B" w:rsidP="00FC155D">
      <w:pPr>
        <w:pStyle w:val="NoSpacing"/>
        <w:rPr>
          <w:sz w:val="24"/>
          <w:szCs w:val="24"/>
          <w:lang w:val="en-US"/>
        </w:rPr>
      </w:pPr>
    </w:p>
    <w:p w:rsidR="001D2619" w:rsidRPr="00D10B6E" w:rsidRDefault="007660D8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815CC">
        <w:rPr>
          <w:sz w:val="24"/>
          <w:szCs w:val="24"/>
        </w:rPr>
        <w:t>1</w:t>
      </w:r>
      <w:r w:rsidR="001D2619" w:rsidRPr="00D10B6E">
        <w:rPr>
          <w:sz w:val="24"/>
          <w:szCs w:val="24"/>
        </w:rPr>
        <w:t xml:space="preserve"> m. </w:t>
      </w:r>
      <w:r w:rsidR="00C815CC">
        <w:rPr>
          <w:sz w:val="24"/>
          <w:szCs w:val="24"/>
        </w:rPr>
        <w:t>gruodžio</w:t>
      </w:r>
      <w:r w:rsidR="00DD454E">
        <w:rPr>
          <w:sz w:val="24"/>
          <w:szCs w:val="24"/>
        </w:rPr>
        <w:t xml:space="preserve"> </w:t>
      </w:r>
      <w:r w:rsidR="00C815CC">
        <w:rPr>
          <w:sz w:val="24"/>
          <w:szCs w:val="24"/>
        </w:rPr>
        <w:t>27</w:t>
      </w:r>
      <w:r w:rsidR="00BB7EC4">
        <w:rPr>
          <w:sz w:val="24"/>
          <w:szCs w:val="24"/>
        </w:rPr>
        <w:t xml:space="preserve"> </w:t>
      </w:r>
      <w:r w:rsidR="001D2619" w:rsidRPr="00D10B6E">
        <w:rPr>
          <w:sz w:val="24"/>
          <w:szCs w:val="24"/>
        </w:rPr>
        <w:t>d. Nr. T-</w:t>
      </w:r>
    </w:p>
    <w:p w:rsidR="001D2619" w:rsidRPr="00D10B6E" w:rsidRDefault="001D2619" w:rsidP="00044683">
      <w:pPr>
        <w:pStyle w:val="Heading1"/>
        <w:numPr>
          <w:ilvl w:val="0"/>
          <w:numId w:val="0"/>
        </w:numPr>
        <w:ind w:left="432"/>
        <w:rPr>
          <w:szCs w:val="24"/>
        </w:rPr>
      </w:pPr>
      <w:r w:rsidRPr="00D10B6E">
        <w:rPr>
          <w:szCs w:val="24"/>
        </w:rPr>
        <w:t>Panevėžys</w:t>
      </w:r>
    </w:p>
    <w:p w:rsidR="003C6EC4" w:rsidRDefault="003C6EC4" w:rsidP="00110D26">
      <w:pPr>
        <w:ind w:firstLine="432"/>
        <w:jc w:val="both"/>
        <w:rPr>
          <w:sz w:val="24"/>
          <w:szCs w:val="24"/>
        </w:rPr>
      </w:pPr>
    </w:p>
    <w:p w:rsidR="00A9028F" w:rsidRDefault="00A9028F" w:rsidP="001F6B51">
      <w:pPr>
        <w:ind w:firstLine="432"/>
        <w:jc w:val="both"/>
        <w:rPr>
          <w:sz w:val="24"/>
          <w:szCs w:val="24"/>
        </w:rPr>
      </w:pPr>
      <w:r w:rsidRPr="003C6EC4">
        <w:rPr>
          <w:sz w:val="24"/>
          <w:szCs w:val="24"/>
        </w:rPr>
        <w:t xml:space="preserve">Vadovaudamasi Lietuvos Respublikos vietos savivaldos įstatymo 16 straipsnio 2 dalies </w:t>
      </w:r>
      <w:r w:rsidR="00044683">
        <w:rPr>
          <w:sz w:val="24"/>
          <w:szCs w:val="24"/>
        </w:rPr>
        <w:br/>
      </w:r>
      <w:r w:rsidRPr="003C6EC4">
        <w:rPr>
          <w:sz w:val="24"/>
          <w:szCs w:val="24"/>
        </w:rPr>
        <w:t>37 punktu, Lietuvos Respublikos geriamojo vandens tiekimo ir nuotekų tvarkymo įstatymo</w:t>
      </w:r>
      <w:r w:rsidR="00677B2D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br/>
      </w:r>
      <w:r w:rsidR="00BD0F09">
        <w:rPr>
          <w:sz w:val="24"/>
          <w:szCs w:val="24"/>
        </w:rPr>
        <w:t>10 straipsnio 7</w:t>
      </w:r>
      <w:r w:rsidRPr="003C6EC4">
        <w:rPr>
          <w:sz w:val="24"/>
          <w:szCs w:val="24"/>
        </w:rPr>
        <w:t xml:space="preserve"> punktu, 3</w:t>
      </w:r>
      <w:r w:rsidR="00CC34F4" w:rsidRPr="003C6EC4">
        <w:rPr>
          <w:sz w:val="24"/>
          <w:szCs w:val="24"/>
        </w:rPr>
        <w:t xml:space="preserve">4 straipsnio 2 ir 12 </w:t>
      </w:r>
      <w:r w:rsidR="00BD0F09">
        <w:rPr>
          <w:sz w:val="24"/>
          <w:szCs w:val="24"/>
        </w:rPr>
        <w:t>dalimis</w:t>
      </w:r>
      <w:r w:rsidR="00CC34F4" w:rsidRPr="003C6EC4">
        <w:rPr>
          <w:sz w:val="24"/>
          <w:szCs w:val="24"/>
        </w:rPr>
        <w:t>,</w:t>
      </w:r>
      <w:r w:rsidRPr="003C6EC4">
        <w:rPr>
          <w:sz w:val="24"/>
          <w:szCs w:val="24"/>
        </w:rPr>
        <w:t xml:space="preserve"> Valstybinės energetikos</w:t>
      </w:r>
      <w:r w:rsidR="007660D8">
        <w:rPr>
          <w:sz w:val="24"/>
          <w:szCs w:val="24"/>
        </w:rPr>
        <w:t xml:space="preserve"> reguliavimo tarybos 202</w:t>
      </w:r>
      <w:r w:rsidR="00176963">
        <w:rPr>
          <w:sz w:val="24"/>
          <w:szCs w:val="24"/>
        </w:rPr>
        <w:t>1</w:t>
      </w:r>
      <w:r w:rsidRPr="003C6EC4">
        <w:rPr>
          <w:sz w:val="24"/>
          <w:szCs w:val="24"/>
        </w:rPr>
        <w:t xml:space="preserve"> m. </w:t>
      </w:r>
      <w:r w:rsidR="00176963">
        <w:rPr>
          <w:sz w:val="24"/>
          <w:szCs w:val="24"/>
        </w:rPr>
        <w:t>lapkričio</w:t>
      </w:r>
      <w:r w:rsidR="001F6B51">
        <w:rPr>
          <w:sz w:val="24"/>
          <w:szCs w:val="24"/>
        </w:rPr>
        <w:t xml:space="preserve"> </w:t>
      </w:r>
      <w:r w:rsidR="00176963">
        <w:rPr>
          <w:sz w:val="24"/>
          <w:szCs w:val="24"/>
        </w:rPr>
        <w:t>29</w:t>
      </w:r>
      <w:r w:rsidRPr="003C6EC4">
        <w:rPr>
          <w:sz w:val="24"/>
          <w:szCs w:val="24"/>
        </w:rPr>
        <w:t xml:space="preserve"> d. nutarimu Nr. O</w:t>
      </w:r>
      <w:r w:rsidR="00DD454E" w:rsidRPr="003C6EC4">
        <w:rPr>
          <w:sz w:val="24"/>
          <w:szCs w:val="24"/>
        </w:rPr>
        <w:t>3</w:t>
      </w:r>
      <w:r w:rsidR="003A6791" w:rsidRPr="003C6EC4">
        <w:rPr>
          <w:sz w:val="24"/>
          <w:szCs w:val="24"/>
        </w:rPr>
        <w:t>E</w:t>
      </w:r>
      <w:r w:rsidR="00DD454E" w:rsidRPr="003C6EC4">
        <w:rPr>
          <w:sz w:val="24"/>
          <w:szCs w:val="24"/>
        </w:rPr>
        <w:t>-</w:t>
      </w:r>
      <w:r w:rsidR="00176963">
        <w:rPr>
          <w:sz w:val="24"/>
          <w:szCs w:val="24"/>
        </w:rPr>
        <w:t>1599</w:t>
      </w:r>
      <w:r w:rsidR="00DD454E" w:rsidRPr="003C6EC4">
        <w:rPr>
          <w:sz w:val="24"/>
          <w:szCs w:val="24"/>
        </w:rPr>
        <w:t xml:space="preserve"> </w:t>
      </w:r>
      <w:r w:rsidR="00110D26" w:rsidRPr="003C6EC4">
        <w:rPr>
          <w:sz w:val="24"/>
          <w:szCs w:val="24"/>
        </w:rPr>
        <w:t xml:space="preserve">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</w:t>
      </w:r>
      <w:r w:rsidR="003A6791" w:rsidRPr="003C6EC4">
        <w:rPr>
          <w:sz w:val="24"/>
          <w:szCs w:val="24"/>
        </w:rPr>
        <w:t xml:space="preserve"> </w:t>
      </w:r>
      <w:r w:rsidR="007660D8">
        <w:rPr>
          <w:sz w:val="24"/>
          <w:szCs w:val="24"/>
        </w:rPr>
        <w:t xml:space="preserve">perskaičiuotų </w:t>
      </w:r>
      <w:r w:rsidRPr="003C6EC4">
        <w:rPr>
          <w:sz w:val="24"/>
          <w:szCs w:val="24"/>
        </w:rPr>
        <w:t>geriamojo vandens tiekimo ir nuotekų tvarkymo paslaugų bazinių kainų derinimo“</w:t>
      </w:r>
      <w:r w:rsidR="00176963">
        <w:rPr>
          <w:sz w:val="24"/>
          <w:szCs w:val="24"/>
        </w:rPr>
        <w:t xml:space="preserve">, </w:t>
      </w:r>
      <w:r w:rsidR="00672946" w:rsidRPr="003C6EC4">
        <w:rPr>
          <w:sz w:val="24"/>
          <w:szCs w:val="24"/>
        </w:rPr>
        <w:t xml:space="preserve"> </w:t>
      </w:r>
      <w:r w:rsidR="00176963" w:rsidRPr="003C6EC4">
        <w:rPr>
          <w:sz w:val="24"/>
          <w:szCs w:val="24"/>
        </w:rPr>
        <w:t>Valstybinės energetikos</w:t>
      </w:r>
      <w:r w:rsidR="00176963">
        <w:rPr>
          <w:sz w:val="24"/>
          <w:szCs w:val="24"/>
        </w:rPr>
        <w:t xml:space="preserve"> reguliavimo tarybos 2021</w:t>
      </w:r>
      <w:r w:rsidR="00176963" w:rsidRPr="003C6EC4">
        <w:rPr>
          <w:sz w:val="24"/>
          <w:szCs w:val="24"/>
        </w:rPr>
        <w:t xml:space="preserve"> m. </w:t>
      </w:r>
      <w:r w:rsidR="00176963">
        <w:rPr>
          <w:sz w:val="24"/>
          <w:szCs w:val="24"/>
        </w:rPr>
        <w:t>gruodžio 3</w:t>
      </w:r>
      <w:r w:rsidR="00176963" w:rsidRPr="003C6EC4">
        <w:rPr>
          <w:sz w:val="24"/>
          <w:szCs w:val="24"/>
        </w:rPr>
        <w:t xml:space="preserve"> d. nutarimu Nr. O3E-</w:t>
      </w:r>
      <w:r w:rsidR="00176963">
        <w:rPr>
          <w:sz w:val="24"/>
          <w:szCs w:val="24"/>
        </w:rPr>
        <w:t>1641</w:t>
      </w:r>
      <w:r w:rsidR="00176963" w:rsidRPr="003C6EC4">
        <w:rPr>
          <w:sz w:val="24"/>
          <w:szCs w:val="24"/>
        </w:rPr>
        <w:t xml:space="preserve"> „</w:t>
      </w:r>
      <w:r w:rsidR="00176963">
        <w:rPr>
          <w:sz w:val="24"/>
          <w:szCs w:val="24"/>
        </w:rPr>
        <w:t>Dėl Valstybinės energetikos reguliavimo tarybos 2021 m. lapkričio 29 d. nutarimo Nr. O3E-1599 „</w:t>
      </w:r>
      <w:r w:rsidR="00176963" w:rsidRPr="003C6EC4">
        <w:rPr>
          <w:sz w:val="24"/>
          <w:szCs w:val="24"/>
        </w:rPr>
        <w:t xml:space="preserve">Dėl </w:t>
      </w:r>
      <w:r w:rsidR="00176963">
        <w:rPr>
          <w:sz w:val="24"/>
          <w:szCs w:val="24"/>
        </w:rPr>
        <w:t>UAB „Aukštaitijos vandenys“</w:t>
      </w:r>
      <w:r w:rsidR="00176963" w:rsidRPr="003C6EC4">
        <w:rPr>
          <w:sz w:val="24"/>
          <w:szCs w:val="24"/>
        </w:rPr>
        <w:t xml:space="preserve"> </w:t>
      </w:r>
      <w:r w:rsidR="00176963">
        <w:rPr>
          <w:sz w:val="24"/>
          <w:szCs w:val="24"/>
        </w:rPr>
        <w:t xml:space="preserve">perskaičiuotų </w:t>
      </w:r>
      <w:r w:rsidR="00176963" w:rsidRPr="003C6EC4">
        <w:rPr>
          <w:sz w:val="24"/>
          <w:szCs w:val="24"/>
        </w:rPr>
        <w:t>geriamojo vandens tiekimo ir nuotekų tvarkymo paslaugų bazinių kainų derinimo“</w:t>
      </w:r>
      <w:r w:rsidR="00176963">
        <w:rPr>
          <w:sz w:val="24"/>
          <w:szCs w:val="24"/>
        </w:rPr>
        <w:t xml:space="preserve"> pakeitimo “ </w:t>
      </w:r>
      <w:r w:rsidR="00672946" w:rsidRPr="003C6EC4">
        <w:rPr>
          <w:sz w:val="24"/>
          <w:szCs w:val="24"/>
        </w:rPr>
        <w:t xml:space="preserve">ir atsižvelgdama į </w:t>
      </w:r>
      <w:r w:rsidR="001F6B51">
        <w:rPr>
          <w:sz w:val="24"/>
          <w:szCs w:val="24"/>
        </w:rPr>
        <w:t>uždarosios akcinės bendrovės „Aukštaitijos vandenys“</w:t>
      </w:r>
      <w:r w:rsidR="007660D8">
        <w:rPr>
          <w:sz w:val="24"/>
          <w:szCs w:val="24"/>
        </w:rPr>
        <w:t xml:space="preserve"> 202</w:t>
      </w:r>
      <w:r w:rsidR="00176963">
        <w:rPr>
          <w:sz w:val="24"/>
          <w:szCs w:val="24"/>
        </w:rPr>
        <w:t>1-11</w:t>
      </w:r>
      <w:r w:rsidR="003A6791" w:rsidRPr="003C6EC4">
        <w:rPr>
          <w:sz w:val="24"/>
          <w:szCs w:val="24"/>
        </w:rPr>
        <w:t>-</w:t>
      </w:r>
      <w:r w:rsidR="00176963">
        <w:rPr>
          <w:sz w:val="24"/>
          <w:szCs w:val="24"/>
        </w:rPr>
        <w:t>30</w:t>
      </w:r>
      <w:r w:rsidR="00672946" w:rsidRPr="003C6EC4">
        <w:rPr>
          <w:sz w:val="24"/>
          <w:szCs w:val="24"/>
        </w:rPr>
        <w:t xml:space="preserve"> raštą Nr. </w:t>
      </w:r>
      <w:r w:rsidR="00176963">
        <w:rPr>
          <w:sz w:val="24"/>
          <w:szCs w:val="24"/>
        </w:rPr>
        <w:t>S</w:t>
      </w:r>
      <w:r w:rsidR="001F6B51">
        <w:rPr>
          <w:sz w:val="24"/>
          <w:szCs w:val="24"/>
        </w:rPr>
        <w:t>2.</w:t>
      </w:r>
      <w:r w:rsidR="00176963">
        <w:rPr>
          <w:sz w:val="24"/>
          <w:szCs w:val="24"/>
        </w:rPr>
        <w:t>2</w:t>
      </w:r>
      <w:r w:rsidR="001F6B51">
        <w:rPr>
          <w:sz w:val="24"/>
          <w:szCs w:val="24"/>
        </w:rPr>
        <w:t>-</w:t>
      </w:r>
      <w:r w:rsidR="00176963">
        <w:rPr>
          <w:sz w:val="24"/>
          <w:szCs w:val="24"/>
        </w:rPr>
        <w:t>919</w:t>
      </w:r>
      <w:r w:rsidR="00672946" w:rsidRPr="003C6EC4">
        <w:rPr>
          <w:sz w:val="24"/>
          <w:szCs w:val="24"/>
        </w:rPr>
        <w:t xml:space="preserve"> „Dėl </w:t>
      </w:r>
      <w:r w:rsidR="007660D8">
        <w:rPr>
          <w:sz w:val="24"/>
          <w:szCs w:val="24"/>
        </w:rPr>
        <w:t>UAB</w:t>
      </w:r>
      <w:r w:rsidR="001F6B51">
        <w:rPr>
          <w:sz w:val="24"/>
          <w:szCs w:val="24"/>
        </w:rPr>
        <w:t xml:space="preserve"> „Aukštaitijos vandenys“ </w:t>
      </w:r>
      <w:r w:rsidR="007660D8">
        <w:rPr>
          <w:sz w:val="24"/>
          <w:szCs w:val="24"/>
        </w:rPr>
        <w:t xml:space="preserve">perskaičiuotų </w:t>
      </w:r>
      <w:r w:rsidR="00672946" w:rsidRPr="003C6EC4">
        <w:rPr>
          <w:sz w:val="24"/>
          <w:szCs w:val="24"/>
        </w:rPr>
        <w:t>geriamojo vandens tiekimo</w:t>
      </w:r>
      <w:r w:rsidR="00DD454E" w:rsidRPr="003C6EC4">
        <w:rPr>
          <w:sz w:val="24"/>
          <w:szCs w:val="24"/>
        </w:rPr>
        <w:t xml:space="preserve"> </w:t>
      </w:r>
      <w:r w:rsidR="00672946" w:rsidRPr="003C6EC4">
        <w:rPr>
          <w:sz w:val="24"/>
          <w:szCs w:val="24"/>
        </w:rPr>
        <w:t>ir nuotekų tvarkymo</w:t>
      </w:r>
      <w:r w:rsidR="001F6B51">
        <w:rPr>
          <w:sz w:val="24"/>
          <w:szCs w:val="24"/>
        </w:rPr>
        <w:t xml:space="preserve"> paslaugų bazinių kainų </w:t>
      </w:r>
      <w:r w:rsidR="00672946" w:rsidRPr="003C6EC4">
        <w:rPr>
          <w:sz w:val="24"/>
          <w:szCs w:val="24"/>
        </w:rPr>
        <w:t>nustatymo“</w:t>
      </w:r>
      <w:r w:rsidRPr="003C6EC4">
        <w:rPr>
          <w:sz w:val="24"/>
          <w:szCs w:val="24"/>
        </w:rPr>
        <w:t>,</w:t>
      </w:r>
      <w:r w:rsidR="00DD454E" w:rsidRPr="003C6EC4">
        <w:rPr>
          <w:sz w:val="24"/>
          <w:szCs w:val="24"/>
        </w:rPr>
        <w:t xml:space="preserve"> </w:t>
      </w:r>
      <w:r w:rsidR="00677B2D" w:rsidRPr="003C6EC4">
        <w:rPr>
          <w:sz w:val="24"/>
          <w:szCs w:val="24"/>
        </w:rPr>
        <w:t>S</w:t>
      </w:r>
      <w:r w:rsidRPr="003C6EC4">
        <w:rPr>
          <w:sz w:val="24"/>
          <w:szCs w:val="24"/>
        </w:rPr>
        <w:t>avivaldybės taryba n u s p r e n d ž i a:</w:t>
      </w:r>
    </w:p>
    <w:p w:rsidR="00AB10B4" w:rsidRPr="003C6EC4" w:rsidRDefault="00AB10B4" w:rsidP="00044683">
      <w:pPr>
        <w:pStyle w:val="Default"/>
        <w:ind w:firstLine="432"/>
        <w:jc w:val="both"/>
        <w:rPr>
          <w:lang w:eastAsia="lt-LT"/>
        </w:rPr>
      </w:pPr>
      <w:r w:rsidRPr="003C6EC4">
        <w:rPr>
          <w:lang w:eastAsia="lt-LT"/>
        </w:rPr>
        <w:t xml:space="preserve">1. </w:t>
      </w:r>
      <w:r w:rsidR="00DD454E" w:rsidRPr="003C6EC4">
        <w:rPr>
          <w:lang w:eastAsia="lt-LT"/>
        </w:rPr>
        <w:t>Nustatyti</w:t>
      </w:r>
      <w:r w:rsidRPr="003C6EC4">
        <w:rPr>
          <w:lang w:eastAsia="lt-LT"/>
        </w:rPr>
        <w:t xml:space="preserve"> </w:t>
      </w:r>
      <w:r w:rsidR="00E32159">
        <w:rPr>
          <w:lang w:eastAsia="lt-LT"/>
        </w:rPr>
        <w:t>uždarosios akcinės bendrovės „Aukštaitijos vandenys“</w:t>
      </w:r>
      <w:r w:rsidRPr="003C6EC4">
        <w:rPr>
          <w:lang w:eastAsia="lt-LT"/>
        </w:rPr>
        <w:t xml:space="preserve"> </w:t>
      </w:r>
      <w:r w:rsidR="00F26AFF">
        <w:rPr>
          <w:lang w:eastAsia="lt-LT"/>
        </w:rPr>
        <w:t xml:space="preserve">perskaičiuotas </w:t>
      </w:r>
      <w:r w:rsidRPr="003C6EC4">
        <w:rPr>
          <w:lang w:eastAsia="lt-LT"/>
        </w:rPr>
        <w:t>geriamojo vandens tiekimo ir nuotekų tvarkymo paslaugų bazines kainas (be pridėtinės vertės mokesčio)</w:t>
      </w:r>
      <w:r w:rsidR="003A6791" w:rsidRPr="003C6EC4">
        <w:rPr>
          <w:lang w:eastAsia="lt-LT"/>
        </w:rPr>
        <w:t>:</w:t>
      </w:r>
      <w:r w:rsidRPr="003C6EC4">
        <w:rPr>
          <w:lang w:eastAsia="lt-LT"/>
        </w:rPr>
        <w:t xml:space="preserve"> </w:t>
      </w:r>
    </w:p>
    <w:p w:rsidR="001F6B51" w:rsidRPr="001F6B51" w:rsidRDefault="00E32159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1.1.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044683">
        <w:rPr>
          <w:sz w:val="24"/>
          <w:szCs w:val="24"/>
        </w:rPr>
        <w:t xml:space="preserve"> tiekimo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nuotekų tvarkymo </w:t>
      </w:r>
      <w:r w:rsidR="00044683">
        <w:rPr>
          <w:sz w:val="24"/>
          <w:szCs w:val="24"/>
        </w:rPr>
        <w:t>paslaugų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>
        <w:rPr>
          <w:sz w:val="24"/>
          <w:szCs w:val="24"/>
        </w:rPr>
        <w:t xml:space="preserve"> </w:t>
      </w:r>
      <w:r w:rsidR="00044683">
        <w:rPr>
          <w:sz w:val="24"/>
          <w:szCs w:val="24"/>
        </w:rPr>
        <w:t>kainą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 w:rsidR="00044683">
        <w:rPr>
          <w:sz w:val="24"/>
          <w:szCs w:val="24"/>
        </w:rPr>
        <w:t xml:space="preserve"> p</w:t>
      </w:r>
      <w:r w:rsidR="001F6B51" w:rsidRPr="001F6B51">
        <w:rPr>
          <w:sz w:val="24"/>
          <w:szCs w:val="24"/>
        </w:rPr>
        <w:t>erkantiems geriamojo vandens tiekimo ir nuotekų</w:t>
      </w:r>
      <w:r w:rsidR="00A120D1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tvarkymo paslaugas bute</w:t>
      </w:r>
      <w:r w:rsidR="00044683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B6373">
        <w:rPr>
          <w:sz w:val="24"/>
          <w:szCs w:val="24"/>
        </w:rPr>
        <w:br/>
      </w:r>
      <w:r w:rsidR="001F6B51" w:rsidRPr="001F6B51">
        <w:rPr>
          <w:sz w:val="24"/>
          <w:szCs w:val="24"/>
        </w:rPr>
        <w:t>1,</w:t>
      </w:r>
      <w:r w:rsidR="00176963">
        <w:rPr>
          <w:sz w:val="24"/>
          <w:szCs w:val="24"/>
        </w:rPr>
        <w:t>54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 w:rsidR="00044683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A120D1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1.1.1.</w:t>
      </w:r>
      <w:r w:rsidR="00176963">
        <w:rPr>
          <w:sz w:val="24"/>
          <w:szCs w:val="24"/>
        </w:rPr>
        <w:t xml:space="preserve"> geriamojo vandens tiekimo – 0,</w:t>
      </w:r>
      <w:r w:rsidR="00F26AFF">
        <w:rPr>
          <w:sz w:val="24"/>
          <w:szCs w:val="24"/>
        </w:rPr>
        <w:t>6</w:t>
      </w:r>
      <w:r w:rsidR="00176963">
        <w:rPr>
          <w:sz w:val="24"/>
          <w:szCs w:val="24"/>
        </w:rPr>
        <w:t>2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 nuotekų tvarkymo – 0,</w:t>
      </w:r>
      <w:r w:rsidR="00176963">
        <w:rPr>
          <w:sz w:val="24"/>
          <w:szCs w:val="24"/>
        </w:rPr>
        <w:t>92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8B5ABE"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1.1.2.1. nuotekų surinkimo – 0,3</w:t>
      </w:r>
      <w:r w:rsidR="00176963">
        <w:rPr>
          <w:sz w:val="24"/>
          <w:szCs w:val="24"/>
        </w:rPr>
        <w:t>7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 w:rsidR="001F6B51" w:rsidRPr="001F6B51">
        <w:rPr>
          <w:sz w:val="24"/>
          <w:szCs w:val="24"/>
        </w:rPr>
        <w:t>.1.2.2. nuotekų valymo – 0,2</w:t>
      </w:r>
      <w:r w:rsidR="00176963">
        <w:rPr>
          <w:sz w:val="24"/>
          <w:szCs w:val="24"/>
        </w:rPr>
        <w:t>8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1.1.2.3. nuote</w:t>
      </w:r>
      <w:r w:rsidR="00F26AFF">
        <w:rPr>
          <w:sz w:val="24"/>
          <w:szCs w:val="24"/>
        </w:rPr>
        <w:t>kų dumblo tvarkymo – 0,2</w:t>
      </w:r>
      <w:r w:rsidR="00176963">
        <w:rPr>
          <w:sz w:val="24"/>
          <w:szCs w:val="24"/>
        </w:rPr>
        <w:t>7</w:t>
      </w:r>
      <w:r w:rsidR="008B5ABE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120D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120D1">
        <w:rPr>
          <w:sz w:val="24"/>
          <w:szCs w:val="24"/>
        </w:rPr>
        <w:t>1</w:t>
      </w:r>
      <w:r>
        <w:rPr>
          <w:sz w:val="24"/>
          <w:szCs w:val="24"/>
        </w:rPr>
        <w:t xml:space="preserve">.2. </w:t>
      </w:r>
      <w:r w:rsidR="00F26AFF">
        <w:rPr>
          <w:sz w:val="24"/>
          <w:szCs w:val="24"/>
        </w:rPr>
        <w:t xml:space="preserve">perskaičiuotą </w:t>
      </w:r>
      <w:r>
        <w:rPr>
          <w:sz w:val="24"/>
          <w:szCs w:val="24"/>
        </w:rPr>
        <w:t>geriamojo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vandens tiekimo</w:t>
      </w:r>
      <w:r>
        <w:rPr>
          <w:sz w:val="24"/>
          <w:szCs w:val="24"/>
        </w:rPr>
        <w:t xml:space="preserve"> ir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nuotekų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paslaugų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bazinę</w:t>
      </w:r>
      <w:r w:rsidR="009253F2">
        <w:rPr>
          <w:sz w:val="24"/>
          <w:szCs w:val="24"/>
        </w:rPr>
        <w:t xml:space="preserve"> </w:t>
      </w:r>
      <w:r>
        <w:rPr>
          <w:sz w:val="24"/>
          <w:szCs w:val="24"/>
        </w:rPr>
        <w:t>kainą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vartotojams,</w:t>
      </w:r>
      <w:r>
        <w:rPr>
          <w:sz w:val="24"/>
          <w:szCs w:val="24"/>
        </w:rPr>
        <w:t xml:space="preserve"> perkantiems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geriamojo vandens tiekimo ir nuotekų </w:t>
      </w:r>
      <w:r>
        <w:rPr>
          <w:sz w:val="24"/>
          <w:szCs w:val="24"/>
        </w:rPr>
        <w:t>tvarkymo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paslaugas individualių</w:t>
      </w:r>
      <w:r w:rsidR="009253F2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gyvenamųjų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namų ar kitų patalpų, skirtų asmeninėms, šeimos ar namų reikmėms, įvaduose</w:t>
      </w:r>
      <w:r>
        <w:rPr>
          <w:sz w:val="24"/>
          <w:szCs w:val="24"/>
        </w:rPr>
        <w:t>,</w:t>
      </w:r>
      <w:r w:rsidR="001F6B51" w:rsidRPr="001F6B51">
        <w:rPr>
          <w:sz w:val="24"/>
          <w:szCs w:val="24"/>
        </w:rPr>
        <w:t xml:space="preserve"> – </w:t>
      </w:r>
      <w:r w:rsidR="00F26AFF">
        <w:rPr>
          <w:sz w:val="24"/>
          <w:szCs w:val="24"/>
        </w:rPr>
        <w:br/>
      </w:r>
      <w:r w:rsidR="00176963">
        <w:rPr>
          <w:sz w:val="24"/>
          <w:szCs w:val="24"/>
        </w:rPr>
        <w:t>1,51</w:t>
      </w:r>
      <w:r w:rsidR="001F6B51" w:rsidRPr="001F6B51">
        <w:rPr>
          <w:sz w:val="24"/>
          <w:szCs w:val="24"/>
        </w:rPr>
        <w:t xml:space="preserve"> Eur/m</w:t>
      </w:r>
      <w:r w:rsidR="001F6B51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1.2.1. geriamojo vandens tiekimo – 0,</w:t>
      </w:r>
      <w:r w:rsidR="00176963">
        <w:rPr>
          <w:sz w:val="24"/>
          <w:szCs w:val="24"/>
        </w:rPr>
        <w:t>61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 xml:space="preserve">1.2.2. nuotekų </w:t>
      </w:r>
      <w:r w:rsidR="00176963">
        <w:rPr>
          <w:sz w:val="24"/>
          <w:szCs w:val="24"/>
        </w:rPr>
        <w:t>tvarkymo – 0,90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1.2.2.1. nuotekų surinkimo – 0,3</w:t>
      </w:r>
      <w:r w:rsidR="00176963">
        <w:rPr>
          <w:sz w:val="24"/>
          <w:szCs w:val="24"/>
        </w:rPr>
        <w:t>7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A54A8D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1.2.2.2. nuotekų valymo – 0,2</w:t>
      </w:r>
      <w:r w:rsidR="00176963">
        <w:rPr>
          <w:sz w:val="24"/>
          <w:szCs w:val="24"/>
        </w:rPr>
        <w:t>7</w:t>
      </w:r>
      <w:r w:rsidR="008B5ABE" w:rsidRPr="008B5ABE"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044683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1.2.2</w:t>
      </w:r>
      <w:r w:rsidR="00176963">
        <w:rPr>
          <w:sz w:val="24"/>
          <w:szCs w:val="24"/>
        </w:rPr>
        <w:t>.3 nuotekų dumblo tvarkymo – 0,26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 xml:space="preserve">1.3. </w:t>
      </w:r>
      <w:r w:rsidR="00F26AFF">
        <w:rPr>
          <w:sz w:val="24"/>
          <w:szCs w:val="24"/>
        </w:rPr>
        <w:t xml:space="preserve">perskaičiuotą </w:t>
      </w:r>
      <w:r w:rsidR="001F6B51" w:rsidRPr="001F6B51">
        <w:rPr>
          <w:sz w:val="24"/>
          <w:szCs w:val="24"/>
        </w:rPr>
        <w:t>geriamojo vandens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tiekimo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 xml:space="preserve">paslaugų bazinę </w:t>
      </w:r>
      <w:r>
        <w:rPr>
          <w:sz w:val="24"/>
          <w:szCs w:val="24"/>
        </w:rPr>
        <w:t>kainą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abonentams,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perkantiems geriamojo vandens tiekimo ir</w:t>
      </w:r>
      <w:r>
        <w:rPr>
          <w:sz w:val="24"/>
          <w:szCs w:val="24"/>
        </w:rPr>
        <w:t xml:space="preserve"> nuotekų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tvarkymo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paslaugas</w:t>
      </w:r>
      <w:r w:rsidR="00A54A8D">
        <w:rPr>
          <w:sz w:val="24"/>
          <w:szCs w:val="24"/>
        </w:rPr>
        <w:t xml:space="preserve"> </w:t>
      </w:r>
      <w:r>
        <w:rPr>
          <w:sz w:val="24"/>
          <w:szCs w:val="24"/>
        </w:rPr>
        <w:t>buities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ir komerciniams</w:t>
      </w:r>
      <w:r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poreikiams bei perkantiems geriamąjį vandenį, skirtą karštam vandeniui ruošti ir tiekiamą</w:t>
      </w:r>
      <w:r w:rsidR="00A54A8D">
        <w:rPr>
          <w:sz w:val="24"/>
          <w:szCs w:val="24"/>
        </w:rPr>
        <w:t xml:space="preserve"> </w:t>
      </w:r>
      <w:r w:rsidR="001F6B51" w:rsidRPr="001F6B51">
        <w:rPr>
          <w:sz w:val="24"/>
          <w:szCs w:val="24"/>
        </w:rPr>
        <w:t>abonentams</w:t>
      </w:r>
      <w:r>
        <w:rPr>
          <w:sz w:val="24"/>
          <w:szCs w:val="24"/>
        </w:rPr>
        <w:t>,</w:t>
      </w:r>
      <w:r w:rsidR="00176963">
        <w:rPr>
          <w:sz w:val="24"/>
          <w:szCs w:val="24"/>
        </w:rPr>
        <w:t xml:space="preserve"> – 1,</w:t>
      </w:r>
      <w:r w:rsidR="00F26AFF">
        <w:rPr>
          <w:sz w:val="24"/>
          <w:szCs w:val="24"/>
        </w:rPr>
        <w:t>5</w:t>
      </w:r>
      <w:r w:rsidR="00176963">
        <w:rPr>
          <w:sz w:val="24"/>
          <w:szCs w:val="24"/>
        </w:rPr>
        <w:t>8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044683" w:rsidRDefault="00044683" w:rsidP="000446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1.3.1 geriamojo vandens tiekimo – 0,6</w:t>
      </w:r>
      <w:r w:rsidR="00176963">
        <w:rPr>
          <w:sz w:val="24"/>
          <w:szCs w:val="24"/>
        </w:rPr>
        <w:t>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044683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AFF">
        <w:rPr>
          <w:sz w:val="24"/>
          <w:szCs w:val="24"/>
        </w:rPr>
        <w:t>1.3.2. nuotekų tvarkymo – 0,</w:t>
      </w:r>
      <w:r w:rsidR="00176963">
        <w:rPr>
          <w:sz w:val="24"/>
          <w:szCs w:val="24"/>
        </w:rPr>
        <w:t>89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, iš šio skaičiaus: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F6B51" w:rsidRPr="001F6B51">
        <w:rPr>
          <w:sz w:val="24"/>
          <w:szCs w:val="24"/>
        </w:rPr>
        <w:t>1.3.2.1. nuotekų surinkimo – 0,3</w:t>
      </w:r>
      <w:r w:rsidR="00176963">
        <w:rPr>
          <w:sz w:val="24"/>
          <w:szCs w:val="24"/>
        </w:rPr>
        <w:t>6</w:t>
      </w:r>
      <w:r w:rsidR="001F6B51" w:rsidRPr="001F6B51">
        <w:rPr>
          <w:sz w:val="24"/>
          <w:szCs w:val="24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C50528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1.3.2.2. nuotekų valymo – 0,2</w:t>
      </w:r>
      <w:r w:rsidR="00176963">
        <w:rPr>
          <w:sz w:val="24"/>
          <w:szCs w:val="24"/>
        </w:rPr>
        <w:t>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C50528" w:rsidP="00C5052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6B51" w:rsidRPr="001F6B51">
        <w:rPr>
          <w:sz w:val="24"/>
          <w:szCs w:val="24"/>
        </w:rPr>
        <w:t>1.3.2.3. nuote</w:t>
      </w:r>
      <w:r w:rsidR="008B5ABE">
        <w:rPr>
          <w:sz w:val="24"/>
          <w:szCs w:val="24"/>
        </w:rPr>
        <w:t>kų dumblo tvarkymo – 0,</w:t>
      </w:r>
      <w:r w:rsidR="006C0DE2">
        <w:rPr>
          <w:sz w:val="24"/>
          <w:szCs w:val="24"/>
        </w:rPr>
        <w:t>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1F6B51"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</w:t>
      </w:r>
      <w:r w:rsidR="00FB6373">
        <w:rPr>
          <w:sz w:val="24"/>
          <w:szCs w:val="24"/>
        </w:rPr>
        <w:t xml:space="preserve"> </w:t>
      </w:r>
      <w:r w:rsidR="00F26AFF">
        <w:rPr>
          <w:sz w:val="24"/>
          <w:szCs w:val="24"/>
        </w:rPr>
        <w:t xml:space="preserve">perskaičiuotą </w:t>
      </w:r>
      <w:r w:rsidRPr="001F6B51">
        <w:rPr>
          <w:sz w:val="24"/>
          <w:szCs w:val="24"/>
        </w:rPr>
        <w:t>geriamojo vandens tiekimo ir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nuotekų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tvarkymo paslaugų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bazinę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kainą</w:t>
      </w:r>
      <w:r w:rsidR="009B6BB0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abonentams,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perkantiems geriamąjį vandenį, skirtą patalpoms šildyti ir tiekiamą vartotojams ir abonentams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bei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>geriamąjį vandenį, skirtą karštam vandeniui ruošti ir tiekiamą vartotojams, ir vartotojų kategorijai,</w:t>
      </w:r>
      <w:r w:rsidR="00C50528">
        <w:rPr>
          <w:sz w:val="24"/>
          <w:szCs w:val="24"/>
        </w:rPr>
        <w:t xml:space="preserve"> </w:t>
      </w:r>
      <w:r w:rsidRPr="001F6B51">
        <w:rPr>
          <w:sz w:val="24"/>
          <w:szCs w:val="24"/>
        </w:rPr>
        <w:t xml:space="preserve">perkančiai paslaugas daugiabučių gyvenamųjų namų </w:t>
      </w:r>
      <w:r w:rsidR="00C33CD7">
        <w:rPr>
          <w:sz w:val="24"/>
          <w:szCs w:val="24"/>
        </w:rPr>
        <w:t xml:space="preserve">arba individualių gyvenamųjų namų bendrijų </w:t>
      </w:r>
      <w:r w:rsidR="00C33CD7" w:rsidRPr="001F6B51">
        <w:rPr>
          <w:sz w:val="24"/>
          <w:szCs w:val="24"/>
        </w:rPr>
        <w:t>įvade</w:t>
      </w:r>
      <w:r w:rsidR="00C50528">
        <w:rPr>
          <w:sz w:val="24"/>
          <w:szCs w:val="24"/>
        </w:rPr>
        <w:t>,</w:t>
      </w:r>
      <w:r w:rsidRPr="001F6B51">
        <w:rPr>
          <w:sz w:val="24"/>
          <w:szCs w:val="24"/>
        </w:rPr>
        <w:t xml:space="preserve"> – 1,</w:t>
      </w:r>
      <w:r w:rsidR="006C0DE2">
        <w:rPr>
          <w:sz w:val="24"/>
          <w:szCs w:val="24"/>
        </w:rPr>
        <w:t>49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C50528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1.4.1. geriamo</w:t>
      </w:r>
      <w:r w:rsidR="00F26AFF">
        <w:rPr>
          <w:sz w:val="24"/>
          <w:szCs w:val="24"/>
        </w:rPr>
        <w:t>jo vandens tiekimo – 0,</w:t>
      </w:r>
      <w:r w:rsidR="006C0DE2">
        <w:rPr>
          <w:sz w:val="24"/>
          <w:szCs w:val="24"/>
        </w:rPr>
        <w:t>60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 nuotekų tvarkymo – 0,</w:t>
      </w:r>
      <w:r w:rsidR="006C0DE2">
        <w:rPr>
          <w:sz w:val="24"/>
          <w:szCs w:val="24"/>
        </w:rPr>
        <w:t>89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, iš šio skaičiaus: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1.4.2.1. nuotekų surinkimo – 0,3</w:t>
      </w:r>
      <w:r w:rsidR="006C0DE2">
        <w:rPr>
          <w:sz w:val="24"/>
          <w:szCs w:val="24"/>
        </w:rPr>
        <w:t>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P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1.4.2.2. nuotekų valymo – 0,</w:t>
      </w:r>
      <w:r w:rsidR="003A12D1">
        <w:rPr>
          <w:sz w:val="24"/>
          <w:szCs w:val="24"/>
        </w:rPr>
        <w:t>2</w:t>
      </w:r>
      <w:r w:rsidR="006C0DE2">
        <w:rPr>
          <w:sz w:val="24"/>
          <w:szCs w:val="24"/>
        </w:rPr>
        <w:t>7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Pr="001F6B51">
        <w:rPr>
          <w:sz w:val="24"/>
          <w:szCs w:val="24"/>
        </w:rPr>
        <w:t>;</w:t>
      </w:r>
    </w:p>
    <w:p w:rsidR="001F6B51" w:rsidRDefault="001F6B51" w:rsidP="00C50528">
      <w:pPr>
        <w:ind w:firstLine="426"/>
        <w:jc w:val="both"/>
        <w:rPr>
          <w:sz w:val="24"/>
          <w:szCs w:val="24"/>
        </w:rPr>
      </w:pPr>
      <w:r w:rsidRPr="001F6B51">
        <w:rPr>
          <w:sz w:val="24"/>
          <w:szCs w:val="24"/>
        </w:rPr>
        <w:t>1.4.2.3. nuotekų dumblo tvarkymo</w:t>
      </w:r>
      <w:r w:rsidR="008B5ABE">
        <w:rPr>
          <w:sz w:val="24"/>
          <w:szCs w:val="24"/>
        </w:rPr>
        <w:t xml:space="preserve"> – 0,</w:t>
      </w:r>
      <w:r w:rsidR="006C0DE2">
        <w:rPr>
          <w:sz w:val="24"/>
          <w:szCs w:val="24"/>
        </w:rPr>
        <w:t>26</w:t>
      </w:r>
      <w:r w:rsidR="008B5ABE" w:rsidRPr="008B5ABE">
        <w:rPr>
          <w:sz w:val="24"/>
          <w:szCs w:val="24"/>
          <w:lang w:eastAsia="lt-LT"/>
        </w:rPr>
        <w:t xml:space="preserve"> </w:t>
      </w:r>
      <w:r w:rsidR="008B5ABE" w:rsidRPr="008B5ABE">
        <w:rPr>
          <w:sz w:val="24"/>
          <w:szCs w:val="24"/>
        </w:rPr>
        <w:t>Eur/m</w:t>
      </w:r>
      <w:r w:rsidR="008B5ABE" w:rsidRPr="008B5ABE">
        <w:rPr>
          <w:sz w:val="24"/>
          <w:szCs w:val="24"/>
          <w:vertAlign w:val="superscript"/>
        </w:rPr>
        <w:t>3</w:t>
      </w:r>
      <w:r w:rsidR="003A12D1">
        <w:rPr>
          <w:sz w:val="24"/>
          <w:szCs w:val="24"/>
        </w:rPr>
        <w:t>.</w:t>
      </w:r>
    </w:p>
    <w:p w:rsidR="00484ABF" w:rsidRPr="00484ABF" w:rsidRDefault="00484ABF" w:rsidP="00484ABF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>2. Nustatyti, kad:</w:t>
      </w:r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bookmarkStart w:id="1" w:name="part_2399b2fe03674f1ba1ef230ef100101b"/>
      <w:bookmarkEnd w:id="1"/>
      <w:r w:rsidRPr="00484ABF">
        <w:rPr>
          <w:color w:val="000000"/>
          <w:sz w:val="24"/>
          <w:szCs w:val="24"/>
          <w:lang w:eastAsia="lt-LT"/>
        </w:rPr>
        <w:t xml:space="preserve">2.1. </w:t>
      </w:r>
      <w:r w:rsidR="00C33CD7">
        <w:rPr>
          <w:color w:val="000000"/>
          <w:sz w:val="24"/>
          <w:szCs w:val="24"/>
          <w:lang w:eastAsia="lt-LT"/>
        </w:rPr>
        <w:t xml:space="preserve">taikomos </w:t>
      </w:r>
      <w:r>
        <w:rPr>
          <w:color w:val="000000"/>
          <w:sz w:val="24"/>
          <w:szCs w:val="24"/>
          <w:lang w:eastAsia="lt-LT"/>
        </w:rPr>
        <w:t xml:space="preserve">nuotekų valymo kainos </w:t>
      </w:r>
      <w:r w:rsidR="00C33CD7">
        <w:rPr>
          <w:color w:val="000000"/>
          <w:sz w:val="24"/>
          <w:szCs w:val="24"/>
          <w:lang w:eastAsia="lt-LT"/>
        </w:rPr>
        <w:t xml:space="preserve">abonentams </w:t>
      </w:r>
      <w:r>
        <w:rPr>
          <w:color w:val="000000"/>
          <w:sz w:val="24"/>
          <w:szCs w:val="24"/>
          <w:lang w:eastAsia="lt-LT"/>
        </w:rPr>
        <w:t xml:space="preserve">už padidėjusią ir savitąją taršą, nuotekų dumblo tvarkymo technologinėse grandyse kainos </w:t>
      </w:r>
      <w:r w:rsidRPr="00484ABF">
        <w:rPr>
          <w:color w:val="000000"/>
          <w:sz w:val="24"/>
          <w:szCs w:val="24"/>
          <w:lang w:eastAsia="lt-LT"/>
        </w:rPr>
        <w:t>bei atsiskaitomųjų apskaitos prietaisų priežiūros ir vartotojų aptarnavimo paslaugos bazinės kainos, suderintos Valstybinės kainų ir energetikos kontrolės komisijos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</w:t>
      </w:r>
      <w:r>
        <w:rPr>
          <w:color w:val="000000"/>
          <w:sz w:val="24"/>
          <w:szCs w:val="24"/>
          <w:lang w:eastAsia="lt-LT"/>
        </w:rPr>
        <w:t xml:space="preserve"> kov</w:t>
      </w:r>
      <w:r w:rsidRPr="00484ABF">
        <w:rPr>
          <w:color w:val="000000"/>
          <w:sz w:val="24"/>
          <w:szCs w:val="24"/>
          <w:lang w:eastAsia="lt-LT"/>
        </w:rPr>
        <w:t>o 2</w:t>
      </w:r>
      <w:r w:rsidR="006C0DE2">
        <w:rPr>
          <w:color w:val="000000"/>
          <w:sz w:val="24"/>
          <w:szCs w:val="24"/>
          <w:lang w:eastAsia="lt-LT"/>
        </w:rPr>
        <w:t>7</w:t>
      </w:r>
      <w:r w:rsidRPr="00484ABF">
        <w:rPr>
          <w:color w:val="000000"/>
          <w:sz w:val="24"/>
          <w:szCs w:val="24"/>
          <w:lang w:eastAsia="lt-LT"/>
        </w:rPr>
        <w:t xml:space="preserve"> d. nutarimu Nr. O3E-</w:t>
      </w:r>
      <w:r>
        <w:rPr>
          <w:color w:val="000000"/>
          <w:sz w:val="24"/>
          <w:szCs w:val="24"/>
          <w:lang w:eastAsia="lt-LT"/>
        </w:rPr>
        <w:t>88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 xml:space="preserve">“ geriamojo vandens tiekimo ir nuotekų tvarkymo paslaugų bazinių kainų derinimo“ ir nustatytos </w:t>
      </w:r>
      <w:r>
        <w:rPr>
          <w:color w:val="000000"/>
          <w:sz w:val="24"/>
          <w:szCs w:val="24"/>
          <w:lang w:eastAsia="lt-LT"/>
        </w:rPr>
        <w:t>Panevėžio</w:t>
      </w:r>
      <w:r w:rsidRPr="00484ABF">
        <w:rPr>
          <w:color w:val="000000"/>
          <w:sz w:val="24"/>
          <w:szCs w:val="24"/>
          <w:lang w:eastAsia="lt-LT"/>
        </w:rPr>
        <w:t xml:space="preserve"> rajono savivaldybės tarybos 201</w:t>
      </w:r>
      <w:r>
        <w:rPr>
          <w:color w:val="000000"/>
          <w:sz w:val="24"/>
          <w:szCs w:val="24"/>
          <w:lang w:eastAsia="lt-LT"/>
        </w:rPr>
        <w:t>9</w:t>
      </w:r>
      <w:r w:rsidRPr="00484ABF">
        <w:rPr>
          <w:color w:val="000000"/>
          <w:sz w:val="24"/>
          <w:szCs w:val="24"/>
          <w:lang w:eastAsia="lt-LT"/>
        </w:rPr>
        <w:t xml:space="preserve"> m. </w:t>
      </w:r>
      <w:r>
        <w:rPr>
          <w:color w:val="000000"/>
          <w:sz w:val="24"/>
          <w:szCs w:val="24"/>
          <w:lang w:eastAsia="lt-LT"/>
        </w:rPr>
        <w:t>gegužės 9</w:t>
      </w:r>
      <w:r w:rsidRPr="00484ABF">
        <w:rPr>
          <w:color w:val="000000"/>
          <w:sz w:val="24"/>
          <w:szCs w:val="24"/>
          <w:lang w:eastAsia="lt-LT"/>
        </w:rPr>
        <w:t xml:space="preserve"> d. sprendimu </w:t>
      </w:r>
      <w:r w:rsidR="00FB6373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>Nr. T-9</w:t>
      </w:r>
      <w:r>
        <w:rPr>
          <w:color w:val="000000"/>
          <w:sz w:val="24"/>
          <w:szCs w:val="24"/>
          <w:lang w:eastAsia="lt-LT"/>
        </w:rPr>
        <w:t>8</w:t>
      </w:r>
      <w:r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>
        <w:rPr>
          <w:color w:val="000000"/>
          <w:sz w:val="24"/>
          <w:szCs w:val="24"/>
          <w:lang w:eastAsia="lt-LT"/>
        </w:rPr>
        <w:t>Aukštaitijos vandenys</w:t>
      </w:r>
      <w:r w:rsidRPr="00484ABF">
        <w:rPr>
          <w:color w:val="000000"/>
          <w:sz w:val="24"/>
          <w:szCs w:val="24"/>
          <w:lang w:eastAsia="lt-LT"/>
        </w:rPr>
        <w:t>“ geriamojo vandens tiekimo ir nuotekų tvarkymo paslaugų bazinių kainų nustatymo“</w:t>
      </w:r>
      <w:r w:rsidR="00C33CD7">
        <w:rPr>
          <w:color w:val="000000"/>
          <w:sz w:val="24"/>
          <w:szCs w:val="24"/>
          <w:lang w:eastAsia="lt-LT"/>
        </w:rPr>
        <w:t xml:space="preserve"> ir </w:t>
      </w:r>
      <w:r w:rsidRPr="00484ABF">
        <w:rPr>
          <w:color w:val="000000"/>
          <w:sz w:val="24"/>
          <w:szCs w:val="24"/>
          <w:lang w:eastAsia="lt-LT"/>
        </w:rPr>
        <w:t>šiuo sprendimu neperskaičiuojamos;</w:t>
      </w:r>
      <w:bookmarkStart w:id="2" w:name="part_880ee241c4db41b19d19d473bdf2c1b2"/>
      <w:bookmarkEnd w:id="2"/>
    </w:p>
    <w:p w:rsidR="00802860" w:rsidRDefault="00484ABF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484ABF">
        <w:rPr>
          <w:color w:val="000000"/>
          <w:sz w:val="24"/>
          <w:szCs w:val="24"/>
          <w:lang w:eastAsia="lt-LT"/>
        </w:rPr>
        <w:t xml:space="preserve">2.2. šio sprendimo 1 punkte nurodytos perskaičiuotos geriamojo vandens tiekimo ir nuotekų tvarkymo paslaugų bazinės kainos </w:t>
      </w:r>
      <w:r w:rsidR="00C33CD7">
        <w:rPr>
          <w:color w:val="000000"/>
          <w:sz w:val="24"/>
          <w:szCs w:val="24"/>
          <w:lang w:eastAsia="lt-LT"/>
        </w:rPr>
        <w:t xml:space="preserve">ir šio sprendimo 2.1 </w:t>
      </w:r>
      <w:r w:rsidR="00802860">
        <w:rPr>
          <w:color w:val="000000"/>
          <w:sz w:val="24"/>
          <w:szCs w:val="24"/>
          <w:lang w:eastAsia="lt-LT"/>
        </w:rPr>
        <w:t xml:space="preserve">papunktyje </w:t>
      </w:r>
      <w:r w:rsidR="00C33CD7">
        <w:rPr>
          <w:color w:val="000000"/>
          <w:sz w:val="24"/>
          <w:szCs w:val="24"/>
          <w:lang w:eastAsia="lt-LT"/>
        </w:rPr>
        <w:t xml:space="preserve">nurodytos kainos </w:t>
      </w:r>
      <w:r w:rsidRPr="00484ABF">
        <w:rPr>
          <w:color w:val="000000"/>
          <w:sz w:val="24"/>
          <w:szCs w:val="24"/>
          <w:lang w:eastAsia="lt-LT"/>
        </w:rPr>
        <w:t xml:space="preserve">galioja </w:t>
      </w:r>
      <w:r w:rsidR="00802860">
        <w:rPr>
          <w:color w:val="000000"/>
          <w:sz w:val="24"/>
          <w:szCs w:val="24"/>
          <w:lang w:eastAsia="lt-LT"/>
        </w:rPr>
        <w:br/>
      </w:r>
      <w:r w:rsidRPr="00484ABF">
        <w:rPr>
          <w:color w:val="000000"/>
          <w:sz w:val="24"/>
          <w:szCs w:val="24"/>
          <w:lang w:eastAsia="lt-LT"/>
        </w:rPr>
        <w:t xml:space="preserve">12 mėnesių nuo </w:t>
      </w:r>
      <w:r w:rsidR="006C0DE2">
        <w:rPr>
          <w:color w:val="000000"/>
          <w:sz w:val="24"/>
          <w:szCs w:val="24"/>
          <w:lang w:eastAsia="lt-LT"/>
        </w:rPr>
        <w:t>šių kainų įsigaliojimo dienos</w:t>
      </w:r>
      <w:r w:rsidR="00C33CD7">
        <w:rPr>
          <w:color w:val="000000"/>
          <w:sz w:val="24"/>
          <w:szCs w:val="24"/>
          <w:lang w:eastAsia="lt-LT"/>
        </w:rPr>
        <w:t>.</w:t>
      </w:r>
    </w:p>
    <w:p w:rsidR="00672946" w:rsidRPr="00802860" w:rsidRDefault="001F6B51" w:rsidP="00802860">
      <w:pPr>
        <w:suppressAutoHyphens w:val="0"/>
        <w:ind w:firstLine="426"/>
        <w:jc w:val="both"/>
        <w:rPr>
          <w:color w:val="000000"/>
          <w:sz w:val="24"/>
          <w:szCs w:val="24"/>
          <w:lang w:eastAsia="lt-LT"/>
        </w:rPr>
      </w:pPr>
      <w:r w:rsidRPr="001F6B51">
        <w:rPr>
          <w:sz w:val="24"/>
          <w:szCs w:val="24"/>
        </w:rPr>
        <w:t xml:space="preserve">Šis </w:t>
      </w:r>
      <w:r w:rsidR="00914E8B">
        <w:rPr>
          <w:sz w:val="24"/>
          <w:szCs w:val="24"/>
        </w:rPr>
        <w:t>sprendimas</w:t>
      </w:r>
      <w:r w:rsidRPr="001F6B51">
        <w:rPr>
          <w:sz w:val="24"/>
          <w:szCs w:val="24"/>
        </w:rPr>
        <w:t xml:space="preserve"> gali būti skundžiamas Lietuvos Respublikos administracinių bylų teisenos</w:t>
      </w:r>
      <w:r w:rsidR="002309E3">
        <w:rPr>
          <w:sz w:val="24"/>
          <w:szCs w:val="24"/>
        </w:rPr>
        <w:t xml:space="preserve"> įstatymo nustatyta tvarka</w:t>
      </w:r>
      <w:r w:rsidR="00636946">
        <w:rPr>
          <w:sz w:val="24"/>
          <w:szCs w:val="24"/>
        </w:rPr>
        <w:t>.</w:t>
      </w:r>
    </w:p>
    <w:p w:rsidR="00672946" w:rsidRDefault="00672946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044683">
      <w:pPr>
        <w:jc w:val="both"/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8C2A7A" w:rsidRDefault="008C2A7A" w:rsidP="001F6B51">
      <w:pPr>
        <w:rPr>
          <w:sz w:val="24"/>
          <w:szCs w:val="24"/>
        </w:rPr>
      </w:pPr>
    </w:p>
    <w:p w:rsidR="00ED7D0E" w:rsidRDefault="00ED7D0E" w:rsidP="001F6B51">
      <w:pPr>
        <w:rPr>
          <w:sz w:val="24"/>
          <w:szCs w:val="24"/>
        </w:rPr>
      </w:pPr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>PANEVĖŽIO RAJONO SAVIVALDYBĖS ADMINISTRACIJOS</w:t>
      </w:r>
    </w:p>
    <w:p w:rsidR="001D2619" w:rsidRPr="00566154" w:rsidRDefault="001D2619" w:rsidP="00517C9F">
      <w:pPr>
        <w:ind w:right="-1185"/>
        <w:jc w:val="center"/>
        <w:rPr>
          <w:b/>
          <w:sz w:val="24"/>
          <w:szCs w:val="24"/>
        </w:rPr>
      </w:pPr>
      <w:r w:rsidRPr="00566154">
        <w:rPr>
          <w:b/>
          <w:sz w:val="24"/>
          <w:szCs w:val="24"/>
        </w:rPr>
        <w:t>EKONOMIKOS IR TURTO VALDYMO SKYRIUS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1D2619" w:rsidP="0033141A">
      <w:pPr>
        <w:ind w:right="-1185"/>
        <w:jc w:val="both"/>
        <w:rPr>
          <w:sz w:val="24"/>
          <w:szCs w:val="24"/>
        </w:rPr>
      </w:pPr>
      <w:r w:rsidRPr="00566154">
        <w:rPr>
          <w:sz w:val="24"/>
          <w:szCs w:val="24"/>
        </w:rPr>
        <w:t>Panevėžio rajono savivaldybės tarybai</w:t>
      </w:r>
    </w:p>
    <w:p w:rsidR="001D2619" w:rsidRPr="00566154" w:rsidRDefault="001D2619" w:rsidP="00517C9F">
      <w:pPr>
        <w:ind w:right="-1185" w:firstLine="720"/>
        <w:jc w:val="both"/>
        <w:rPr>
          <w:sz w:val="24"/>
          <w:szCs w:val="24"/>
        </w:rPr>
      </w:pPr>
    </w:p>
    <w:p w:rsidR="001D2619" w:rsidRPr="00DF7501" w:rsidRDefault="00A95582" w:rsidP="00DF750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TARYBOS </w:t>
      </w:r>
      <w:r w:rsidR="001D2619" w:rsidRPr="00DF7501">
        <w:rPr>
          <w:b/>
          <w:bCs/>
          <w:sz w:val="24"/>
          <w:szCs w:val="24"/>
        </w:rPr>
        <w:t>SPRENDIMO „</w:t>
      </w:r>
      <w:r w:rsidR="003B03F1">
        <w:rPr>
          <w:b/>
          <w:bCs/>
          <w:sz w:val="24"/>
          <w:szCs w:val="24"/>
          <w:lang w:val="en-US"/>
        </w:rPr>
        <w:t xml:space="preserve">DĖL </w:t>
      </w:r>
      <w:r w:rsidR="00ED7D0E" w:rsidRPr="00ED7D0E">
        <w:rPr>
          <w:b/>
          <w:bCs/>
          <w:sz w:val="24"/>
          <w:szCs w:val="24"/>
          <w:lang w:val="en-US"/>
        </w:rPr>
        <w:t>U</w:t>
      </w:r>
      <w:r w:rsidR="00636946">
        <w:rPr>
          <w:b/>
          <w:bCs/>
          <w:sz w:val="24"/>
          <w:szCs w:val="24"/>
          <w:lang w:val="en-US"/>
        </w:rPr>
        <w:t xml:space="preserve">ŽDAROSIOS </w:t>
      </w:r>
      <w:r w:rsidR="00ED7D0E" w:rsidRPr="00ED7D0E">
        <w:rPr>
          <w:b/>
          <w:bCs/>
          <w:sz w:val="24"/>
          <w:szCs w:val="24"/>
          <w:lang w:val="en-US"/>
        </w:rPr>
        <w:t>A</w:t>
      </w:r>
      <w:r w:rsidR="00636946">
        <w:rPr>
          <w:b/>
          <w:bCs/>
          <w:sz w:val="24"/>
          <w:szCs w:val="24"/>
          <w:lang w:val="en-US"/>
        </w:rPr>
        <w:t xml:space="preserve">KCINĖS </w:t>
      </w:r>
      <w:r w:rsidR="00ED7D0E" w:rsidRPr="00ED7D0E">
        <w:rPr>
          <w:b/>
          <w:bCs/>
          <w:sz w:val="24"/>
          <w:szCs w:val="24"/>
          <w:lang w:val="en-US"/>
        </w:rPr>
        <w:t>B</w:t>
      </w:r>
      <w:r w:rsidR="00636946">
        <w:rPr>
          <w:b/>
          <w:bCs/>
          <w:sz w:val="24"/>
          <w:szCs w:val="24"/>
          <w:lang w:val="en-US"/>
        </w:rPr>
        <w:t>ENDROVĖS „AUKŠTAITIJOS VANDENYS“</w:t>
      </w:r>
      <w:r w:rsidR="005B18C8">
        <w:rPr>
          <w:b/>
          <w:bCs/>
          <w:sz w:val="24"/>
          <w:szCs w:val="24"/>
          <w:lang w:val="en-US"/>
        </w:rPr>
        <w:t xml:space="preserve"> PERSKAIČIUOTŲ </w:t>
      </w:r>
      <w:r w:rsidR="003B03F1">
        <w:rPr>
          <w:b/>
          <w:bCs/>
          <w:sz w:val="24"/>
          <w:szCs w:val="24"/>
          <w:lang w:val="en-US"/>
        </w:rPr>
        <w:t>GERIAMOJO VANDENS TIEKIMO IR NUOTEKŲ TVARKYMO P</w:t>
      </w:r>
      <w:r w:rsidR="003B03F1" w:rsidRPr="0075485E">
        <w:rPr>
          <w:b/>
          <w:bCs/>
          <w:sz w:val="24"/>
          <w:szCs w:val="24"/>
          <w:lang w:val="en-US"/>
        </w:rPr>
        <w:t>ASLAUGŲ</w:t>
      </w:r>
      <w:r w:rsidR="003B03F1">
        <w:rPr>
          <w:b/>
          <w:bCs/>
          <w:sz w:val="24"/>
          <w:szCs w:val="24"/>
          <w:lang w:val="en-US"/>
        </w:rPr>
        <w:t xml:space="preserve"> BAZINIŲ KAINŲ NUSTATYMO</w:t>
      </w:r>
      <w:r w:rsidR="001D2619" w:rsidRPr="00DF7501">
        <w:rPr>
          <w:b/>
          <w:bCs/>
          <w:sz w:val="24"/>
          <w:szCs w:val="24"/>
        </w:rPr>
        <w:t>“ PROJEKTO</w:t>
      </w:r>
      <w:r w:rsidRPr="00A95582">
        <w:rPr>
          <w:b/>
          <w:bCs/>
          <w:sz w:val="24"/>
          <w:szCs w:val="24"/>
        </w:rPr>
        <w:t xml:space="preserve"> </w:t>
      </w:r>
      <w:r w:rsidRPr="00DF7501">
        <w:rPr>
          <w:b/>
          <w:bCs/>
          <w:sz w:val="24"/>
          <w:szCs w:val="24"/>
        </w:rPr>
        <w:t xml:space="preserve">AIŠKINAMASIS RAŠTAS </w:t>
      </w:r>
    </w:p>
    <w:p w:rsidR="00672946" w:rsidRDefault="00672946" w:rsidP="00517C9F">
      <w:pPr>
        <w:jc w:val="center"/>
        <w:rPr>
          <w:sz w:val="24"/>
          <w:szCs w:val="24"/>
        </w:rPr>
      </w:pPr>
    </w:p>
    <w:p w:rsidR="001D2619" w:rsidRPr="00566154" w:rsidRDefault="00484ABF" w:rsidP="00517C9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B18C8">
        <w:rPr>
          <w:sz w:val="24"/>
          <w:szCs w:val="24"/>
        </w:rPr>
        <w:t>1</w:t>
      </w:r>
      <w:r w:rsidR="001D2619" w:rsidRPr="00566154">
        <w:rPr>
          <w:sz w:val="24"/>
          <w:szCs w:val="24"/>
        </w:rPr>
        <w:t xml:space="preserve"> m. </w:t>
      </w:r>
      <w:r w:rsidR="005B18C8">
        <w:rPr>
          <w:sz w:val="24"/>
          <w:szCs w:val="24"/>
        </w:rPr>
        <w:t>gruodžio</w:t>
      </w:r>
      <w:r w:rsidR="003B03F1">
        <w:rPr>
          <w:sz w:val="24"/>
          <w:szCs w:val="24"/>
        </w:rPr>
        <w:t xml:space="preserve"> </w:t>
      </w:r>
      <w:r w:rsidR="005B18C8">
        <w:rPr>
          <w:sz w:val="24"/>
          <w:szCs w:val="24"/>
        </w:rPr>
        <w:t>8</w:t>
      </w:r>
      <w:r w:rsidR="001D2619" w:rsidRPr="00566154">
        <w:rPr>
          <w:sz w:val="24"/>
          <w:szCs w:val="24"/>
        </w:rPr>
        <w:t xml:space="preserve"> d.</w:t>
      </w:r>
    </w:p>
    <w:p w:rsidR="001D2619" w:rsidRPr="00566154" w:rsidRDefault="001D2619" w:rsidP="00517C9F">
      <w:pPr>
        <w:jc w:val="center"/>
        <w:rPr>
          <w:sz w:val="24"/>
          <w:szCs w:val="24"/>
        </w:rPr>
      </w:pPr>
      <w:r w:rsidRPr="00566154">
        <w:rPr>
          <w:sz w:val="24"/>
          <w:szCs w:val="24"/>
        </w:rPr>
        <w:t>Panevėžys</w:t>
      </w:r>
    </w:p>
    <w:p w:rsidR="001D2619" w:rsidRPr="00566154" w:rsidRDefault="001D2619" w:rsidP="00517C9F">
      <w:pPr>
        <w:ind w:right="-1185"/>
        <w:jc w:val="both"/>
        <w:rPr>
          <w:sz w:val="24"/>
          <w:szCs w:val="24"/>
        </w:rPr>
      </w:pPr>
    </w:p>
    <w:p w:rsidR="001D2619" w:rsidRPr="00566154" w:rsidRDefault="004D26D6" w:rsidP="004D26D6">
      <w:pPr>
        <w:pStyle w:val="ListParagraph"/>
        <w:ind w:left="1134" w:firstLine="142"/>
        <w:rPr>
          <w:b/>
          <w:bCs/>
          <w:szCs w:val="24"/>
        </w:rPr>
      </w:pPr>
      <w:r w:rsidRPr="009F7EFB">
        <w:rPr>
          <w:b/>
          <w:szCs w:val="24"/>
        </w:rPr>
        <w:t>1.</w:t>
      </w:r>
      <w:r w:rsidRPr="00D22A49">
        <w:rPr>
          <w:b/>
          <w:szCs w:val="24"/>
        </w:rPr>
        <w:t xml:space="preserve"> Sprendimo projekto tikslai ir uždaviniai</w:t>
      </w:r>
      <w:r w:rsidR="001D2619" w:rsidRPr="00566154">
        <w:rPr>
          <w:b/>
          <w:bCs/>
          <w:szCs w:val="24"/>
        </w:rPr>
        <w:t xml:space="preserve"> </w:t>
      </w:r>
    </w:p>
    <w:p w:rsidR="00AF74D7" w:rsidRPr="005839DF" w:rsidRDefault="00672946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39DF" w:rsidRPr="005839DF">
        <w:rPr>
          <w:sz w:val="24"/>
          <w:szCs w:val="24"/>
        </w:rPr>
        <w:t xml:space="preserve">Vadovaujantis Lietuvos Respublikos geriamojo vandens tiekimo ir nuotekų tvarkymo įstatymu nustatyti </w:t>
      </w:r>
      <w:r w:rsidR="005839DF">
        <w:rPr>
          <w:sz w:val="24"/>
          <w:szCs w:val="24"/>
        </w:rPr>
        <w:t>uždarajai akcinei bendrovei „</w:t>
      </w:r>
      <w:r w:rsidR="005839DF" w:rsidRPr="005839DF">
        <w:rPr>
          <w:sz w:val="24"/>
          <w:szCs w:val="24"/>
        </w:rPr>
        <w:t>Aukštaitijos vandenys“ perskaičiuotas geriamojo vande</w:t>
      </w:r>
      <w:r w:rsidR="005839DF">
        <w:rPr>
          <w:sz w:val="24"/>
          <w:szCs w:val="24"/>
        </w:rPr>
        <w:t xml:space="preserve">ns tiekimo ir nuotekų tvarkymo </w:t>
      </w:r>
      <w:r w:rsidR="005839DF" w:rsidRPr="005839DF">
        <w:rPr>
          <w:sz w:val="24"/>
          <w:szCs w:val="24"/>
        </w:rPr>
        <w:t xml:space="preserve">paslaugų bazines kainas </w:t>
      </w:r>
      <w:r w:rsidR="005839DF">
        <w:rPr>
          <w:sz w:val="24"/>
          <w:szCs w:val="24"/>
        </w:rPr>
        <w:t>tretiesiems</w:t>
      </w:r>
      <w:r w:rsidR="005839DF" w:rsidRPr="005839DF">
        <w:rPr>
          <w:sz w:val="24"/>
          <w:szCs w:val="24"/>
        </w:rPr>
        <w:t xml:space="preserve"> bazinės kainos galiojimo metams</w:t>
      </w:r>
      <w:r w:rsidR="00374645" w:rsidRPr="005839DF">
        <w:rPr>
          <w:sz w:val="24"/>
          <w:szCs w:val="24"/>
        </w:rPr>
        <w:t xml:space="preserve"> </w:t>
      </w:r>
    </w:p>
    <w:p w:rsidR="005839DF" w:rsidRDefault="004D26D6" w:rsidP="005839DF">
      <w:pPr>
        <w:ind w:firstLine="1296"/>
        <w:jc w:val="both"/>
        <w:rPr>
          <w:b/>
          <w:sz w:val="24"/>
          <w:szCs w:val="24"/>
        </w:rPr>
      </w:pP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>
        <w:rPr>
          <w:b/>
          <w:sz w:val="24"/>
          <w:szCs w:val="24"/>
        </w:rPr>
        <w:t xml:space="preserve"> </w:t>
      </w:r>
    </w:p>
    <w:p w:rsidR="005839DF" w:rsidRDefault="005839DF" w:rsidP="005839DF">
      <w:pPr>
        <w:ind w:firstLine="1296"/>
        <w:jc w:val="both"/>
        <w:rPr>
          <w:color w:val="000000"/>
          <w:sz w:val="24"/>
          <w:szCs w:val="24"/>
        </w:rPr>
      </w:pPr>
      <w:r w:rsidRPr="00E556CC">
        <w:rPr>
          <w:sz w:val="24"/>
          <w:szCs w:val="24"/>
        </w:rPr>
        <w:t xml:space="preserve">Lietuvos Respublikos vietos savivaldos įstatymo 16 straipsnio 2 dalies </w:t>
      </w:r>
      <w:r w:rsidRPr="00E556CC">
        <w:rPr>
          <w:sz w:val="24"/>
          <w:szCs w:val="24"/>
        </w:rPr>
        <w:br/>
        <w:t xml:space="preserve">37 punktas numato, kad išimtinė </w:t>
      </w:r>
      <w:r w:rsidR="00A95582">
        <w:rPr>
          <w:sz w:val="24"/>
          <w:szCs w:val="24"/>
        </w:rPr>
        <w:t>s</w:t>
      </w:r>
      <w:r w:rsidRPr="00E556CC">
        <w:rPr>
          <w:sz w:val="24"/>
          <w:szCs w:val="24"/>
        </w:rPr>
        <w:t xml:space="preserve">avivaldybės tarybos kompetencija yra </w:t>
      </w:r>
      <w:r w:rsidRPr="00E556CC">
        <w:rPr>
          <w:color w:val="000000"/>
          <w:sz w:val="24"/>
          <w:szCs w:val="24"/>
        </w:rPr>
        <w:t>šalto vandens kainų nustatymas (tvirtinimas) įstatymų nustatyta tvarka</w:t>
      </w:r>
      <w:r>
        <w:rPr>
          <w:color w:val="000000"/>
          <w:sz w:val="24"/>
          <w:szCs w:val="24"/>
        </w:rPr>
        <w:t xml:space="preserve">. </w:t>
      </w:r>
    </w:p>
    <w:p w:rsidR="001D2619" w:rsidRDefault="005839DF" w:rsidP="004D26D6">
      <w:pPr>
        <w:ind w:firstLine="1296"/>
        <w:jc w:val="both"/>
        <w:rPr>
          <w:color w:val="000000"/>
          <w:sz w:val="24"/>
          <w:szCs w:val="24"/>
        </w:rPr>
      </w:pPr>
      <w:r w:rsidRPr="005839DF">
        <w:rPr>
          <w:sz w:val="24"/>
          <w:szCs w:val="24"/>
        </w:rPr>
        <w:t xml:space="preserve">Pagal </w:t>
      </w:r>
      <w:hyperlink r:id="rId7">
        <w:r w:rsidRPr="005839DF">
          <w:rPr>
            <w:rStyle w:val="Internetosaitas"/>
            <w:color w:val="auto"/>
            <w:sz w:val="24"/>
            <w:szCs w:val="24"/>
            <w:u w:val="none"/>
          </w:rPr>
          <w:t>Lietuvos Respublikos geriamojo vandens tiekimo ir nuotekų tvarkymo įstatymo</w:t>
        </w:r>
      </w:hyperlink>
      <w:r w:rsidRPr="005839DF">
        <w:rPr>
          <w:sz w:val="24"/>
          <w:szCs w:val="24"/>
        </w:rPr>
        <w:t xml:space="preserve"> </w:t>
      </w:r>
      <w:r>
        <w:rPr>
          <w:sz w:val="24"/>
          <w:szCs w:val="24"/>
        </w:rPr>
        <w:t>10 straipsnio 7</w:t>
      </w:r>
      <w:r w:rsidRPr="005839DF">
        <w:rPr>
          <w:sz w:val="24"/>
          <w:szCs w:val="24"/>
        </w:rPr>
        <w:t xml:space="preserve"> punkt</w:t>
      </w:r>
      <w:r>
        <w:rPr>
          <w:sz w:val="24"/>
          <w:szCs w:val="24"/>
        </w:rPr>
        <w:t>ą</w:t>
      </w:r>
      <w:r w:rsidRPr="005839DF">
        <w:rPr>
          <w:sz w:val="24"/>
          <w:szCs w:val="24"/>
        </w:rPr>
        <w:t xml:space="preserve"> ir 34 straipsnio 2</w:t>
      </w:r>
      <w:r>
        <w:rPr>
          <w:sz w:val="24"/>
          <w:szCs w:val="24"/>
        </w:rPr>
        <w:t xml:space="preserve"> ir 12</w:t>
      </w:r>
      <w:r w:rsidRPr="005839DF">
        <w:rPr>
          <w:sz w:val="24"/>
          <w:szCs w:val="24"/>
        </w:rPr>
        <w:t xml:space="preserve"> dal</w:t>
      </w:r>
      <w:r>
        <w:rPr>
          <w:sz w:val="24"/>
          <w:szCs w:val="24"/>
        </w:rPr>
        <w:t>is</w:t>
      </w:r>
      <w:r w:rsidRPr="005839DF">
        <w:rPr>
          <w:sz w:val="24"/>
          <w:szCs w:val="24"/>
        </w:rPr>
        <w:t xml:space="preserve"> </w:t>
      </w:r>
      <w:r w:rsidRPr="005839DF">
        <w:rPr>
          <w:color w:val="000000"/>
          <w:sz w:val="24"/>
          <w:szCs w:val="24"/>
        </w:rPr>
        <w:t xml:space="preserve">savivaldybių tarybos, vadovaudamosi Geriamojo vandens tiekimo ir nuotekų tvarkymo įstatymu, </w:t>
      </w:r>
      <w:r w:rsidRPr="005839DF">
        <w:rPr>
          <w:sz w:val="24"/>
          <w:szCs w:val="24"/>
        </w:rPr>
        <w:t>Valstybinės energetikos reguliavimo tarybos nustatyta Geriamojo vandens tiekimo ir nuotekų tvarkymo bei paviršinių nuotekų tvarkymo paslaugų kainų nustatymo metodika,</w:t>
      </w:r>
      <w:r w:rsidRPr="005839DF">
        <w:rPr>
          <w:color w:val="000000"/>
          <w:sz w:val="24"/>
          <w:szCs w:val="24"/>
        </w:rPr>
        <w:t xml:space="preserve"> nustato geriamojo vandens tiekėjų ir nuotekų tvarkytojų tiekiamo geriamojo vandens ir teikiamų nuotekų tvarkymo paslaugų kainas.</w:t>
      </w:r>
    </w:p>
    <w:p w:rsidR="005839DF" w:rsidRPr="005839DF" w:rsidRDefault="00B073AB" w:rsidP="00B073AB">
      <w:pPr>
        <w:tabs>
          <w:tab w:val="left" w:pos="567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           </w:t>
      </w:r>
      <w:r w:rsidR="005839DF">
        <w:rPr>
          <w:color w:val="000000"/>
          <w:sz w:val="24"/>
          <w:szCs w:val="24"/>
          <w:lang w:eastAsia="lt-LT"/>
        </w:rPr>
        <w:t>Panevėžio</w:t>
      </w:r>
      <w:r w:rsidR="005839DF" w:rsidRPr="00484ABF">
        <w:rPr>
          <w:color w:val="000000"/>
          <w:sz w:val="24"/>
          <w:szCs w:val="24"/>
          <w:lang w:eastAsia="lt-LT"/>
        </w:rPr>
        <w:t xml:space="preserve"> rajono savivaldybės tarybos 201</w:t>
      </w:r>
      <w:r w:rsidR="005839DF">
        <w:rPr>
          <w:color w:val="000000"/>
          <w:sz w:val="24"/>
          <w:szCs w:val="24"/>
          <w:lang w:eastAsia="lt-LT"/>
        </w:rPr>
        <w:t>9</w:t>
      </w:r>
      <w:r w:rsidR="005839DF" w:rsidRPr="00484ABF">
        <w:rPr>
          <w:color w:val="000000"/>
          <w:sz w:val="24"/>
          <w:szCs w:val="24"/>
          <w:lang w:eastAsia="lt-LT"/>
        </w:rPr>
        <w:t xml:space="preserve"> m. </w:t>
      </w:r>
      <w:r w:rsidR="005839DF">
        <w:rPr>
          <w:color w:val="000000"/>
          <w:sz w:val="24"/>
          <w:szCs w:val="24"/>
          <w:lang w:eastAsia="lt-LT"/>
        </w:rPr>
        <w:t>gegužės 9</w:t>
      </w:r>
      <w:r w:rsidR="005839DF" w:rsidRPr="00484ABF">
        <w:rPr>
          <w:color w:val="000000"/>
          <w:sz w:val="24"/>
          <w:szCs w:val="24"/>
          <w:lang w:eastAsia="lt-LT"/>
        </w:rPr>
        <w:t xml:space="preserve"> d. sprendimu </w:t>
      </w:r>
      <w:r w:rsidR="005839DF">
        <w:rPr>
          <w:color w:val="000000"/>
          <w:sz w:val="24"/>
          <w:szCs w:val="24"/>
          <w:lang w:eastAsia="lt-LT"/>
        </w:rPr>
        <w:br/>
      </w:r>
      <w:r w:rsidR="005839DF" w:rsidRPr="00484ABF">
        <w:rPr>
          <w:color w:val="000000"/>
          <w:sz w:val="24"/>
          <w:szCs w:val="24"/>
          <w:lang w:eastAsia="lt-LT"/>
        </w:rPr>
        <w:t>Nr. T-9</w:t>
      </w:r>
      <w:r w:rsidR="005839DF">
        <w:rPr>
          <w:color w:val="000000"/>
          <w:sz w:val="24"/>
          <w:szCs w:val="24"/>
          <w:lang w:eastAsia="lt-LT"/>
        </w:rPr>
        <w:t>8</w:t>
      </w:r>
      <w:r w:rsidR="005839DF" w:rsidRPr="00484ABF">
        <w:rPr>
          <w:color w:val="000000"/>
          <w:sz w:val="24"/>
          <w:szCs w:val="24"/>
          <w:lang w:eastAsia="lt-LT"/>
        </w:rPr>
        <w:t xml:space="preserve"> „Dėl uždarosios akcinės bendrovės „</w:t>
      </w:r>
      <w:r w:rsidR="005839DF">
        <w:rPr>
          <w:color w:val="000000"/>
          <w:sz w:val="24"/>
          <w:szCs w:val="24"/>
          <w:lang w:eastAsia="lt-LT"/>
        </w:rPr>
        <w:t>Aukštaitijos vandenys</w:t>
      </w:r>
      <w:r w:rsidR="005839DF" w:rsidRPr="00484ABF">
        <w:rPr>
          <w:color w:val="000000"/>
          <w:sz w:val="24"/>
          <w:szCs w:val="24"/>
          <w:lang w:eastAsia="lt-LT"/>
        </w:rPr>
        <w:t>“ geriamojo vandens tiekimo ir nuotekų tvarkymo paslaugų bazinių kainų nustatymo“</w:t>
      </w:r>
      <w:r w:rsidR="005839DF">
        <w:rPr>
          <w:color w:val="000000"/>
          <w:sz w:val="24"/>
          <w:szCs w:val="24"/>
          <w:lang w:eastAsia="lt-LT"/>
        </w:rPr>
        <w:t xml:space="preserve"> </w:t>
      </w:r>
      <w:r w:rsidR="005839DF" w:rsidRPr="005839DF">
        <w:rPr>
          <w:sz w:val="24"/>
          <w:szCs w:val="24"/>
        </w:rPr>
        <w:t>nustatė UAB „</w:t>
      </w:r>
      <w:r w:rsidR="005839DF">
        <w:rPr>
          <w:sz w:val="24"/>
          <w:szCs w:val="24"/>
        </w:rPr>
        <w:t>Aukštaitijos</w:t>
      </w:r>
      <w:r w:rsidR="005839DF" w:rsidRPr="005839DF">
        <w:rPr>
          <w:sz w:val="24"/>
          <w:szCs w:val="24"/>
        </w:rPr>
        <w:t xml:space="preserve"> vandenys“ geriamojo vandens tiekimo ir nuotekų tvarkymo paslaugų bazines kainas, kurios galioja tr</w:t>
      </w:r>
      <w:r w:rsidR="00A95582">
        <w:rPr>
          <w:sz w:val="24"/>
          <w:szCs w:val="24"/>
        </w:rPr>
        <w:t>eju</w:t>
      </w:r>
      <w:r w:rsidR="005839DF" w:rsidRPr="005839DF">
        <w:rPr>
          <w:sz w:val="24"/>
          <w:szCs w:val="24"/>
        </w:rPr>
        <w:t>s metus.</w:t>
      </w:r>
    </w:p>
    <w:p w:rsidR="00C47DE8" w:rsidRPr="00566154" w:rsidRDefault="00AF74D7" w:rsidP="0033141A">
      <w:pPr>
        <w:suppressAutoHyphens w:val="0"/>
        <w:ind w:firstLine="1296"/>
        <w:jc w:val="both"/>
        <w:rPr>
          <w:sz w:val="24"/>
          <w:szCs w:val="24"/>
          <w:lang w:val="sv-SE" w:eastAsia="en-US"/>
        </w:rPr>
      </w:pPr>
      <w:r w:rsidRPr="00AF74D7">
        <w:rPr>
          <w:sz w:val="24"/>
          <w:szCs w:val="24"/>
          <w:lang w:val="sv-SE" w:eastAsia="en-US"/>
        </w:rPr>
        <w:t xml:space="preserve">Valstybinės </w:t>
      </w:r>
      <w:r w:rsidR="00543FE9">
        <w:rPr>
          <w:sz w:val="24"/>
          <w:szCs w:val="24"/>
          <w:lang w:val="sv-SE" w:eastAsia="en-US"/>
        </w:rPr>
        <w:t>e</w:t>
      </w:r>
      <w:r w:rsidRPr="00AF74D7">
        <w:rPr>
          <w:sz w:val="24"/>
          <w:szCs w:val="24"/>
          <w:lang w:val="sv-SE" w:eastAsia="en-US"/>
        </w:rPr>
        <w:t>ne</w:t>
      </w:r>
      <w:r w:rsidR="00484ABF">
        <w:rPr>
          <w:sz w:val="24"/>
          <w:szCs w:val="24"/>
          <w:lang w:val="sv-SE" w:eastAsia="en-US"/>
        </w:rPr>
        <w:t xml:space="preserve">rgetikos </w:t>
      </w:r>
      <w:r w:rsidR="00543FE9">
        <w:rPr>
          <w:sz w:val="24"/>
          <w:szCs w:val="24"/>
          <w:lang w:val="sv-SE" w:eastAsia="en-US"/>
        </w:rPr>
        <w:t>reguliavimo taryba</w:t>
      </w:r>
      <w:r w:rsidR="00484ABF">
        <w:rPr>
          <w:sz w:val="24"/>
          <w:szCs w:val="24"/>
          <w:lang w:val="sv-SE" w:eastAsia="en-US"/>
        </w:rPr>
        <w:t xml:space="preserve"> 202</w:t>
      </w:r>
      <w:r w:rsidR="00374645">
        <w:rPr>
          <w:sz w:val="24"/>
          <w:szCs w:val="24"/>
          <w:lang w:val="sv-SE" w:eastAsia="en-US"/>
        </w:rPr>
        <w:t>1</w:t>
      </w:r>
      <w:r w:rsidRPr="00AF74D7">
        <w:rPr>
          <w:sz w:val="24"/>
          <w:szCs w:val="24"/>
          <w:lang w:val="sv-SE" w:eastAsia="en-US"/>
        </w:rPr>
        <w:t xml:space="preserve"> m. </w:t>
      </w:r>
      <w:r w:rsidR="00374645">
        <w:rPr>
          <w:sz w:val="24"/>
          <w:szCs w:val="24"/>
          <w:lang w:val="sv-SE" w:eastAsia="en-US"/>
        </w:rPr>
        <w:t>lapkričio</w:t>
      </w:r>
      <w:r w:rsidRPr="00AF74D7">
        <w:rPr>
          <w:sz w:val="24"/>
          <w:szCs w:val="24"/>
          <w:lang w:val="sv-SE" w:eastAsia="en-US"/>
        </w:rPr>
        <w:t xml:space="preserve"> </w:t>
      </w:r>
      <w:r w:rsidR="00374645">
        <w:rPr>
          <w:sz w:val="24"/>
          <w:szCs w:val="24"/>
          <w:lang w:val="sv-SE" w:eastAsia="en-US"/>
        </w:rPr>
        <w:t>29</w:t>
      </w:r>
      <w:r w:rsidRPr="00AF74D7">
        <w:rPr>
          <w:sz w:val="24"/>
          <w:szCs w:val="24"/>
          <w:lang w:val="sv-SE" w:eastAsia="en-US"/>
        </w:rPr>
        <w:t xml:space="preserve"> d. nutarimu </w:t>
      </w:r>
      <w:r>
        <w:rPr>
          <w:sz w:val="24"/>
          <w:szCs w:val="24"/>
          <w:lang w:val="sv-SE" w:eastAsia="en-US"/>
        </w:rPr>
        <w:br/>
      </w:r>
      <w:r w:rsidRPr="00AF74D7">
        <w:rPr>
          <w:sz w:val="24"/>
          <w:szCs w:val="24"/>
          <w:lang w:val="sv-SE" w:eastAsia="en-US"/>
        </w:rPr>
        <w:t>Nr. O3E-</w:t>
      </w:r>
      <w:r w:rsidR="00374645">
        <w:rPr>
          <w:sz w:val="24"/>
          <w:szCs w:val="24"/>
          <w:lang w:val="sv-SE" w:eastAsia="en-US"/>
        </w:rPr>
        <w:t>1599</w:t>
      </w:r>
      <w:r w:rsidRPr="00AF74D7">
        <w:rPr>
          <w:sz w:val="24"/>
          <w:szCs w:val="24"/>
          <w:lang w:val="sv-SE" w:eastAsia="en-US"/>
        </w:rPr>
        <w:t xml:space="preserve"> „Dėl </w:t>
      </w:r>
      <w:r w:rsidR="00543FE9">
        <w:rPr>
          <w:sz w:val="24"/>
          <w:szCs w:val="24"/>
          <w:lang w:val="sv-SE" w:eastAsia="en-US"/>
        </w:rPr>
        <w:t>UAB</w:t>
      </w:r>
      <w:r w:rsidRPr="00AF74D7">
        <w:rPr>
          <w:sz w:val="24"/>
          <w:szCs w:val="24"/>
          <w:lang w:val="sv-SE" w:eastAsia="en-US"/>
        </w:rPr>
        <w:t xml:space="preserve"> „Aukštaitijos vandenys“ </w:t>
      </w:r>
      <w:r w:rsidR="00543FE9">
        <w:rPr>
          <w:sz w:val="24"/>
          <w:szCs w:val="24"/>
          <w:lang w:val="sv-SE" w:eastAsia="en-US"/>
        </w:rPr>
        <w:t xml:space="preserve">perskaičiuotų </w:t>
      </w:r>
      <w:r w:rsidRPr="00AF74D7">
        <w:rPr>
          <w:sz w:val="24"/>
          <w:szCs w:val="24"/>
          <w:lang w:val="sv-SE" w:eastAsia="en-US"/>
        </w:rPr>
        <w:t>geriamojo vandens tiekimo ir nuotekų tvarkymo paslaugų bazinių kainų derinimo“</w:t>
      </w:r>
      <w:r w:rsidR="00374645">
        <w:rPr>
          <w:sz w:val="24"/>
          <w:szCs w:val="24"/>
          <w:lang w:val="sv-SE" w:eastAsia="en-US"/>
        </w:rPr>
        <w:t xml:space="preserve"> ir </w:t>
      </w:r>
      <w:r w:rsidR="00374645">
        <w:rPr>
          <w:sz w:val="24"/>
          <w:szCs w:val="24"/>
        </w:rPr>
        <w:t>2021</w:t>
      </w:r>
      <w:r w:rsidR="00374645" w:rsidRPr="003C6EC4">
        <w:rPr>
          <w:sz w:val="24"/>
          <w:szCs w:val="24"/>
        </w:rPr>
        <w:t xml:space="preserve"> m. </w:t>
      </w:r>
      <w:r w:rsidR="00374645">
        <w:rPr>
          <w:sz w:val="24"/>
          <w:szCs w:val="24"/>
        </w:rPr>
        <w:t>gruodžio 3</w:t>
      </w:r>
      <w:r w:rsidR="00374645" w:rsidRPr="003C6EC4">
        <w:rPr>
          <w:sz w:val="24"/>
          <w:szCs w:val="24"/>
        </w:rPr>
        <w:t xml:space="preserve"> d. nutarimu Nr. O3E-</w:t>
      </w:r>
      <w:r w:rsidR="00374645">
        <w:rPr>
          <w:sz w:val="24"/>
          <w:szCs w:val="24"/>
        </w:rPr>
        <w:t>1641</w:t>
      </w:r>
      <w:r w:rsidR="00374645" w:rsidRPr="003C6EC4">
        <w:rPr>
          <w:sz w:val="24"/>
          <w:szCs w:val="24"/>
        </w:rPr>
        <w:t xml:space="preserve"> „</w:t>
      </w:r>
      <w:r w:rsidR="00374645">
        <w:rPr>
          <w:sz w:val="24"/>
          <w:szCs w:val="24"/>
        </w:rPr>
        <w:t>Dėl Valstybinės energetikos reguliavimo tarybos 2021 m. lapkričio 29 d. nutarimo Nr. O3E-1599 „</w:t>
      </w:r>
      <w:r w:rsidR="00374645" w:rsidRPr="003C6EC4">
        <w:rPr>
          <w:sz w:val="24"/>
          <w:szCs w:val="24"/>
        </w:rPr>
        <w:t xml:space="preserve">Dėl </w:t>
      </w:r>
      <w:r w:rsidR="00374645">
        <w:rPr>
          <w:sz w:val="24"/>
          <w:szCs w:val="24"/>
        </w:rPr>
        <w:t>UAB „Aukštaitijos vandenys“</w:t>
      </w:r>
      <w:r w:rsidR="00374645" w:rsidRPr="003C6EC4">
        <w:rPr>
          <w:sz w:val="24"/>
          <w:szCs w:val="24"/>
        </w:rPr>
        <w:t xml:space="preserve"> </w:t>
      </w:r>
      <w:r w:rsidR="00374645">
        <w:rPr>
          <w:sz w:val="24"/>
          <w:szCs w:val="24"/>
        </w:rPr>
        <w:t xml:space="preserve">perskaičiuotų </w:t>
      </w:r>
      <w:r w:rsidR="00374645" w:rsidRPr="003C6EC4">
        <w:rPr>
          <w:sz w:val="24"/>
          <w:szCs w:val="24"/>
        </w:rPr>
        <w:t>geriamojo vandens tiekimo ir nuotekų tvarkymo paslaugų bazinių kainų derinimo“</w:t>
      </w:r>
      <w:r w:rsidR="00374645">
        <w:rPr>
          <w:sz w:val="24"/>
          <w:szCs w:val="24"/>
        </w:rPr>
        <w:t xml:space="preserve"> pakeitimo “</w:t>
      </w:r>
      <w:r w:rsidRPr="00AF74D7">
        <w:rPr>
          <w:sz w:val="24"/>
          <w:szCs w:val="24"/>
          <w:lang w:val="sv-SE" w:eastAsia="en-US"/>
        </w:rPr>
        <w:t xml:space="preserve"> </w:t>
      </w:r>
      <w:r w:rsidR="00DF7501">
        <w:rPr>
          <w:sz w:val="24"/>
          <w:szCs w:val="24"/>
          <w:lang w:val="sv-SE" w:eastAsia="en-US"/>
        </w:rPr>
        <w:t>suderino</w:t>
      </w:r>
      <w:r w:rsidR="00061400">
        <w:rPr>
          <w:sz w:val="24"/>
          <w:szCs w:val="24"/>
          <w:lang w:val="sv-SE" w:eastAsia="en-US"/>
        </w:rPr>
        <w:t xml:space="preserve"> </w:t>
      </w:r>
      <w:r w:rsidR="00543FE9">
        <w:rPr>
          <w:sz w:val="24"/>
          <w:szCs w:val="24"/>
          <w:lang w:val="sv-SE" w:eastAsia="en-US"/>
        </w:rPr>
        <w:t>perskaičiuot</w:t>
      </w:r>
      <w:r w:rsidR="00B073AB">
        <w:rPr>
          <w:sz w:val="24"/>
          <w:szCs w:val="24"/>
          <w:lang w:val="sv-SE" w:eastAsia="en-US"/>
        </w:rPr>
        <w:t>a</w:t>
      </w:r>
      <w:r w:rsidR="00543FE9">
        <w:rPr>
          <w:sz w:val="24"/>
          <w:szCs w:val="24"/>
          <w:lang w:val="sv-SE" w:eastAsia="en-US"/>
        </w:rPr>
        <w:t xml:space="preserve">s </w:t>
      </w:r>
      <w:r w:rsidR="00C47DE8" w:rsidRPr="00566154">
        <w:rPr>
          <w:sz w:val="24"/>
          <w:szCs w:val="24"/>
          <w:lang w:val="sv-SE" w:eastAsia="en-US"/>
        </w:rPr>
        <w:t xml:space="preserve">geriamojo vandens tiekimo ir nuotekų tvarkymo paslaugų </w:t>
      </w:r>
      <w:r w:rsidR="0033141A" w:rsidRPr="00566154">
        <w:rPr>
          <w:sz w:val="24"/>
          <w:szCs w:val="24"/>
          <w:lang w:val="sv-SE" w:eastAsia="en-US"/>
        </w:rPr>
        <w:t>bazin</w:t>
      </w:r>
      <w:r w:rsidR="00B073AB">
        <w:rPr>
          <w:sz w:val="24"/>
          <w:szCs w:val="24"/>
          <w:lang w:val="sv-SE" w:eastAsia="en-US"/>
        </w:rPr>
        <w:t>e</w:t>
      </w:r>
      <w:r w:rsidR="00C47DE8" w:rsidRPr="00566154">
        <w:rPr>
          <w:sz w:val="24"/>
          <w:szCs w:val="24"/>
          <w:lang w:val="sv-SE" w:eastAsia="en-US"/>
        </w:rPr>
        <w:t>s kai</w:t>
      </w:r>
      <w:r w:rsidR="0033141A" w:rsidRPr="00566154">
        <w:rPr>
          <w:sz w:val="24"/>
          <w:szCs w:val="24"/>
          <w:lang w:val="sv-SE" w:eastAsia="en-US"/>
        </w:rPr>
        <w:t>n</w:t>
      </w:r>
      <w:r w:rsidR="00B073AB">
        <w:rPr>
          <w:sz w:val="24"/>
          <w:szCs w:val="24"/>
          <w:lang w:val="sv-SE" w:eastAsia="en-US"/>
        </w:rPr>
        <w:t>a</w:t>
      </w:r>
      <w:r w:rsidR="00C47DE8" w:rsidRPr="00566154">
        <w:rPr>
          <w:sz w:val="24"/>
          <w:szCs w:val="24"/>
          <w:lang w:val="sv-SE" w:eastAsia="en-US"/>
        </w:rPr>
        <w:t>s (be PVM).</w:t>
      </w:r>
    </w:p>
    <w:p w:rsidR="009E62B2" w:rsidRPr="00DA7710" w:rsidRDefault="00DA7710" w:rsidP="00DA7710">
      <w:pPr>
        <w:suppressAutoHyphens w:val="0"/>
        <w:ind w:firstLine="1296"/>
        <w:jc w:val="both"/>
        <w:rPr>
          <w:sz w:val="24"/>
          <w:szCs w:val="24"/>
          <w:lang w:eastAsia="en-US"/>
        </w:rPr>
      </w:pPr>
      <w:r w:rsidRPr="00DA7710">
        <w:rPr>
          <w:sz w:val="24"/>
          <w:szCs w:val="24"/>
          <w:lang w:eastAsia="en-US"/>
        </w:rPr>
        <w:t>G</w:t>
      </w:r>
      <w:r w:rsidR="003F0897" w:rsidRPr="00DA7710">
        <w:rPr>
          <w:sz w:val="24"/>
          <w:szCs w:val="24"/>
          <w:lang w:eastAsia="en-US"/>
        </w:rPr>
        <w:t xml:space="preserve">aliojančių ir </w:t>
      </w:r>
      <w:r w:rsidR="008C4F12" w:rsidRPr="00DA7710">
        <w:rPr>
          <w:sz w:val="24"/>
          <w:szCs w:val="24"/>
          <w:lang w:eastAsia="en-US"/>
        </w:rPr>
        <w:t xml:space="preserve">suderintų kainų </w:t>
      </w:r>
      <w:r w:rsidR="005B18C8">
        <w:rPr>
          <w:sz w:val="24"/>
          <w:szCs w:val="24"/>
          <w:lang w:eastAsia="en-US"/>
        </w:rPr>
        <w:t xml:space="preserve">(be PVM) </w:t>
      </w:r>
      <w:r w:rsidR="003F0897" w:rsidRPr="00DA7710">
        <w:rPr>
          <w:sz w:val="24"/>
          <w:szCs w:val="24"/>
          <w:lang w:eastAsia="en-US"/>
        </w:rPr>
        <w:t>pokytis</w:t>
      </w:r>
      <w:r w:rsidR="00917046" w:rsidRPr="00DA7710">
        <w:rPr>
          <w:sz w:val="24"/>
          <w:szCs w:val="24"/>
          <w:lang w:eastAsia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559"/>
      </w:tblGrid>
      <w:tr w:rsidR="00EC6B6D" w:rsidRPr="00566154" w:rsidTr="008C4F12">
        <w:trPr>
          <w:trHeight w:val="835"/>
        </w:trPr>
        <w:tc>
          <w:tcPr>
            <w:tcW w:w="5382" w:type="dxa"/>
            <w:shd w:val="clear" w:color="auto" w:fill="auto"/>
          </w:tcPr>
          <w:p w:rsidR="00EC6B6D" w:rsidRPr="00566154" w:rsidRDefault="00EC6B6D" w:rsidP="00517C9F">
            <w:pPr>
              <w:suppressAutoHyphens w:val="0"/>
              <w:jc w:val="both"/>
              <w:rPr>
                <w:sz w:val="24"/>
                <w:szCs w:val="24"/>
                <w:lang w:val="sv-SE"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Rodiklis</w:t>
            </w:r>
          </w:p>
        </w:tc>
        <w:tc>
          <w:tcPr>
            <w:tcW w:w="1417" w:type="dxa"/>
            <w:shd w:val="clear" w:color="auto" w:fill="auto"/>
          </w:tcPr>
          <w:p w:rsidR="00EC6B6D" w:rsidRPr="00566154" w:rsidRDefault="00EC6B6D" w:rsidP="008C4F12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Galiojanti</w:t>
            </w:r>
            <w:r w:rsidR="00537F3E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  <w:r w:rsidR="008C4F12">
              <w:rPr>
                <w:sz w:val="24"/>
                <w:szCs w:val="24"/>
                <w:lang w:eastAsia="en-US"/>
              </w:rPr>
              <w:t xml:space="preserve"> Eur/m³</w:t>
            </w:r>
          </w:p>
        </w:tc>
        <w:tc>
          <w:tcPr>
            <w:tcW w:w="1276" w:type="dxa"/>
          </w:tcPr>
          <w:p w:rsidR="00EC6B6D" w:rsidRDefault="00EC6B6D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Projektinė</w:t>
            </w:r>
            <w:r w:rsidRPr="00566154">
              <w:rPr>
                <w:sz w:val="24"/>
                <w:szCs w:val="24"/>
                <w:lang w:eastAsia="en-US"/>
              </w:rPr>
              <w:t xml:space="preserve"> </w:t>
            </w:r>
            <w:r w:rsidR="008C4F12">
              <w:rPr>
                <w:sz w:val="24"/>
                <w:szCs w:val="24"/>
                <w:lang w:eastAsia="en-US"/>
              </w:rPr>
              <w:t>k</w:t>
            </w:r>
            <w:r w:rsidRPr="00566154">
              <w:rPr>
                <w:sz w:val="24"/>
                <w:szCs w:val="24"/>
                <w:lang w:eastAsia="en-US"/>
              </w:rPr>
              <w:t>aina</w:t>
            </w:r>
          </w:p>
          <w:p w:rsidR="008C4F12" w:rsidRPr="00566154" w:rsidRDefault="008C4F12" w:rsidP="00EC6B6D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  <w:tc>
          <w:tcPr>
            <w:tcW w:w="1559" w:type="dxa"/>
            <w:shd w:val="clear" w:color="auto" w:fill="auto"/>
          </w:tcPr>
          <w:p w:rsidR="00EC6B6D" w:rsidRDefault="00EC6B6D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566154">
              <w:rPr>
                <w:sz w:val="24"/>
                <w:szCs w:val="24"/>
                <w:lang w:eastAsia="en-US"/>
              </w:rPr>
              <w:t>P</w:t>
            </w:r>
            <w:r w:rsidR="0088601D">
              <w:rPr>
                <w:sz w:val="24"/>
                <w:szCs w:val="24"/>
                <w:lang w:eastAsia="en-US"/>
              </w:rPr>
              <w:t xml:space="preserve">adidėjimas, sumažėjimas </w:t>
            </w:r>
          </w:p>
          <w:p w:rsidR="008C4F12" w:rsidRPr="00566154" w:rsidRDefault="008C4F12" w:rsidP="00517C9F">
            <w:p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Eur/m³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 vartotojams, kuriems vanduo apskaitomas bute,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1,31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1,54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0,23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0,56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0,62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0,17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079FE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0,28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0</w:t>
            </w:r>
            <w:bookmarkStart w:id="3" w:name="_GoBack"/>
            <w:bookmarkEnd w:id="3"/>
            <w:r>
              <w:rPr>
                <w:sz w:val="24"/>
                <w:szCs w:val="24"/>
                <w:lang w:eastAsia="en-US"/>
              </w:rPr>
              <w:t>,06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nuotekų dumblo tvarkymo</w:t>
            </w:r>
          </w:p>
        </w:tc>
        <w:tc>
          <w:tcPr>
            <w:tcW w:w="1417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0,20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0,07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Geriamojo vandens tiekimo ir nuotekų tvarkymo paslaugų kainos 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individualių gyvenamųjų namų 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abonentams,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1,28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1,51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0,23</w:t>
            </w:r>
          </w:p>
        </w:tc>
      </w:tr>
      <w:tr w:rsidR="00357B46" w:rsidRPr="00566154" w:rsidTr="000A77EF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0,55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0,61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0,73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0,90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0,17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0,33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0,26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0,07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b/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kainos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perkantiems geriamojo vandens tiekimo ir nuotekų tvarkymo paslaugas buities ir komerciniams poreikiams bei perkantiems geriamąjį vandenį, skirtą karštam vandeniui ruošti, ir tiekimą abonentams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1,35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0,23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0,63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0,72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0,89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0,17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 xml:space="preserve">nuotekų surinkimo 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2A2362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6D2574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BC685B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276" w:type="dxa"/>
          </w:tcPr>
          <w:p w:rsidR="00357B46" w:rsidRPr="00566154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0,26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0,07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Geriamojo vandens tiekimo ir nuotekų tvarkymo paslaugų kain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ą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>abonentams,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perkantiems vandenį patalpoms šildyti, ir tiekimą vartotojams ir abonentams bei geriamąjį vandenį, skirtą karštam vandeniui ruošti, ir tiekimą vartotojams ir </w:t>
            </w:r>
            <w:r w:rsidRPr="00DA7710">
              <w:rPr>
                <w:color w:val="000000"/>
                <w:sz w:val="24"/>
                <w:szCs w:val="24"/>
                <w:lang w:eastAsia="lt-LT"/>
              </w:rPr>
              <w:t xml:space="preserve">vartotojų </w:t>
            </w:r>
            <w:r>
              <w:rPr>
                <w:color w:val="000000"/>
                <w:sz w:val="24"/>
                <w:szCs w:val="24"/>
                <w:lang w:eastAsia="lt-LT"/>
              </w:rPr>
              <w:t>kategorijai, atsiskaitančiai daugiabučio namo įvade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, Eur/m</w:t>
            </w:r>
            <w:r w:rsidRPr="00566154">
              <w:rPr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1,26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1,49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0,33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566154">
              <w:rPr>
                <w:color w:val="000000"/>
                <w:sz w:val="24"/>
                <w:szCs w:val="24"/>
                <w:lang w:eastAsia="lt-LT"/>
              </w:rPr>
              <w:t>eriamojo vandens tiekimo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0,54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0,60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tvarkymo: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0,72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0,89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0,17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surinkimo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0,32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FE6B10"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0,04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566154">
              <w:rPr>
                <w:color w:val="000000"/>
                <w:sz w:val="24"/>
                <w:szCs w:val="24"/>
                <w:lang w:eastAsia="lt-LT"/>
              </w:rPr>
              <w:t>nuotekų valymo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0,21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0,06</w:t>
            </w:r>
          </w:p>
        </w:tc>
      </w:tr>
      <w:tr w:rsidR="00357B46" w:rsidRPr="00566154" w:rsidTr="008C4F12">
        <w:tc>
          <w:tcPr>
            <w:tcW w:w="5382" w:type="dxa"/>
            <w:shd w:val="clear" w:color="auto" w:fill="auto"/>
          </w:tcPr>
          <w:p w:rsidR="00357B46" w:rsidRPr="00566154" w:rsidRDefault="00357B46" w:rsidP="00357B46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FE6B10">
              <w:rPr>
                <w:color w:val="000000"/>
                <w:sz w:val="24"/>
                <w:szCs w:val="24"/>
                <w:lang w:eastAsia="lt-LT"/>
              </w:rPr>
              <w:t>nuotekų dumblo tvarkymo</w:t>
            </w:r>
          </w:p>
        </w:tc>
        <w:tc>
          <w:tcPr>
            <w:tcW w:w="1417" w:type="dxa"/>
            <w:shd w:val="clear" w:color="auto" w:fill="auto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0,19</w:t>
            </w:r>
          </w:p>
        </w:tc>
        <w:tc>
          <w:tcPr>
            <w:tcW w:w="1276" w:type="dxa"/>
          </w:tcPr>
          <w:p w:rsidR="00357B46" w:rsidRDefault="00357B46" w:rsidP="00357B46">
            <w:pPr>
              <w:suppressAutoHyphens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0,26</w:t>
            </w:r>
          </w:p>
        </w:tc>
        <w:tc>
          <w:tcPr>
            <w:tcW w:w="1559" w:type="dxa"/>
            <w:shd w:val="clear" w:color="auto" w:fill="auto"/>
          </w:tcPr>
          <w:p w:rsidR="00357B46" w:rsidRPr="00566154" w:rsidRDefault="00357B46" w:rsidP="00DD13A8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</w:t>
            </w:r>
            <w:r w:rsidR="00DD13A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0,07</w:t>
            </w:r>
          </w:p>
        </w:tc>
      </w:tr>
    </w:tbl>
    <w:p w:rsidR="0027704E" w:rsidRPr="0027704E" w:rsidRDefault="00A86ED2" w:rsidP="00B073AB">
      <w:pPr>
        <w:shd w:val="clear" w:color="auto" w:fill="FFFFFF"/>
        <w:suppressAutoHyphens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val="sv-SE" w:eastAsia="en-US"/>
        </w:rPr>
        <w:tab/>
      </w:r>
      <w:r w:rsidR="00357B46" w:rsidRPr="00EE0C69">
        <w:rPr>
          <w:color w:val="000000"/>
          <w:sz w:val="24"/>
          <w:szCs w:val="24"/>
          <w:bdr w:val="none" w:sz="0" w:space="0" w:color="auto" w:frame="1"/>
          <w:lang w:eastAsia="lt-LT"/>
        </w:rPr>
        <w:t>UAB „Aukštaitijos vandenys“ kaina keičiasi dėl išaugusių nusidėvėjimo bei nuotekų dumblo tvarkymui būtinų eksploatacinių sąnaudų, didesnių gamtos išteklių ir aplinkos taršos mokesčių,  pasikeitusio darbo užmokesčio fondo ir kt.</w:t>
      </w:r>
    </w:p>
    <w:p w:rsidR="004D26D6" w:rsidRPr="00D22A49" w:rsidRDefault="00C47DE8" w:rsidP="004D26D6">
      <w:pPr>
        <w:ind w:left="709"/>
        <w:jc w:val="both"/>
        <w:rPr>
          <w:b/>
          <w:sz w:val="24"/>
          <w:szCs w:val="24"/>
        </w:rPr>
      </w:pPr>
      <w:r w:rsidRPr="00566154">
        <w:rPr>
          <w:sz w:val="24"/>
          <w:szCs w:val="24"/>
          <w:lang w:val="sv-SE" w:eastAsia="en-US"/>
        </w:rPr>
        <w:tab/>
      </w:r>
      <w:r w:rsidR="004D26D6" w:rsidRPr="00D22A49">
        <w:rPr>
          <w:b/>
          <w:sz w:val="24"/>
          <w:szCs w:val="24"/>
        </w:rPr>
        <w:t>3</w:t>
      </w:r>
      <w:r w:rsidR="004D26D6" w:rsidRPr="00D22A49">
        <w:rPr>
          <w:sz w:val="24"/>
          <w:szCs w:val="24"/>
        </w:rPr>
        <w:t xml:space="preserve">. </w:t>
      </w:r>
      <w:r w:rsidR="004D26D6" w:rsidRPr="00D22A49">
        <w:rPr>
          <w:b/>
          <w:sz w:val="24"/>
          <w:szCs w:val="24"/>
        </w:rPr>
        <w:t>Laukiami rezultatai</w:t>
      </w:r>
    </w:p>
    <w:p w:rsidR="004D26D6" w:rsidRPr="00C846DE" w:rsidRDefault="004D26D6" w:rsidP="004D26D6">
      <w:pPr>
        <w:jc w:val="both"/>
        <w:rPr>
          <w:sz w:val="24"/>
          <w:szCs w:val="24"/>
        </w:rPr>
      </w:pPr>
      <w:r w:rsidRPr="00D22A49">
        <w:rPr>
          <w:sz w:val="24"/>
          <w:szCs w:val="24"/>
        </w:rPr>
        <w:tab/>
      </w:r>
      <w:r w:rsidRPr="00C846DE">
        <w:rPr>
          <w:sz w:val="24"/>
          <w:szCs w:val="24"/>
        </w:rPr>
        <w:t xml:space="preserve"> </w:t>
      </w:r>
      <w:r w:rsidR="00C846DE" w:rsidRPr="00C846DE">
        <w:rPr>
          <w:sz w:val="24"/>
          <w:szCs w:val="24"/>
        </w:rPr>
        <w:t>Nustačius UAB „</w:t>
      </w:r>
      <w:r w:rsidR="00B073AB">
        <w:rPr>
          <w:sz w:val="24"/>
          <w:szCs w:val="24"/>
        </w:rPr>
        <w:t>Aukštaitijos</w:t>
      </w:r>
      <w:r w:rsidR="00C846DE" w:rsidRPr="00C846DE">
        <w:rPr>
          <w:sz w:val="24"/>
          <w:szCs w:val="24"/>
        </w:rPr>
        <w:t xml:space="preserve"> vandenys“ perskaičiuotas geriamojo vandens tiekimo ir nuotekų tvarkymo paslaugų bazines kainas vandens tiekėjas </w:t>
      </w:r>
      <w:r w:rsidR="00C846DE" w:rsidRPr="00C846DE">
        <w:rPr>
          <w:bCs/>
          <w:sz w:val="24"/>
          <w:szCs w:val="24"/>
        </w:rPr>
        <w:t xml:space="preserve">gaus </w:t>
      </w:r>
      <w:r w:rsidR="00A95582" w:rsidRPr="00C846DE">
        <w:rPr>
          <w:bCs/>
          <w:sz w:val="24"/>
          <w:szCs w:val="24"/>
        </w:rPr>
        <w:t>sąnaudas atitinkančias</w:t>
      </w:r>
      <w:r w:rsidR="00A95582" w:rsidRPr="00C846DE">
        <w:rPr>
          <w:bCs/>
          <w:sz w:val="24"/>
          <w:szCs w:val="24"/>
        </w:rPr>
        <w:t xml:space="preserve"> </w:t>
      </w:r>
      <w:r w:rsidR="00C846DE" w:rsidRPr="00C846DE">
        <w:rPr>
          <w:bCs/>
          <w:sz w:val="24"/>
          <w:szCs w:val="24"/>
        </w:rPr>
        <w:t>pajamas už teikiamas paslaugas.</w:t>
      </w:r>
    </w:p>
    <w:p w:rsidR="004D26D6" w:rsidRPr="00C846DE" w:rsidRDefault="004D26D6" w:rsidP="004D26D6">
      <w:pPr>
        <w:ind w:left="709"/>
        <w:jc w:val="both"/>
        <w:rPr>
          <w:b/>
          <w:sz w:val="24"/>
          <w:szCs w:val="24"/>
        </w:rPr>
      </w:pPr>
      <w:r w:rsidRPr="00C846DE">
        <w:rPr>
          <w:color w:val="000000"/>
          <w:spacing w:val="-3"/>
          <w:sz w:val="24"/>
          <w:szCs w:val="24"/>
        </w:rPr>
        <w:tab/>
      </w:r>
      <w:r w:rsidRPr="00C846DE">
        <w:rPr>
          <w:b/>
          <w:color w:val="000000"/>
          <w:spacing w:val="-3"/>
          <w:sz w:val="24"/>
          <w:szCs w:val="24"/>
        </w:rPr>
        <w:t>4</w:t>
      </w:r>
      <w:r w:rsidRPr="00C846DE">
        <w:rPr>
          <w:color w:val="000000"/>
          <w:spacing w:val="-3"/>
          <w:sz w:val="24"/>
          <w:szCs w:val="24"/>
        </w:rPr>
        <w:t xml:space="preserve">. </w:t>
      </w:r>
      <w:r w:rsidRPr="00C846DE">
        <w:rPr>
          <w:b/>
          <w:sz w:val="24"/>
          <w:szCs w:val="24"/>
        </w:rPr>
        <w:t xml:space="preserve"> Lėšų poreikis ir šaltiniai</w:t>
      </w:r>
    </w:p>
    <w:p w:rsidR="004D26D6" w:rsidRDefault="004D26D6" w:rsidP="004D26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projektui įgyvendinti savivaldybės lėšų nereikės.</w:t>
      </w:r>
    </w:p>
    <w:p w:rsidR="004D26D6" w:rsidRPr="00D22A49" w:rsidRDefault="004D26D6" w:rsidP="004D26D6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4D26D6" w:rsidRPr="00D22A49" w:rsidRDefault="004D26D6" w:rsidP="004D26D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22A49">
        <w:rPr>
          <w:sz w:val="24"/>
          <w:szCs w:val="24"/>
        </w:rPr>
        <w:t>Nėra.</w:t>
      </w:r>
    </w:p>
    <w:p w:rsidR="001D2619" w:rsidRDefault="001D2619" w:rsidP="004D26D6">
      <w:pPr>
        <w:suppressAutoHyphens w:val="0"/>
        <w:jc w:val="both"/>
        <w:rPr>
          <w:sz w:val="24"/>
          <w:szCs w:val="24"/>
        </w:rPr>
      </w:pPr>
    </w:p>
    <w:p w:rsidR="00BB272B" w:rsidRPr="00566154" w:rsidRDefault="00BB272B" w:rsidP="00517C9F">
      <w:pPr>
        <w:jc w:val="both"/>
        <w:rPr>
          <w:sz w:val="24"/>
          <w:szCs w:val="24"/>
        </w:rPr>
      </w:pPr>
    </w:p>
    <w:p w:rsidR="00D301B5" w:rsidRDefault="00A86ED2" w:rsidP="00517C9F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           Aldona Čiegytė</w:t>
      </w:r>
    </w:p>
    <w:p w:rsidR="0027704E" w:rsidRDefault="0027704E">
      <w:pPr>
        <w:jc w:val="both"/>
        <w:rPr>
          <w:sz w:val="24"/>
          <w:szCs w:val="24"/>
        </w:rPr>
      </w:pPr>
    </w:p>
    <w:sectPr w:rsidR="0027704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E6BDA"/>
    <w:multiLevelType w:val="multilevel"/>
    <w:tmpl w:val="AF04AA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41175E2"/>
    <w:multiLevelType w:val="multilevel"/>
    <w:tmpl w:val="66345BA2"/>
    <w:lvl w:ilvl="0">
      <w:start w:val="1"/>
      <w:numFmt w:val="decimal"/>
      <w:lvlText w:val="%1.8."/>
      <w:lvlJc w:val="left"/>
      <w:pPr>
        <w:ind w:left="994" w:hanging="432"/>
      </w:pPr>
    </w:lvl>
    <w:lvl w:ilvl="1">
      <w:start w:val="1"/>
      <w:numFmt w:val="decimal"/>
      <w:lvlText w:val="%1.%2"/>
      <w:lvlJc w:val="left"/>
      <w:pPr>
        <w:ind w:left="1138" w:hanging="576"/>
      </w:pPr>
    </w:lvl>
    <w:lvl w:ilvl="2">
      <w:start w:val="1"/>
      <w:numFmt w:val="decimal"/>
      <w:lvlText w:val="%1.8.%3."/>
      <w:lvlJc w:val="left"/>
      <w:pPr>
        <w:ind w:left="1282" w:hanging="720"/>
      </w:pPr>
    </w:lvl>
    <w:lvl w:ilvl="3">
      <w:start w:val="1"/>
      <w:numFmt w:val="decimal"/>
      <w:lvlText w:val="%1.%2.%3.%4"/>
      <w:lvlJc w:val="left"/>
      <w:pPr>
        <w:ind w:left="1426" w:hanging="864"/>
      </w:pPr>
    </w:lvl>
    <w:lvl w:ilvl="4">
      <w:start w:val="1"/>
      <w:numFmt w:val="decimal"/>
      <w:lvlText w:val="%1.%2.%3.%4.%5"/>
      <w:lvlJc w:val="left"/>
      <w:pPr>
        <w:ind w:left="1570" w:hanging="1008"/>
      </w:pPr>
    </w:lvl>
    <w:lvl w:ilvl="5">
      <w:start w:val="1"/>
      <w:numFmt w:val="decimal"/>
      <w:lvlText w:val="%1.%2.%3.%4.%5.%6"/>
      <w:lvlJc w:val="left"/>
      <w:pPr>
        <w:ind w:left="1714" w:hanging="1152"/>
      </w:pPr>
    </w:lvl>
    <w:lvl w:ilvl="6">
      <w:start w:val="1"/>
      <w:numFmt w:val="decimal"/>
      <w:lvlText w:val="%1.%2.%3.%4.%5.%6.%7"/>
      <w:lvlJc w:val="left"/>
      <w:pPr>
        <w:ind w:left="1858" w:hanging="1296"/>
      </w:pPr>
    </w:lvl>
    <w:lvl w:ilvl="7">
      <w:start w:val="1"/>
      <w:numFmt w:val="decimal"/>
      <w:lvlText w:val="%1.%2.%3.%4.%5.%6.%7.%8"/>
      <w:lvlJc w:val="left"/>
      <w:pPr>
        <w:ind w:left="2002" w:hanging="1440"/>
      </w:pPr>
    </w:lvl>
    <w:lvl w:ilvl="8">
      <w:start w:val="1"/>
      <w:numFmt w:val="decimal"/>
      <w:lvlText w:val="%1.%2.%3.%4.%5.%6.%7.%8.%9"/>
      <w:lvlJc w:val="left"/>
      <w:pPr>
        <w:ind w:left="2146" w:hanging="1584"/>
      </w:pPr>
    </w:lvl>
  </w:abstractNum>
  <w:abstractNum w:abstractNumId="3" w15:restartNumberingAfterBreak="0">
    <w:nsid w:val="38585729"/>
    <w:multiLevelType w:val="multilevel"/>
    <w:tmpl w:val="AED0CC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42A201A5"/>
    <w:multiLevelType w:val="multilevel"/>
    <w:tmpl w:val="7DF0F3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4F564AF3"/>
    <w:multiLevelType w:val="multilevel"/>
    <w:tmpl w:val="322C21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8F"/>
    <w:rsid w:val="000079FE"/>
    <w:rsid w:val="00044683"/>
    <w:rsid w:val="00060329"/>
    <w:rsid w:val="00061400"/>
    <w:rsid w:val="000A496B"/>
    <w:rsid w:val="000B68CD"/>
    <w:rsid w:val="000C34A6"/>
    <w:rsid w:val="00110D26"/>
    <w:rsid w:val="00126215"/>
    <w:rsid w:val="00127B2A"/>
    <w:rsid w:val="00176963"/>
    <w:rsid w:val="001A1BFD"/>
    <w:rsid w:val="001D2619"/>
    <w:rsid w:val="001E1BA6"/>
    <w:rsid w:val="001E6B21"/>
    <w:rsid w:val="001F6B51"/>
    <w:rsid w:val="002309E3"/>
    <w:rsid w:val="0027704E"/>
    <w:rsid w:val="00277E7A"/>
    <w:rsid w:val="00283EC3"/>
    <w:rsid w:val="002A2362"/>
    <w:rsid w:val="002F36EF"/>
    <w:rsid w:val="00311079"/>
    <w:rsid w:val="003171AA"/>
    <w:rsid w:val="00323628"/>
    <w:rsid w:val="0033141A"/>
    <w:rsid w:val="00357B46"/>
    <w:rsid w:val="00362398"/>
    <w:rsid w:val="00374645"/>
    <w:rsid w:val="0037563B"/>
    <w:rsid w:val="003A12D1"/>
    <w:rsid w:val="003A571E"/>
    <w:rsid w:val="003A6791"/>
    <w:rsid w:val="003B03F1"/>
    <w:rsid w:val="003C6EC4"/>
    <w:rsid w:val="003D5155"/>
    <w:rsid w:val="003F0897"/>
    <w:rsid w:val="003F53A9"/>
    <w:rsid w:val="00484ABF"/>
    <w:rsid w:val="00491663"/>
    <w:rsid w:val="0049712B"/>
    <w:rsid w:val="004B5AC3"/>
    <w:rsid w:val="004D26D6"/>
    <w:rsid w:val="004F3A02"/>
    <w:rsid w:val="00516FB3"/>
    <w:rsid w:val="00517C9F"/>
    <w:rsid w:val="00537F3E"/>
    <w:rsid w:val="00541416"/>
    <w:rsid w:val="00543FE9"/>
    <w:rsid w:val="00566154"/>
    <w:rsid w:val="005839DF"/>
    <w:rsid w:val="005B18C8"/>
    <w:rsid w:val="006042E6"/>
    <w:rsid w:val="00634609"/>
    <w:rsid w:val="00636946"/>
    <w:rsid w:val="00652053"/>
    <w:rsid w:val="00672946"/>
    <w:rsid w:val="00677B2D"/>
    <w:rsid w:val="006A201A"/>
    <w:rsid w:val="006C0DE2"/>
    <w:rsid w:val="006C2895"/>
    <w:rsid w:val="006F14F1"/>
    <w:rsid w:val="007205A7"/>
    <w:rsid w:val="0075485E"/>
    <w:rsid w:val="007660D8"/>
    <w:rsid w:val="007C4A3E"/>
    <w:rsid w:val="007F7BFB"/>
    <w:rsid w:val="00802860"/>
    <w:rsid w:val="00803AA6"/>
    <w:rsid w:val="00842738"/>
    <w:rsid w:val="008570AF"/>
    <w:rsid w:val="0088601D"/>
    <w:rsid w:val="008977C6"/>
    <w:rsid w:val="008A2DC6"/>
    <w:rsid w:val="008B5ABE"/>
    <w:rsid w:val="008C2A7A"/>
    <w:rsid w:val="008C4F12"/>
    <w:rsid w:val="009069F0"/>
    <w:rsid w:val="00914E8B"/>
    <w:rsid w:val="00917046"/>
    <w:rsid w:val="009253F2"/>
    <w:rsid w:val="00953CC3"/>
    <w:rsid w:val="009B6BB0"/>
    <w:rsid w:val="009E62B2"/>
    <w:rsid w:val="00A120D1"/>
    <w:rsid w:val="00A16D16"/>
    <w:rsid w:val="00A27EBD"/>
    <w:rsid w:val="00A54A8D"/>
    <w:rsid w:val="00A7577B"/>
    <w:rsid w:val="00A76F12"/>
    <w:rsid w:val="00A86ED2"/>
    <w:rsid w:val="00A9028F"/>
    <w:rsid w:val="00A95582"/>
    <w:rsid w:val="00AB10B4"/>
    <w:rsid w:val="00AF74D7"/>
    <w:rsid w:val="00B073AB"/>
    <w:rsid w:val="00B545E4"/>
    <w:rsid w:val="00BB272B"/>
    <w:rsid w:val="00BB7EC4"/>
    <w:rsid w:val="00BC685B"/>
    <w:rsid w:val="00BD0F09"/>
    <w:rsid w:val="00C06A37"/>
    <w:rsid w:val="00C33CD7"/>
    <w:rsid w:val="00C36E07"/>
    <w:rsid w:val="00C47DE8"/>
    <w:rsid w:val="00C50528"/>
    <w:rsid w:val="00C64C77"/>
    <w:rsid w:val="00C6531F"/>
    <w:rsid w:val="00C815CC"/>
    <w:rsid w:val="00C846DE"/>
    <w:rsid w:val="00C97AD9"/>
    <w:rsid w:val="00CC34F4"/>
    <w:rsid w:val="00CD7D2C"/>
    <w:rsid w:val="00D10B6E"/>
    <w:rsid w:val="00D20FA4"/>
    <w:rsid w:val="00D301B5"/>
    <w:rsid w:val="00D32F53"/>
    <w:rsid w:val="00D47E5F"/>
    <w:rsid w:val="00D5006F"/>
    <w:rsid w:val="00D67D2E"/>
    <w:rsid w:val="00DA7710"/>
    <w:rsid w:val="00DC1366"/>
    <w:rsid w:val="00DD13A8"/>
    <w:rsid w:val="00DD454E"/>
    <w:rsid w:val="00DE43E8"/>
    <w:rsid w:val="00DE5923"/>
    <w:rsid w:val="00DF7501"/>
    <w:rsid w:val="00E32159"/>
    <w:rsid w:val="00E32A45"/>
    <w:rsid w:val="00E556CC"/>
    <w:rsid w:val="00E73ACE"/>
    <w:rsid w:val="00EC501F"/>
    <w:rsid w:val="00EC6B6D"/>
    <w:rsid w:val="00ED7D0E"/>
    <w:rsid w:val="00EE0C69"/>
    <w:rsid w:val="00F00026"/>
    <w:rsid w:val="00F05716"/>
    <w:rsid w:val="00F14F48"/>
    <w:rsid w:val="00F171BF"/>
    <w:rsid w:val="00F269B0"/>
    <w:rsid w:val="00F26AFF"/>
    <w:rsid w:val="00FB6373"/>
    <w:rsid w:val="00FC155D"/>
    <w:rsid w:val="00FD170C"/>
    <w:rsid w:val="00FD51AF"/>
    <w:rsid w:val="00FE39AB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ACD9C"/>
  <w15:chartTrackingRefBased/>
  <w15:docId w15:val="{3A73D6AC-70C2-464A-80D6-627911A6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customStyle="1" w:styleId="Numeravimosimboliai">
    <w:name w:val="Numeravimo simboliai"/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le">
    <w:name w:val="Title"/>
    <w:basedOn w:val="Antrat1"/>
    <w:next w:val="Subtitle"/>
    <w:qFormat/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440"/>
    </w:pPr>
    <w:rPr>
      <w:b/>
      <w:sz w:val="24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Normal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  <w:lang w:val="en-US"/>
    </w:r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Pagrindinistekstas3">
    <w:name w:val="Pagrindinis tekstas3"/>
    <w:basedOn w:val="Normal"/>
    <w:pPr>
      <w:widowControl w:val="0"/>
    </w:pPr>
    <w:rPr>
      <w:rFonts w:eastAsia="Calibri"/>
      <w:sz w:val="24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D26D6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character" w:customStyle="1" w:styleId="Internetosaitas">
    <w:name w:val="Interneto saitas"/>
    <w:rsid w:val="005839DF"/>
    <w:rPr>
      <w:color w:val="0563C1"/>
      <w:u w:val="single"/>
    </w:rPr>
  </w:style>
  <w:style w:type="character" w:customStyle="1" w:styleId="HTMLPreformattedChar">
    <w:name w:val="HTML Preformatted Char"/>
    <w:link w:val="HTMLPreformatted"/>
    <w:qFormat/>
    <w:rsid w:val="005839DF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0AE0464E0EDE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F09F3-90EB-4CF8-B72E-ADCAE40B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User</cp:lastModifiedBy>
  <cp:revision>3</cp:revision>
  <cp:lastPrinted>2020-10-20T07:32:00Z</cp:lastPrinted>
  <dcterms:created xsi:type="dcterms:W3CDTF">2021-12-08T13:03:00Z</dcterms:created>
  <dcterms:modified xsi:type="dcterms:W3CDTF">2021-12-08T13:04:00Z</dcterms:modified>
</cp:coreProperties>
</file>