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C5" w:rsidRDefault="00A213C5" w:rsidP="00A753CE">
      <w:pPr>
        <w:tabs>
          <w:tab w:val="left" w:pos="14656"/>
        </w:tabs>
        <w:rPr>
          <w:szCs w:val="24"/>
          <w:lang w:eastAsia="lt-LT"/>
        </w:rPr>
      </w:pPr>
    </w:p>
    <w:p w:rsidR="00180D17" w:rsidRDefault="00180D17" w:rsidP="00AC4CC2">
      <w:pPr>
        <w:tabs>
          <w:tab w:val="left" w:pos="14656"/>
        </w:tabs>
        <w:ind w:left="5760"/>
        <w:rPr>
          <w:szCs w:val="24"/>
          <w:lang w:eastAsia="lt-LT"/>
        </w:rPr>
      </w:pPr>
      <w:r>
        <w:rPr>
          <w:szCs w:val="24"/>
          <w:lang w:eastAsia="lt-LT"/>
        </w:rPr>
        <w:t>PRITARTA</w:t>
      </w:r>
    </w:p>
    <w:p w:rsidR="00670DD2" w:rsidRPr="00180D17" w:rsidRDefault="00670DD2" w:rsidP="00180D17">
      <w:pPr>
        <w:tabs>
          <w:tab w:val="left" w:pos="14656"/>
        </w:tabs>
        <w:ind w:left="5760"/>
        <w:rPr>
          <w:szCs w:val="24"/>
          <w:lang w:eastAsia="lt-LT"/>
        </w:rPr>
      </w:pPr>
      <w:r>
        <w:rPr>
          <w:bCs/>
          <w:szCs w:val="24"/>
          <w:lang w:eastAsia="lt-LT"/>
        </w:rPr>
        <w:t>Panevėžio rajono savivaldybės tarybos</w:t>
      </w:r>
    </w:p>
    <w:p w:rsidR="00A753CE" w:rsidRDefault="00670DD2" w:rsidP="00670DD2">
      <w:pPr>
        <w:tabs>
          <w:tab w:val="left" w:pos="14656"/>
        </w:tabs>
        <w:rPr>
          <w:bCs/>
          <w:szCs w:val="24"/>
          <w:lang w:eastAsia="lt-LT"/>
        </w:rPr>
      </w:pPr>
      <w:r>
        <w:rPr>
          <w:bCs/>
          <w:szCs w:val="24"/>
          <w:lang w:eastAsia="lt-LT"/>
        </w:rPr>
        <w:t xml:space="preserve">                                                                                             </w:t>
      </w:r>
      <w:r w:rsidR="00180D17">
        <w:rPr>
          <w:bCs/>
          <w:szCs w:val="24"/>
          <w:lang w:eastAsia="lt-LT"/>
        </w:rPr>
        <w:t xml:space="preserve">   </w:t>
      </w:r>
      <w:r>
        <w:rPr>
          <w:bCs/>
          <w:szCs w:val="24"/>
          <w:lang w:eastAsia="lt-LT"/>
        </w:rPr>
        <w:t>2021 m.</w:t>
      </w:r>
      <w:r w:rsidR="00A753CE">
        <w:rPr>
          <w:bCs/>
          <w:szCs w:val="24"/>
          <w:lang w:eastAsia="lt-LT"/>
        </w:rPr>
        <w:t xml:space="preserve"> gegužės 20 </w:t>
      </w:r>
      <w:r>
        <w:rPr>
          <w:bCs/>
          <w:szCs w:val="24"/>
          <w:lang w:eastAsia="lt-LT"/>
        </w:rPr>
        <w:t>d. sprendimu Nr.</w:t>
      </w:r>
      <w:r w:rsidR="00CF514E" w:rsidRPr="00CF514E">
        <w:rPr>
          <w:bCs/>
          <w:szCs w:val="24"/>
          <w:lang w:eastAsia="lt-LT"/>
        </w:rPr>
        <w:t xml:space="preserve"> </w:t>
      </w:r>
      <w:r w:rsidR="00CF514E">
        <w:rPr>
          <w:bCs/>
          <w:szCs w:val="24"/>
          <w:lang w:eastAsia="lt-LT"/>
        </w:rPr>
        <w:t>T-</w:t>
      </w:r>
      <w:bookmarkStart w:id="0" w:name="_GoBack"/>
      <w:bookmarkEnd w:id="0"/>
    </w:p>
    <w:p w:rsidR="003F1CC0" w:rsidRDefault="003F1CC0" w:rsidP="00670DD2">
      <w:pPr>
        <w:tabs>
          <w:tab w:val="left" w:pos="14656"/>
        </w:tabs>
        <w:rPr>
          <w:bCs/>
          <w:szCs w:val="24"/>
          <w:lang w:eastAsia="lt-LT"/>
        </w:rPr>
      </w:pP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670DD2" w:rsidRDefault="00232945" w:rsidP="003C6307">
      <w:pPr>
        <w:tabs>
          <w:tab w:val="left" w:pos="14656"/>
        </w:tabs>
        <w:jc w:val="center"/>
        <w:rPr>
          <w:rStyle w:val="fontstyle01"/>
          <w:b/>
        </w:rPr>
      </w:pPr>
      <w:r w:rsidRPr="00232945">
        <w:rPr>
          <w:rStyle w:val="fontstyle01"/>
          <w:b/>
        </w:rPr>
        <w:t>PANEV</w:t>
      </w:r>
      <w:r w:rsidRPr="00232945">
        <w:rPr>
          <w:rStyle w:val="fontstyle01"/>
          <w:rFonts w:hint="eastAsia"/>
          <w:b/>
        </w:rPr>
        <w:t>ĖŽ</w:t>
      </w:r>
      <w:r w:rsidRPr="00232945">
        <w:rPr>
          <w:rStyle w:val="fontstyle01"/>
          <w:b/>
        </w:rPr>
        <w:t>IO R. VEL</w:t>
      </w:r>
      <w:r w:rsidRPr="00232945">
        <w:rPr>
          <w:rStyle w:val="fontstyle01"/>
          <w:rFonts w:hint="eastAsia"/>
          <w:b/>
        </w:rPr>
        <w:t>Ž</w:t>
      </w:r>
      <w:r w:rsidRPr="00232945">
        <w:rPr>
          <w:rStyle w:val="fontstyle01"/>
          <w:b/>
        </w:rPr>
        <w:t>IO LOP</w:t>
      </w:r>
      <w:r w:rsidRPr="00232945">
        <w:rPr>
          <w:rStyle w:val="fontstyle01"/>
          <w:rFonts w:hint="eastAsia"/>
          <w:b/>
        </w:rPr>
        <w:t>Š</w:t>
      </w:r>
      <w:r w:rsidR="00B828B6">
        <w:rPr>
          <w:rStyle w:val="fontstyle01"/>
          <w:b/>
        </w:rPr>
        <w:t>ELIS</w:t>
      </w:r>
      <w:r w:rsidRPr="00232945">
        <w:rPr>
          <w:rStyle w:val="fontstyle01"/>
          <w:b/>
        </w:rPr>
        <w:t>-DAR</w:t>
      </w:r>
      <w:r w:rsidRPr="00232945">
        <w:rPr>
          <w:rStyle w:val="fontstyle01"/>
          <w:rFonts w:hint="eastAsia"/>
          <w:b/>
        </w:rPr>
        <w:t>Ž</w:t>
      </w:r>
      <w:r w:rsidR="00B828B6">
        <w:rPr>
          <w:rStyle w:val="fontstyle01"/>
          <w:b/>
        </w:rPr>
        <w:t>ELIS</w:t>
      </w:r>
      <w:r w:rsidRPr="00232945">
        <w:rPr>
          <w:rStyle w:val="fontstyle01"/>
          <w:b/>
        </w:rPr>
        <w:t xml:space="preserve"> </w:t>
      </w:r>
      <w:r w:rsidRPr="00232945">
        <w:rPr>
          <w:rStyle w:val="fontstyle01"/>
          <w:rFonts w:hint="eastAsia"/>
          <w:b/>
        </w:rPr>
        <w:t>„Š</w:t>
      </w:r>
      <w:r w:rsidRPr="00232945">
        <w:rPr>
          <w:rStyle w:val="fontstyle01"/>
          <w:b/>
        </w:rPr>
        <w:t>YPSEN</w:t>
      </w:r>
      <w:r w:rsidRPr="00232945">
        <w:rPr>
          <w:rStyle w:val="fontstyle01"/>
          <w:rFonts w:hint="eastAsia"/>
          <w:b/>
        </w:rPr>
        <w:t>Ė</w:t>
      </w:r>
      <w:r w:rsidRPr="00232945">
        <w:rPr>
          <w:rStyle w:val="fontstyle01"/>
          <w:b/>
        </w:rPr>
        <w:t>L</w:t>
      </w:r>
      <w:r w:rsidRPr="00232945">
        <w:rPr>
          <w:rStyle w:val="fontstyle01"/>
          <w:rFonts w:hint="eastAsia"/>
          <w:b/>
        </w:rPr>
        <w:t>Ė“</w:t>
      </w:r>
    </w:p>
    <w:p w:rsidR="00232945" w:rsidRPr="00232945" w:rsidRDefault="00232945" w:rsidP="003C6307">
      <w:pPr>
        <w:tabs>
          <w:tab w:val="left" w:pos="14656"/>
        </w:tabs>
        <w:jc w:val="center"/>
        <w:rPr>
          <w:rStyle w:val="fontstyle01"/>
          <w:b/>
        </w:rPr>
      </w:pPr>
    </w:p>
    <w:p w:rsidR="003C6307" w:rsidRPr="00A753CE" w:rsidRDefault="00B61603" w:rsidP="00A753CE">
      <w:pPr>
        <w:jc w:val="center"/>
        <w:rPr>
          <w:b/>
          <w:szCs w:val="24"/>
          <w:lang w:eastAsia="lt-LT"/>
        </w:rPr>
      </w:pPr>
      <w:r w:rsidRPr="00B61603">
        <w:rPr>
          <w:b/>
          <w:szCs w:val="24"/>
          <w:lang w:eastAsia="lt-LT"/>
        </w:rPr>
        <w:t>2020</w:t>
      </w:r>
      <w:r w:rsidR="003C6307">
        <w:rPr>
          <w:b/>
          <w:szCs w:val="24"/>
          <w:lang w:eastAsia="lt-LT"/>
        </w:rPr>
        <w:t xml:space="preserve"> </w:t>
      </w:r>
      <w:r w:rsidR="003C6307" w:rsidRPr="00DA4C2F">
        <w:rPr>
          <w:b/>
          <w:szCs w:val="24"/>
          <w:lang w:eastAsia="lt-LT"/>
        </w:rPr>
        <w:t>METŲ VEIKLOS ATASKAITA</w:t>
      </w:r>
    </w:p>
    <w:p w:rsidR="003C6307" w:rsidRPr="00A753CE" w:rsidRDefault="00B61603" w:rsidP="003C6307">
      <w:pPr>
        <w:jc w:val="center"/>
        <w:rPr>
          <w:szCs w:val="24"/>
          <w:lang w:eastAsia="lt-LT"/>
        </w:rPr>
      </w:pPr>
      <w:r w:rsidRPr="00A753CE">
        <w:rPr>
          <w:szCs w:val="24"/>
          <w:lang w:eastAsia="lt-LT"/>
        </w:rPr>
        <w:t>2021-04-26</w:t>
      </w:r>
    </w:p>
    <w:p w:rsidR="003C6307" w:rsidRPr="008E02FF" w:rsidRDefault="003C6307" w:rsidP="003C6307">
      <w:pPr>
        <w:rPr>
          <w:bCs/>
          <w:szCs w:val="24"/>
          <w:lang w:eastAsia="lt-LT"/>
        </w:rPr>
      </w:pPr>
    </w:p>
    <w:p w:rsidR="003F268F" w:rsidRDefault="003C6307" w:rsidP="00A213C5">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TableGrid"/>
        <w:tblW w:w="0" w:type="auto"/>
        <w:tblInd w:w="-147" w:type="dxa"/>
        <w:tblLook w:val="04A0" w:firstRow="1" w:lastRow="0" w:firstColumn="1" w:lastColumn="0" w:noHBand="0" w:noVBand="1"/>
      </w:tblPr>
      <w:tblGrid>
        <w:gridCol w:w="9894"/>
      </w:tblGrid>
      <w:tr w:rsidR="003F268F" w:rsidRPr="008E4072" w:rsidTr="003145E6">
        <w:tc>
          <w:tcPr>
            <w:tcW w:w="9894" w:type="dxa"/>
          </w:tcPr>
          <w:p w:rsidR="00232945" w:rsidRPr="008E4072" w:rsidRDefault="00232945" w:rsidP="00232945">
            <w:pPr>
              <w:jc w:val="both"/>
              <w:rPr>
                <w:rFonts w:eastAsia="Calibri"/>
                <w:color w:val="C00000"/>
                <w:sz w:val="24"/>
                <w:szCs w:val="24"/>
              </w:rPr>
            </w:pPr>
            <w:r w:rsidRPr="008E4072">
              <w:rPr>
                <w:sz w:val="24"/>
                <w:szCs w:val="24"/>
              </w:rPr>
              <w:t xml:space="preserve">2020–2022 metų lopšelio-darželio strateginio plano ir 2020 metų veiklos plano tikslai: siekti kokybiško bei efektyvaus ugdymo, remiantis patirtiniu ugdymu(si), bei </w:t>
            </w:r>
            <w:r w:rsidRPr="008E4072">
              <w:rPr>
                <w:rFonts w:eastAsia="Calibri"/>
                <w:sz w:val="24"/>
                <w:szCs w:val="24"/>
              </w:rPr>
              <w:t>siekti nuoseklaus socialinio pokyčio, vadovaujantis vertybinėmis nuostatomis.</w:t>
            </w:r>
          </w:p>
          <w:p w:rsidR="00232945" w:rsidRPr="008E4072" w:rsidRDefault="00232945" w:rsidP="00232945">
            <w:pPr>
              <w:jc w:val="both"/>
              <w:rPr>
                <w:rFonts w:eastAsia="Calibri"/>
                <w:bCs/>
                <w:sz w:val="24"/>
                <w:szCs w:val="24"/>
              </w:rPr>
            </w:pPr>
            <w:r w:rsidRPr="008E4072">
              <w:rPr>
                <w:rFonts w:eastAsia="Calibri"/>
                <w:sz w:val="24"/>
                <w:szCs w:val="24"/>
              </w:rPr>
              <w:t xml:space="preserve">Tikslingai planuojama ir veiksmingai įgyvendinama ugdomoji veikla, numatant aiškų, konkretų, pamatuojamą galutinį vaiko pasiekimų rezultatą. Ugdomosios veiklos atitinka siekiamus įgyvendinti uždavinius: </w:t>
            </w:r>
            <w:r w:rsidRPr="008E4072">
              <w:rPr>
                <w:bCs/>
                <w:sz w:val="24"/>
                <w:szCs w:val="24"/>
              </w:rPr>
              <w:t xml:space="preserve">organizuoti ugdymo procesą remiantis patirtiniu ugdymu(si), </w:t>
            </w:r>
            <w:r w:rsidRPr="008E4072">
              <w:rPr>
                <w:rFonts w:eastAsia="Calibri"/>
                <w:bCs/>
                <w:sz w:val="24"/>
                <w:szCs w:val="24"/>
              </w:rPr>
              <w:t>plėtoti visapusišką ugdymą(si) skatinančią ir mokymosi iš savo patirties įgalinančią aplinką. T</w:t>
            </w:r>
            <w:r w:rsidRPr="008E4072">
              <w:rPr>
                <w:sz w:val="24"/>
                <w:szCs w:val="24"/>
              </w:rPr>
              <w:t>aikomi įvairūs veiksmingi ugdymo(si) metodai ir būdai, skatinantys vaikus mokytis iš savo patirties,</w:t>
            </w:r>
            <w:r w:rsidRPr="008E4072">
              <w:rPr>
                <w:rFonts w:eastAsia="Calibri"/>
                <w:color w:val="000000"/>
                <w:sz w:val="24"/>
                <w:szCs w:val="24"/>
              </w:rPr>
              <w:t xml:space="preserve"> remiamasi STEAM mokymu. </w:t>
            </w:r>
            <w:r w:rsidRPr="008E4072">
              <w:rPr>
                <w:sz w:val="24"/>
                <w:szCs w:val="24"/>
              </w:rPr>
              <w:t>Esant C</w:t>
            </w:r>
            <w:r w:rsidR="00E62663" w:rsidRPr="008E4072">
              <w:rPr>
                <w:sz w:val="24"/>
                <w:szCs w:val="24"/>
              </w:rPr>
              <w:t>OVID</w:t>
            </w:r>
            <w:r w:rsidRPr="008E4072">
              <w:rPr>
                <w:sz w:val="24"/>
                <w:szCs w:val="24"/>
              </w:rPr>
              <w:t>-19 ligos pandeminei situacijai ugdymo procesas buvo organizuojamas nuotoliniu būdu, panaudojant programėles „Paint“, „Power direct“, „Padlet“, v</w:t>
            </w:r>
            <w:r w:rsidR="00F67F2D" w:rsidRPr="008E4072">
              <w:rPr>
                <w:sz w:val="24"/>
                <w:szCs w:val="24"/>
              </w:rPr>
              <w:t>aizd</w:t>
            </w:r>
            <w:r w:rsidRPr="008E4072">
              <w:rPr>
                <w:sz w:val="24"/>
                <w:szCs w:val="24"/>
              </w:rPr>
              <w:t xml:space="preserve">o konferencijų sistemą „Zoom“, bet įgyvendinta tik 25 proc. numatytų priemonių ugdymui netradicinėje aplinkoje. Komandinio darbo ir mokytojų bendruomenės sutelktumo rezultatas – 93 proc. tėvų (globėjų) sistemingai naudojosi elektroniniu dienynu „Mūsų darželis“, 79 proc. tėvų (globėjų) sistemingai teikė grįžtamąjį ryšį mokytojams. </w:t>
            </w:r>
            <w:r w:rsidRPr="008E4072">
              <w:rPr>
                <w:rFonts w:eastAsia="Calibri"/>
                <w:bCs/>
                <w:sz w:val="24"/>
                <w:szCs w:val="24"/>
              </w:rPr>
              <w:t xml:space="preserve">Ugdymo turinį 70 proc. mokytojų parenka atsižvelgdami į vaikų poreikius, interesus, gabumus ir galimybes, derina individualų, grupelių ir visos grupės veiklą. </w:t>
            </w:r>
          </w:p>
          <w:p w:rsidR="00232945" w:rsidRPr="008E4072" w:rsidRDefault="00232945" w:rsidP="00232945">
            <w:pPr>
              <w:jc w:val="both"/>
              <w:rPr>
                <w:sz w:val="24"/>
                <w:szCs w:val="24"/>
              </w:rPr>
            </w:pPr>
            <w:r w:rsidRPr="008E4072">
              <w:rPr>
                <w:sz w:val="24"/>
                <w:szCs w:val="24"/>
              </w:rPr>
              <w:t xml:space="preserve">85 proc. mokytojų taiko įvairius ir veiksmingus patirtinio ugdymo(si) metodus. Atliekamas mokytojų sukurtos </w:t>
            </w:r>
            <w:r w:rsidRPr="008E4072">
              <w:rPr>
                <w:rFonts w:eastAsia="Calibri"/>
                <w:sz w:val="24"/>
                <w:szCs w:val="24"/>
              </w:rPr>
              <w:t xml:space="preserve">metodinės priemonės ,,Aktyviojo ugdymo(si) metodai ir jų taikymas ugdymo procese“ veiksmingumo įvertinimas. Sukurta veikianti ugdomojo proceso organizavimo lauko edukacinėse erdvėse sistema, erdvės nuolat atnaujinamos, aplinka skatina </w:t>
            </w:r>
            <w:r w:rsidRPr="008E4072">
              <w:rPr>
                <w:sz w:val="24"/>
                <w:szCs w:val="24"/>
              </w:rPr>
              <w:t>visapusišką vaikų ugdymą(si). Mokyklų edukacinių erdvių konkurse, skirtame geriausiai savo edukacines erdves kuriančiai ir naudojančiai mokyklai 2020 metais išrinkti, lopšelis-darželis paskelbtas nugalėtoju A kategorijoje, taip pat nominuotas Panevėžio rajono mokyklų edukacinių erdvių konkurso nugalėtoju, skirta 500 Eur premija.</w:t>
            </w:r>
          </w:p>
          <w:p w:rsidR="00232945" w:rsidRPr="008E4072" w:rsidRDefault="00232945" w:rsidP="00232945">
            <w:pPr>
              <w:ind w:left="33" w:firstLine="1"/>
              <w:jc w:val="both"/>
              <w:rPr>
                <w:bCs/>
                <w:sz w:val="24"/>
                <w:szCs w:val="24"/>
              </w:rPr>
            </w:pPr>
            <w:r w:rsidRPr="008E4072">
              <w:rPr>
                <w:color w:val="000000"/>
                <w:sz w:val="24"/>
                <w:szCs w:val="24"/>
              </w:rPr>
              <w:t>Vaikams, turintiems ugdymo(si), elgesio ar emocijų valdymo sunkumų, rengiami</w:t>
            </w:r>
            <w:r w:rsidRPr="008E4072">
              <w:rPr>
                <w:sz w:val="24"/>
                <w:szCs w:val="24"/>
              </w:rPr>
              <w:t xml:space="preserve"> individualūs pagalbos planai, pritaikytos ikimokyklinio ugdymo programos. Bendradarbiaujant mokytojams, Vaiko gerovės komisijai, administracijai suteikiama pagalba ugdymosi problemų turintiems vaikams, svarstomi ir tenkinami vaikų specialieji ugdymosi poreikiai, sistemingai aptariami ir analizuojami specialiųjų poreikių turinčių vaikų pasiekimai. Siekiant efektyvinti švietimo pagalbos teikimą sukurta </w:t>
            </w:r>
            <w:r w:rsidRPr="008E4072">
              <w:rPr>
                <w:bCs/>
                <w:sz w:val="24"/>
                <w:szCs w:val="24"/>
              </w:rPr>
              <w:t>švietimo pagalbos teikimo sistema.</w:t>
            </w:r>
          </w:p>
          <w:p w:rsidR="00232945" w:rsidRPr="008E4072" w:rsidRDefault="00232945" w:rsidP="00232945">
            <w:pPr>
              <w:jc w:val="both"/>
              <w:rPr>
                <w:bCs/>
                <w:sz w:val="24"/>
                <w:szCs w:val="24"/>
              </w:rPr>
            </w:pPr>
            <w:r w:rsidRPr="008E4072">
              <w:rPr>
                <w:bCs/>
                <w:sz w:val="24"/>
                <w:szCs w:val="24"/>
              </w:rPr>
              <w:t>Atliktas veiklos kokybės įsivertinimas. Vertinimo objektas – orientavimasis į vaikų poreikius, ugdymo(si) aplinka, įranga ir priemonės. Pagal rodiklius nustatytas 3 lygis (vertinama gerai), veiklos tobulinimui pateiktos rekomendacijos mokytojams, mokytojų metodinei grupei, direktoriui, ūkvedžiui, tėvams (globėjams).</w:t>
            </w:r>
          </w:p>
          <w:p w:rsidR="00232945" w:rsidRPr="008E4072" w:rsidRDefault="00232945" w:rsidP="00232945">
            <w:pPr>
              <w:jc w:val="both"/>
              <w:rPr>
                <w:rFonts w:eastAsia="Calibri"/>
                <w:sz w:val="24"/>
                <w:szCs w:val="24"/>
              </w:rPr>
            </w:pPr>
            <w:r w:rsidRPr="008E4072">
              <w:rPr>
                <w:rFonts w:eastAsia="Calibri"/>
                <w:bCs/>
                <w:sz w:val="24"/>
                <w:szCs w:val="24"/>
              </w:rPr>
              <w:t xml:space="preserve">Ugdymo(si) proceso metu formuojamos vaikų vertybinės nuostatos. </w:t>
            </w:r>
            <w:r w:rsidRPr="008E4072">
              <w:rPr>
                <w:sz w:val="24"/>
                <w:szCs w:val="24"/>
              </w:rPr>
              <w:t xml:space="preserve">Asmenine atsakomybe, empatija, priežasties ir pasekmės ryšio supratimu paremtas lopšelio-darželio bendruomenės narių bendravimas ir bendradarbiavimas. 80 proc. grupių komandų žino ir laikosi susitarimų. Kuriama saugi vaikui aplinka. </w:t>
            </w:r>
            <w:r w:rsidRPr="008E4072">
              <w:rPr>
                <w:rFonts w:eastAsia="Calibri"/>
                <w:sz w:val="24"/>
                <w:szCs w:val="24"/>
              </w:rPr>
              <w:t xml:space="preserve">Tėvų (globėjų) ir įstaigos santykiai grindžiami partnerystės principu – </w:t>
            </w:r>
            <w:r w:rsidRPr="008E4072">
              <w:rPr>
                <w:rFonts w:eastAsia="Calibri"/>
                <w:sz w:val="24"/>
                <w:szCs w:val="24"/>
              </w:rPr>
              <w:lastRenderedPageBreak/>
              <w:t xml:space="preserve">planuojamos veiklos, aptariami vaikų pasiekimai ir poreikiai, vykdoma refleksija. </w:t>
            </w:r>
          </w:p>
          <w:p w:rsidR="00232945" w:rsidRPr="008E4072" w:rsidRDefault="00232945" w:rsidP="00232945">
            <w:pPr>
              <w:jc w:val="both"/>
              <w:rPr>
                <w:sz w:val="24"/>
                <w:szCs w:val="24"/>
              </w:rPr>
            </w:pPr>
            <w:r w:rsidRPr="008E4072">
              <w:rPr>
                <w:sz w:val="24"/>
                <w:szCs w:val="24"/>
              </w:rPr>
              <w:t xml:space="preserve">Vykdomos prevencinės programos padeda suprasti ir ugdyti gebėjimus, reikalingus kasdieniniame gyvenime. Liūdynės skyriaus vaikai ir darbuotojai kasmet dalyvauja </w:t>
            </w:r>
            <w:r w:rsidR="00523903" w:rsidRPr="008E4072">
              <w:rPr>
                <w:sz w:val="24"/>
                <w:szCs w:val="24"/>
              </w:rPr>
              <w:t>t</w:t>
            </w:r>
            <w:r w:rsidRPr="008E4072">
              <w:rPr>
                <w:sz w:val="24"/>
                <w:szCs w:val="24"/>
              </w:rPr>
              <w:t>arptautiniame švietimo įstaigų bendruomenių ekologiniame-socialiniame projekte „Saulėto oranžinio traukinio kelionė“. D</w:t>
            </w:r>
            <w:r w:rsidRPr="008E4072">
              <w:rPr>
                <w:rFonts w:eastAsia="Calibri"/>
                <w:sz w:val="24"/>
                <w:szCs w:val="24"/>
              </w:rPr>
              <w:t xml:space="preserve">alyvaujame ,,Erasmus+“ projektuose ,,Taikus švietimas patyčių prevencijai vaikystėje“, </w:t>
            </w:r>
            <w:r w:rsidRPr="008E4072">
              <w:rPr>
                <w:bCs/>
                <w:sz w:val="24"/>
                <w:szCs w:val="24"/>
              </w:rPr>
              <w:t>„Robotika prieš patyčias – RoBy</w:t>
            </w:r>
            <w:r w:rsidR="00523903" w:rsidRPr="008E4072">
              <w:rPr>
                <w:bCs/>
                <w:sz w:val="24"/>
                <w:szCs w:val="24"/>
              </w:rPr>
              <w:t>“</w:t>
            </w:r>
            <w:r w:rsidRPr="008E4072">
              <w:rPr>
                <w:bCs/>
                <w:sz w:val="24"/>
                <w:szCs w:val="24"/>
              </w:rPr>
              <w:t xml:space="preserve"> („Robotics Versus Bullying – RoBy“) ir „Emocinės empatijos ugdymas artimoje mokymosi aplinkoje“ („Emotional empathic proximal learning educational environment ("PEARL")“). </w:t>
            </w:r>
            <w:r w:rsidRPr="008E4072">
              <w:rPr>
                <w:rFonts w:eastAsia="Calibri"/>
                <w:sz w:val="24"/>
                <w:szCs w:val="24"/>
              </w:rPr>
              <w:t>Pagal EVS „Activity agreement“ projekto „Aš ir tu“ savanorystės sutartį lopšelyje-darželyje dirba savanorė iš Gruzijos.</w:t>
            </w:r>
          </w:p>
          <w:p w:rsidR="00232945" w:rsidRPr="008E4072" w:rsidRDefault="00232945" w:rsidP="00232945">
            <w:pPr>
              <w:jc w:val="both"/>
              <w:rPr>
                <w:rFonts w:eastAsia="Calibri"/>
                <w:sz w:val="24"/>
                <w:szCs w:val="24"/>
              </w:rPr>
            </w:pPr>
            <w:r w:rsidRPr="008E4072">
              <w:rPr>
                <w:color w:val="000000"/>
                <w:spacing w:val="2"/>
                <w:sz w:val="24"/>
                <w:szCs w:val="24"/>
                <w:shd w:val="clear" w:color="auto" w:fill="FFFFFF"/>
              </w:rPr>
              <w:t>Maisto švaistymo mažinimui pasiekti įdiegtas dalinio švediško stalo principas. 60 proc. vaikų maitinimui perkamų produktų sudaro ekologiški produktai.</w:t>
            </w:r>
          </w:p>
          <w:p w:rsidR="00232945" w:rsidRPr="008E4072" w:rsidRDefault="00232945" w:rsidP="00232945">
            <w:pPr>
              <w:overflowPunct w:val="0"/>
              <w:jc w:val="both"/>
              <w:textAlignment w:val="baseline"/>
              <w:rPr>
                <w:sz w:val="24"/>
                <w:szCs w:val="24"/>
              </w:rPr>
            </w:pPr>
            <w:r w:rsidRPr="008E4072">
              <w:rPr>
                <w:rFonts w:eastAsia="Calibri"/>
                <w:bCs/>
                <w:sz w:val="24"/>
                <w:szCs w:val="24"/>
              </w:rPr>
              <w:t>Gerinant darbuotojų darbo aplinkos kokybę</w:t>
            </w:r>
            <w:r w:rsidRPr="008E4072">
              <w:rPr>
                <w:sz w:val="24"/>
                <w:szCs w:val="24"/>
              </w:rPr>
              <w:t xml:space="preserve"> vaikų ir darbuotojų saugumui, turto apsaugai įrengta apsaugos signalizacija, vaikų žaidimų aikštelės stebimos vaizdo kameromis, pakeista takelių, žaidimų aikštelių danga. Žaidimo aikštelių įranga atitinka saugumo reikalavimus. Atliktas darbo ir ugdymo(si) aplinkos rizikos vertinimas. Darbuotojų darbo vieta pritaikyt</w:t>
            </w:r>
            <w:r w:rsidR="00523903" w:rsidRPr="008E4072">
              <w:rPr>
                <w:sz w:val="24"/>
                <w:szCs w:val="24"/>
              </w:rPr>
              <w:t>a</w:t>
            </w:r>
            <w:r w:rsidRPr="008E4072">
              <w:rPr>
                <w:sz w:val="24"/>
                <w:szCs w:val="24"/>
              </w:rPr>
              <w:t xml:space="preserve"> darbui ir atitinka reikalavimus. Periodiškai vykdoma priemonių poreikio analizė ir įgyvendinimas. Mokytojų darbo vietos atnaujintos ir pritaikytos ugdymo proceso organizavimui nuotoliniu būdu. Siekiant aiškesnio, pastovesnio, tikslingesnio dokumentų pildymo, sukurtas ugdymo proceso, kvalifikacijos tobulinimo planavimo ir įgyvendinimo dokumentų paketas.</w:t>
            </w:r>
          </w:p>
          <w:p w:rsidR="00232945" w:rsidRPr="008E4072" w:rsidRDefault="00232945" w:rsidP="00232945">
            <w:pPr>
              <w:jc w:val="both"/>
              <w:rPr>
                <w:bCs/>
                <w:sz w:val="24"/>
                <w:szCs w:val="24"/>
              </w:rPr>
            </w:pPr>
            <w:r w:rsidRPr="008E4072">
              <w:rPr>
                <w:rFonts w:eastAsia="Calibri"/>
                <w:bCs/>
                <w:sz w:val="24"/>
                <w:szCs w:val="24"/>
              </w:rPr>
              <w:t xml:space="preserve">Vienas </w:t>
            </w:r>
            <w:r w:rsidR="00523903" w:rsidRPr="008E4072">
              <w:rPr>
                <w:rFonts w:eastAsia="Calibri"/>
                <w:bCs/>
                <w:sz w:val="24"/>
                <w:szCs w:val="24"/>
              </w:rPr>
              <w:t xml:space="preserve">iš </w:t>
            </w:r>
            <w:r w:rsidRPr="008E4072">
              <w:rPr>
                <w:rFonts w:eastAsia="Calibri"/>
                <w:bCs/>
                <w:sz w:val="24"/>
                <w:szCs w:val="24"/>
              </w:rPr>
              <w:t xml:space="preserve">uždavinių – sudaryti sąlygas mokytojams plėtoti asmenines ir dalykines kompetencijas siekiant užtikrinti švietimo kokybę. </w:t>
            </w:r>
            <w:r w:rsidRPr="008E4072">
              <w:rPr>
                <w:rFonts w:eastAsia="Calibri"/>
                <w:sz w:val="24"/>
                <w:szCs w:val="24"/>
              </w:rPr>
              <w:t xml:space="preserve">Lopšelyje-darželyje plėtojama darbuotojų lyderystė: iniciatyvinės grupės organizuoja bendruomenės renginius, tobulina įstaigos įvaizdį, keičia aplinką ir interjerą. Mokytojai inicijuoja projektų rengimą, pritraukia į įstaigą papildomų lėšų. </w:t>
            </w:r>
            <w:r w:rsidRPr="008E4072">
              <w:rPr>
                <w:sz w:val="24"/>
                <w:szCs w:val="24"/>
              </w:rPr>
              <w:t>Visuomenės sveikatos rėmimo specialiosios programos projektui „Draugauk su gamta ir džiaukis sveikata“ Liūdynės skyriuje vykdyti gauta 800 Eur.</w:t>
            </w:r>
            <w:r w:rsidRPr="008E4072">
              <w:rPr>
                <w:bCs/>
                <w:sz w:val="24"/>
                <w:szCs w:val="24"/>
              </w:rPr>
              <w:t xml:space="preserve"> Spaudinių leidybos projekto </w:t>
            </w:r>
            <w:r w:rsidR="00523903" w:rsidRPr="008E4072">
              <w:rPr>
                <w:bCs/>
                <w:sz w:val="24"/>
                <w:szCs w:val="24"/>
              </w:rPr>
              <w:t>„</w:t>
            </w:r>
            <w:r w:rsidRPr="008E4072">
              <w:rPr>
                <w:bCs/>
                <w:sz w:val="24"/>
                <w:szCs w:val="24"/>
              </w:rPr>
              <w:t>Edukacinės knygelės vaikams „Velžys – pasaulio gabalėlis“ leidyba“ vykdymui gauta 380 Eur.</w:t>
            </w:r>
          </w:p>
          <w:p w:rsidR="00232945" w:rsidRPr="008E4072" w:rsidRDefault="00232945" w:rsidP="00232945">
            <w:pPr>
              <w:jc w:val="both"/>
              <w:rPr>
                <w:sz w:val="24"/>
                <w:szCs w:val="24"/>
              </w:rPr>
            </w:pPr>
            <w:r w:rsidRPr="008E4072">
              <w:rPr>
                <w:sz w:val="24"/>
                <w:szCs w:val="24"/>
              </w:rPr>
              <w:t xml:space="preserve">Darbuotojams sudaromos sąlygos kelti kvalifikaciją, sukurta darbuotojų kvalifikacijos tobulinimo sistema. Bendradarbiaujant su Panevėžio rajono švietimo centru sukurta ir įregistruota kvalifikacijos tobulinimo programa „Bendruomenės lūkesčių dermė – laimingas vaikas“ (programos kodas 213002257), kurios tikslas – stiprinant bendruomenės emocinį stabilumą bei savivertę ir pristatant skaitmenines bendradarbiavimo platformas formuoti bendryste paremtus santykius, orientuojančius į žaismingos ugdymosi aplinkos, kurioje vaikas jaučiasi laimingas, sukūrimą. </w:t>
            </w:r>
          </w:p>
          <w:p w:rsidR="003F268F" w:rsidRPr="008E4072" w:rsidRDefault="00232945" w:rsidP="00A34395">
            <w:pPr>
              <w:jc w:val="both"/>
              <w:rPr>
                <w:sz w:val="24"/>
                <w:szCs w:val="24"/>
                <w:lang w:eastAsia="lt-LT"/>
              </w:rPr>
            </w:pPr>
            <w:r w:rsidRPr="008E4072">
              <w:rPr>
                <w:sz w:val="24"/>
                <w:szCs w:val="24"/>
              </w:rPr>
              <w:t>Bendradarbiaujame su socialiniais partneriais – Dembavos lopšeliu-darželiu „Smalsutis“, Pažagienių mokykla-darželiu, Panevėžio lopšeliais-darželiais „Draugystė“ ir „Žilvitis“ – mokytojai skleidžia gerąją patirtį, organizuoja seminarus kolegoms. Kartu su Velžio gimnazijos pradinių klasių mokytojais aptariame vaikų pasiekimus ir pasirengimą pradiniam ugdymui.</w:t>
            </w:r>
          </w:p>
        </w:tc>
      </w:tr>
    </w:tbl>
    <w:p w:rsidR="003C6307" w:rsidRPr="008E4072" w:rsidRDefault="003C6307" w:rsidP="003C6307">
      <w:pPr>
        <w:rPr>
          <w:szCs w:val="24"/>
        </w:rPr>
      </w:pPr>
    </w:p>
    <w:p w:rsidR="009F6DE6" w:rsidRPr="008E4072" w:rsidRDefault="009F6DE6" w:rsidP="009F6DE6">
      <w:pPr>
        <w:rPr>
          <w:szCs w:val="24"/>
        </w:rPr>
      </w:pPr>
      <w:r w:rsidRPr="008E4072">
        <w:rPr>
          <w:szCs w:val="24"/>
        </w:rPr>
        <w:t xml:space="preserve">Ataskaitą parengė </w:t>
      </w:r>
      <w:r w:rsidR="00232945" w:rsidRPr="008E4072">
        <w:rPr>
          <w:szCs w:val="24"/>
        </w:rPr>
        <w:t>direktorė Lilija Miežinienė</w:t>
      </w:r>
    </w:p>
    <w:p w:rsidR="000E7B0C" w:rsidRPr="008E4072" w:rsidRDefault="0086259C" w:rsidP="00E46470">
      <w:pPr>
        <w:jc w:val="center"/>
        <w:rPr>
          <w:szCs w:val="24"/>
        </w:rPr>
      </w:pPr>
      <w:r w:rsidRPr="008E4072">
        <w:rPr>
          <w:szCs w:val="24"/>
        </w:rPr>
        <w:softHyphen/>
      </w:r>
      <w:r w:rsidRPr="008E4072">
        <w:rPr>
          <w:szCs w:val="24"/>
        </w:rPr>
        <w:softHyphen/>
      </w:r>
      <w:r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r>
      <w:r w:rsidR="00A213C5" w:rsidRPr="008E4072">
        <w:rPr>
          <w:szCs w:val="24"/>
        </w:rPr>
        <w:softHyphen/>
        <w:t>_________________</w:t>
      </w:r>
      <w:r w:rsidRPr="008E4072">
        <w:rPr>
          <w:szCs w:val="24"/>
        </w:rPr>
        <w:t>___________________</w:t>
      </w:r>
    </w:p>
    <w:sectPr w:rsidR="000E7B0C" w:rsidRPr="008E4072" w:rsidSect="00B1778F">
      <w:pgSz w:w="12240" w:h="15840"/>
      <w:pgMar w:top="54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compat>
    <w:compatSetting w:name="compatibilityMode" w:uri="http://schemas.microsoft.com/office/word" w:val="12"/>
  </w:compat>
  <w:rsids>
    <w:rsidRoot w:val="003C6307"/>
    <w:rsid w:val="00092B35"/>
    <w:rsid w:val="000C66C0"/>
    <w:rsid w:val="000E7B0C"/>
    <w:rsid w:val="0013635E"/>
    <w:rsid w:val="00180D17"/>
    <w:rsid w:val="00232945"/>
    <w:rsid w:val="002E6955"/>
    <w:rsid w:val="003145E6"/>
    <w:rsid w:val="0034201D"/>
    <w:rsid w:val="0035143D"/>
    <w:rsid w:val="003867BF"/>
    <w:rsid w:val="003A2C8C"/>
    <w:rsid w:val="003A6F0A"/>
    <w:rsid w:val="003B548C"/>
    <w:rsid w:val="003C6307"/>
    <w:rsid w:val="003F1CC0"/>
    <w:rsid w:val="003F268F"/>
    <w:rsid w:val="003F7D3B"/>
    <w:rsid w:val="004134E7"/>
    <w:rsid w:val="004239C5"/>
    <w:rsid w:val="00495576"/>
    <w:rsid w:val="00523903"/>
    <w:rsid w:val="0057140D"/>
    <w:rsid w:val="0063667C"/>
    <w:rsid w:val="006568E1"/>
    <w:rsid w:val="00670DD2"/>
    <w:rsid w:val="00727CA9"/>
    <w:rsid w:val="00766A27"/>
    <w:rsid w:val="00772CAC"/>
    <w:rsid w:val="007B0D8E"/>
    <w:rsid w:val="007E14AF"/>
    <w:rsid w:val="0086259C"/>
    <w:rsid w:val="008E4072"/>
    <w:rsid w:val="009613F0"/>
    <w:rsid w:val="00992554"/>
    <w:rsid w:val="009C38D1"/>
    <w:rsid w:val="009C5D8D"/>
    <w:rsid w:val="009F6DE6"/>
    <w:rsid w:val="00A213C5"/>
    <w:rsid w:val="00A34395"/>
    <w:rsid w:val="00A753CE"/>
    <w:rsid w:val="00AA21C9"/>
    <w:rsid w:val="00AC4CC2"/>
    <w:rsid w:val="00B1778F"/>
    <w:rsid w:val="00B61603"/>
    <w:rsid w:val="00B6237E"/>
    <w:rsid w:val="00B828B6"/>
    <w:rsid w:val="00BA594C"/>
    <w:rsid w:val="00C027DA"/>
    <w:rsid w:val="00C361B2"/>
    <w:rsid w:val="00CF514E"/>
    <w:rsid w:val="00D07009"/>
    <w:rsid w:val="00D12569"/>
    <w:rsid w:val="00D44C7E"/>
    <w:rsid w:val="00D55002"/>
    <w:rsid w:val="00D71ECD"/>
    <w:rsid w:val="00E46470"/>
    <w:rsid w:val="00E62663"/>
    <w:rsid w:val="00F6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customStyle="1" w:styleId="d2edcug0">
    <w:name w:val="d2edcug0"/>
    <w:basedOn w:val="DefaultParagraphFont"/>
    <w:rsid w:val="0034201D"/>
  </w:style>
  <w:style w:type="table" w:customStyle="1" w:styleId="TableGrid1">
    <w:name w:val="Table Grid1"/>
    <w:basedOn w:val="TableNormal"/>
    <w:next w:val="TableGrid"/>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C02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F05E-3DD1-4F1E-8E08-A57BEDA2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1028</Words>
  <Characters>5862</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dcterms:created xsi:type="dcterms:W3CDTF">2021-05-03T17:32:00Z</dcterms:created>
  <dcterms:modified xsi:type="dcterms:W3CDTF">2021-05-04T12:49:00Z</dcterms:modified>
</cp:coreProperties>
</file>