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0864A7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6331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8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Antrats"/>
        <w:jc w:val="center"/>
        <w:rPr>
          <w:sz w:val="24"/>
          <w:szCs w:val="24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Betarp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</w:t>
      </w:r>
      <w:r w:rsidR="0048561A">
        <w:rPr>
          <w:sz w:val="24"/>
          <w:szCs w:val="24"/>
        </w:rPr>
        <w:t>20</w:t>
      </w:r>
      <w:r w:rsidRPr="0024124B">
        <w:rPr>
          <w:sz w:val="24"/>
          <w:szCs w:val="24"/>
        </w:rPr>
        <w:t xml:space="preserve"> m. </w:t>
      </w:r>
      <w:r w:rsidR="003979AB">
        <w:rPr>
          <w:sz w:val="24"/>
          <w:szCs w:val="24"/>
        </w:rPr>
        <w:t>rugsėjo 24</w:t>
      </w:r>
      <w:r w:rsidR="00035C20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</w:p>
    <w:p w:rsidR="000864A7" w:rsidRDefault="000864A7">
      <w:pPr>
        <w:pStyle w:val="Pagrindinistekstas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Pagrindinistekstas"/>
        <w:spacing w:after="0"/>
        <w:rPr>
          <w:sz w:val="24"/>
          <w:szCs w:val="24"/>
        </w:rPr>
      </w:pPr>
    </w:p>
    <w:p w:rsidR="000864A7" w:rsidRDefault="000864A7">
      <w:pPr>
        <w:pStyle w:val="Pagrindinistekstas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48561A">
        <w:rPr>
          <w:sz w:val="24"/>
        </w:rPr>
        <w:t>,</w:t>
      </w:r>
      <w:r w:rsidR="00035C20">
        <w:rPr>
          <w:sz w:val="24"/>
        </w:rPr>
        <w:t xml:space="preserve"> Sav</w:t>
      </w:r>
      <w:r>
        <w:rPr>
          <w:sz w:val="24"/>
        </w:rPr>
        <w:t>ivaldybės taryba n u s p r e n d ž i a:</w:t>
      </w:r>
    </w:p>
    <w:p w:rsidR="00B13721" w:rsidRDefault="000864A7" w:rsidP="002D3247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2D3247">
        <w:rPr>
          <w:color w:val="000000"/>
          <w:sz w:val="24"/>
        </w:rPr>
        <w:t xml:space="preserve">1. </w:t>
      </w:r>
      <w:r w:rsidR="005D4161">
        <w:rPr>
          <w:color w:val="000000"/>
          <w:sz w:val="24"/>
        </w:rPr>
        <w:t>P</w:t>
      </w:r>
      <w:r w:rsidR="005D4161">
        <w:rPr>
          <w:color w:val="000000"/>
          <w:sz w:val="24"/>
          <w:szCs w:val="24"/>
        </w:rPr>
        <w:t>a</w:t>
      </w:r>
      <w:r w:rsidR="003979AB">
        <w:rPr>
          <w:color w:val="000000"/>
          <w:sz w:val="24"/>
          <w:szCs w:val="24"/>
        </w:rPr>
        <w:t>keisti</w:t>
      </w:r>
      <w:r w:rsidR="005D4161">
        <w:rPr>
          <w:color w:val="000000"/>
          <w:sz w:val="24"/>
        </w:rPr>
        <w:t xml:space="preserve"> </w:t>
      </w:r>
      <w:r w:rsidR="004B5456">
        <w:rPr>
          <w:color w:val="000000"/>
          <w:sz w:val="24"/>
        </w:rPr>
        <w:t>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</w:t>
      </w:r>
      <w:r w:rsidR="003979AB">
        <w:rPr>
          <w:color w:val="000000"/>
          <w:sz w:val="24"/>
        </w:rPr>
        <w:t>o</w:t>
      </w:r>
      <w:r w:rsidR="004B5456">
        <w:rPr>
          <w:color w:val="000000"/>
          <w:sz w:val="24"/>
        </w:rPr>
        <w:t xml:space="preserve"> 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5D4161">
        <w:rPr>
          <w:color w:val="000000"/>
          <w:sz w:val="24"/>
        </w:rPr>
        <w:t xml:space="preserve"> </w:t>
      </w:r>
      <w:r w:rsidR="00914529">
        <w:rPr>
          <w:color w:val="000000"/>
          <w:sz w:val="24"/>
        </w:rPr>
        <w:t>1</w:t>
      </w:r>
      <w:r w:rsidR="003979AB">
        <w:rPr>
          <w:color w:val="000000"/>
          <w:sz w:val="24"/>
        </w:rPr>
        <w:t>0.3 papunktį</w:t>
      </w:r>
      <w:r w:rsidR="00B13721">
        <w:rPr>
          <w:color w:val="000000"/>
          <w:sz w:val="24"/>
        </w:rPr>
        <w:t xml:space="preserve">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969"/>
        <w:gridCol w:w="1276"/>
        <w:gridCol w:w="1134"/>
        <w:gridCol w:w="1417"/>
        <w:gridCol w:w="1276"/>
      </w:tblGrid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969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B13721" w:rsidRPr="00D47C91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</w:t>
            </w:r>
            <w:r w:rsidR="00600FA5">
              <w:rPr>
                <w:rFonts w:eastAsia="SimSun" w:cs="Mangal"/>
                <w:lang w:eastAsia="hi-IN" w:bidi="hi-IN"/>
              </w:rPr>
              <w:t xml:space="preserve">būsto nuomos mokesčių dydis Eur </w:t>
            </w:r>
            <w:r w:rsidRPr="00D47C91">
              <w:rPr>
                <w:rFonts w:eastAsia="SimSun" w:cs="Mangal"/>
                <w:lang w:eastAsia="hi-IN" w:bidi="hi-IN"/>
              </w:rPr>
              <w:t>per mėn.</w:t>
            </w:r>
          </w:p>
        </w:tc>
        <w:tc>
          <w:tcPr>
            <w:tcW w:w="1417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Viršijant Įstatymo 11 str. 2 d. nustatytus dydžius pirmus metus taikomas rinkos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="00600FA5">
              <w:rPr>
                <w:color w:val="000000"/>
                <w:lang w:eastAsia="lt-LT"/>
              </w:rPr>
              <w:t xml:space="preserve"> (r</w:t>
            </w:r>
            <w:r w:rsidRPr="002C2068">
              <w:rPr>
                <w:color w:val="000000"/>
                <w:lang w:eastAsia="lt-LT"/>
              </w:rPr>
              <w:t>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13721" w:rsidRPr="00603CEC" w:rsidRDefault="003979AB" w:rsidP="003979A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</w:t>
            </w:r>
            <w:r w:rsidR="00B13721">
              <w:rPr>
                <w:b/>
                <w:bCs/>
                <w:sz w:val="24"/>
                <w:szCs w:val="24"/>
              </w:rPr>
              <w:t xml:space="preserve"> </w:t>
            </w:r>
            <w:r w:rsidR="00B13721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3979AB" w:rsidRPr="00603CEC" w:rsidTr="00E55BD5">
        <w:trPr>
          <w:trHeight w:val="873"/>
        </w:trPr>
        <w:tc>
          <w:tcPr>
            <w:tcW w:w="786" w:type="dxa"/>
            <w:shd w:val="clear" w:color="auto" w:fill="auto"/>
          </w:tcPr>
          <w:p w:rsidR="003979AB" w:rsidRPr="0027691A" w:rsidRDefault="003979AB" w:rsidP="003979AB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79AB" w:rsidRPr="00E309D0" w:rsidRDefault="003979AB" w:rsidP="003979A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309D0">
              <w:rPr>
                <w:bCs/>
                <w:sz w:val="24"/>
                <w:szCs w:val="24"/>
              </w:rPr>
              <w:t xml:space="preserve">Butas / patalpa – butas su rūsiu ir bendro naudojimo patalpomis </w:t>
            </w:r>
            <w:r w:rsidR="0063313E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(6,88 kv. m), 3 kambarių, bendras ir naudingas plotas 83,14 kv. m, </w:t>
            </w:r>
            <w:r w:rsidR="0063313E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Dvaro g. 16-1, </w:t>
            </w:r>
            <w:proofErr w:type="spellStart"/>
            <w:r w:rsidRPr="00E309D0">
              <w:rPr>
                <w:bCs/>
                <w:sz w:val="24"/>
                <w:szCs w:val="24"/>
              </w:rPr>
              <w:t>Vaišvilčių</w:t>
            </w:r>
            <w:proofErr w:type="spellEnd"/>
            <w:r w:rsidRPr="00E309D0"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79AB" w:rsidRPr="001075EC" w:rsidRDefault="003979AB" w:rsidP="003979A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4400-5477-0742:1551</w:t>
            </w:r>
          </w:p>
        </w:tc>
        <w:tc>
          <w:tcPr>
            <w:tcW w:w="1134" w:type="dxa"/>
            <w:shd w:val="clear" w:color="auto" w:fill="auto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13,54</w:t>
            </w:r>
          </w:p>
        </w:tc>
        <w:tc>
          <w:tcPr>
            <w:tcW w:w="1417" w:type="dxa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16,25</w:t>
            </w:r>
          </w:p>
        </w:tc>
        <w:tc>
          <w:tcPr>
            <w:tcW w:w="1276" w:type="dxa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20,31</w:t>
            </w:r>
          </w:p>
        </w:tc>
      </w:tr>
    </w:tbl>
    <w:p w:rsidR="00224143" w:rsidRDefault="004110B4" w:rsidP="004110B4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Pripažinti </w:t>
      </w:r>
      <w:r>
        <w:rPr>
          <w:color w:val="000000"/>
          <w:sz w:val="24"/>
        </w:rPr>
        <w:t xml:space="preserve">netekusiu galios Panevėžio rajono savivaldybės tarybos 2019 m. balandžio 4 d. sprendimo Nr. T-63 </w:t>
      </w:r>
      <w:r>
        <w:t>„</w:t>
      </w:r>
      <w:r>
        <w:rPr>
          <w:sz w:val="24"/>
        </w:rPr>
        <w:t>Dėl Panevėžio rajono savivaldybės būsto nuomos mokesčių dydžio nustatymo</w:t>
      </w:r>
      <w:r>
        <w:rPr>
          <w:color w:val="000000"/>
          <w:sz w:val="24"/>
        </w:rPr>
        <w:t>“ 1</w:t>
      </w:r>
      <w:r w:rsidR="003979AB">
        <w:rPr>
          <w:color w:val="000000"/>
          <w:sz w:val="24"/>
        </w:rPr>
        <w:t>0.4</w:t>
      </w:r>
      <w:r>
        <w:rPr>
          <w:color w:val="000000"/>
          <w:sz w:val="24"/>
        </w:rPr>
        <w:t xml:space="preserve"> papunktį. </w:t>
      </w:r>
    </w:p>
    <w:p w:rsidR="00224143" w:rsidRDefault="00224143" w:rsidP="00D90CE8">
      <w:pPr>
        <w:rPr>
          <w:sz w:val="24"/>
          <w:szCs w:val="24"/>
        </w:rPr>
      </w:pPr>
    </w:p>
    <w:p w:rsidR="00600FA5" w:rsidRDefault="00600FA5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p w:rsidR="004342BD" w:rsidRPr="00600FA5" w:rsidRDefault="004B5456" w:rsidP="00D90CE8">
      <w:pPr>
        <w:rPr>
          <w:sz w:val="24"/>
          <w:szCs w:val="24"/>
        </w:rPr>
      </w:pPr>
      <w:r w:rsidRPr="00600FA5">
        <w:rPr>
          <w:sz w:val="24"/>
          <w:szCs w:val="24"/>
        </w:rPr>
        <w:t>Lina Gaidytė</w:t>
      </w:r>
    </w:p>
    <w:p w:rsidR="004110B4" w:rsidRPr="00600FA5" w:rsidRDefault="004B5456" w:rsidP="00600FA5">
      <w:pPr>
        <w:rPr>
          <w:sz w:val="24"/>
          <w:szCs w:val="24"/>
        </w:rPr>
      </w:pPr>
      <w:r w:rsidRPr="00600FA5">
        <w:rPr>
          <w:sz w:val="24"/>
          <w:szCs w:val="24"/>
        </w:rPr>
        <w:t>20</w:t>
      </w:r>
      <w:r w:rsidR="00A95092" w:rsidRPr="00600FA5">
        <w:rPr>
          <w:sz w:val="24"/>
          <w:szCs w:val="24"/>
        </w:rPr>
        <w:t>20-0</w:t>
      </w:r>
      <w:r w:rsidR="003979AB">
        <w:rPr>
          <w:sz w:val="24"/>
          <w:szCs w:val="24"/>
        </w:rPr>
        <w:t>9-10</w:t>
      </w:r>
    </w:p>
    <w:p w:rsidR="003349F2" w:rsidRDefault="003349F2" w:rsidP="000A3482">
      <w:pPr>
        <w:jc w:val="center"/>
        <w:rPr>
          <w:b/>
          <w:sz w:val="24"/>
        </w:rPr>
      </w:pPr>
    </w:p>
    <w:p w:rsidR="000864A7" w:rsidRDefault="000864A7" w:rsidP="000A348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0864A7" w:rsidRDefault="000864A7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0864A7" w:rsidRDefault="000864A7">
      <w:pPr>
        <w:ind w:right="-1185"/>
        <w:jc w:val="center"/>
        <w:rPr>
          <w:sz w:val="24"/>
          <w:szCs w:val="24"/>
        </w:rPr>
      </w:pPr>
    </w:p>
    <w:p w:rsidR="000864A7" w:rsidRDefault="000864A7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0864A7" w:rsidRDefault="000864A7">
      <w:pPr>
        <w:ind w:right="72"/>
        <w:rPr>
          <w:sz w:val="24"/>
        </w:rPr>
      </w:pPr>
    </w:p>
    <w:p w:rsidR="000864A7" w:rsidRPr="00D15DDA" w:rsidRDefault="000864A7" w:rsidP="00D15DDA">
      <w:pPr>
        <w:jc w:val="center"/>
        <w:rPr>
          <w:b/>
          <w:sz w:val="24"/>
          <w:szCs w:val="24"/>
        </w:rPr>
      </w:pPr>
      <w:r w:rsidRPr="00D15DDA">
        <w:rPr>
          <w:b/>
          <w:sz w:val="24"/>
          <w:szCs w:val="24"/>
        </w:rPr>
        <w:t>AIŠKINAMASIS RAŠTAS DĖL SPRENDIMO „</w:t>
      </w:r>
      <w:r w:rsidR="00D15DDA" w:rsidRPr="00D15DDA">
        <w:rPr>
          <w:b/>
          <w:sz w:val="24"/>
          <w:szCs w:val="24"/>
        </w:rPr>
        <w:t>DĖL PANEVĖŽIO RAJONO SAVIVALDYBĖS TARYBOS 201</w:t>
      </w:r>
      <w:r w:rsidR="009E6A0F">
        <w:rPr>
          <w:b/>
          <w:sz w:val="24"/>
          <w:szCs w:val="24"/>
        </w:rPr>
        <w:t>9</w:t>
      </w:r>
      <w:r w:rsidR="00D15DDA" w:rsidRPr="00D15DDA">
        <w:rPr>
          <w:b/>
          <w:sz w:val="24"/>
          <w:szCs w:val="24"/>
        </w:rPr>
        <w:t xml:space="preserve"> M. </w:t>
      </w:r>
      <w:r w:rsidR="009E6A0F">
        <w:rPr>
          <w:b/>
          <w:sz w:val="24"/>
          <w:szCs w:val="24"/>
        </w:rPr>
        <w:t>BALANDŽIO 4</w:t>
      </w:r>
      <w:r w:rsidR="00D15DDA" w:rsidRPr="00D15DDA">
        <w:rPr>
          <w:b/>
          <w:sz w:val="24"/>
          <w:szCs w:val="24"/>
        </w:rPr>
        <w:t xml:space="preserve"> D. SPRENDIMO NR. T-</w:t>
      </w:r>
      <w:r w:rsidR="009E6A0F">
        <w:rPr>
          <w:b/>
          <w:sz w:val="24"/>
          <w:szCs w:val="24"/>
        </w:rPr>
        <w:t>63</w:t>
      </w:r>
      <w:r w:rsidR="00D15DDA" w:rsidRPr="00D15DDA">
        <w:rPr>
          <w:b/>
          <w:sz w:val="24"/>
          <w:szCs w:val="24"/>
        </w:rPr>
        <w:t xml:space="preserve"> „DĖL PANEVĖŽIO RAJONO SAVIVALDYBĖS BŪSTO NUOMOS MOKESČIŲ DYDŽIO NUSTATYMO“ PAKEITIMO</w:t>
      </w:r>
      <w:r w:rsidRPr="00D15DDA">
        <w:rPr>
          <w:b/>
          <w:bCs/>
          <w:sz w:val="24"/>
          <w:szCs w:val="24"/>
        </w:rPr>
        <w:t xml:space="preserve">“ </w:t>
      </w:r>
      <w:r w:rsidRPr="00D15DDA">
        <w:rPr>
          <w:b/>
          <w:sz w:val="24"/>
          <w:szCs w:val="24"/>
        </w:rPr>
        <w:t>PROJEKTO</w:t>
      </w:r>
    </w:p>
    <w:p w:rsidR="000864A7" w:rsidRDefault="000864A7">
      <w:pPr>
        <w:ind w:left="720" w:right="72"/>
        <w:jc w:val="center"/>
        <w:rPr>
          <w:sz w:val="24"/>
          <w:szCs w:val="24"/>
        </w:rPr>
      </w:pPr>
    </w:p>
    <w:p w:rsidR="000864A7" w:rsidRDefault="000864A7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A1D8E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3979AB">
        <w:rPr>
          <w:sz w:val="24"/>
          <w:szCs w:val="24"/>
        </w:rPr>
        <w:t>rugsėjo 10</w:t>
      </w:r>
      <w:r w:rsidR="004110B4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0864A7" w:rsidRDefault="000864A7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864A7" w:rsidRDefault="000864A7">
      <w:pPr>
        <w:ind w:right="72"/>
        <w:jc w:val="center"/>
        <w:rPr>
          <w:sz w:val="24"/>
          <w:szCs w:val="24"/>
        </w:rPr>
      </w:pPr>
    </w:p>
    <w:p w:rsidR="00501C6A" w:rsidRDefault="000864A7" w:rsidP="00D66909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B16189">
        <w:rPr>
          <w:b/>
          <w:bCs/>
          <w:sz w:val="24"/>
          <w:szCs w:val="24"/>
        </w:rPr>
        <w:t xml:space="preserve"> </w:t>
      </w:r>
      <w:r w:rsidR="00D66909">
        <w:rPr>
          <w:sz w:val="24"/>
          <w:szCs w:val="24"/>
        </w:rPr>
        <w:t xml:space="preserve">Upytės seniūnijos prašymas nustatyti savivaldybės būsto – buto, esančio Dvaro g. 16-1, </w:t>
      </w:r>
      <w:proofErr w:type="spellStart"/>
      <w:r w:rsidR="00D66909">
        <w:rPr>
          <w:sz w:val="24"/>
          <w:szCs w:val="24"/>
        </w:rPr>
        <w:t>Vaišvilčių</w:t>
      </w:r>
      <w:proofErr w:type="spellEnd"/>
      <w:r w:rsidR="00D66909">
        <w:rPr>
          <w:sz w:val="24"/>
          <w:szCs w:val="24"/>
        </w:rPr>
        <w:t xml:space="preserve"> I k., Upytės sen., Panevėžio </w:t>
      </w:r>
      <w:r w:rsidR="0063313E">
        <w:rPr>
          <w:sz w:val="24"/>
          <w:szCs w:val="24"/>
        </w:rPr>
        <w:t>r., nuomos mokesčio dydį, nes su</w:t>
      </w:r>
      <w:r w:rsidR="00D66909">
        <w:rPr>
          <w:sz w:val="24"/>
          <w:szCs w:val="24"/>
        </w:rPr>
        <w:t xml:space="preserve">jungus du savivaldybės butus, </w:t>
      </w:r>
      <w:r w:rsidR="0063313E">
        <w:rPr>
          <w:sz w:val="24"/>
          <w:szCs w:val="24"/>
        </w:rPr>
        <w:t xml:space="preserve">esančius </w:t>
      </w:r>
      <w:r w:rsidR="00D66909">
        <w:rPr>
          <w:sz w:val="24"/>
          <w:szCs w:val="24"/>
        </w:rPr>
        <w:t xml:space="preserve">Dvaro g. 16-1, </w:t>
      </w:r>
      <w:proofErr w:type="spellStart"/>
      <w:r w:rsidR="00D66909">
        <w:rPr>
          <w:sz w:val="24"/>
          <w:szCs w:val="24"/>
        </w:rPr>
        <w:t>Vaišvilčių</w:t>
      </w:r>
      <w:proofErr w:type="spellEnd"/>
      <w:r w:rsidR="00D66909">
        <w:rPr>
          <w:sz w:val="24"/>
          <w:szCs w:val="24"/>
        </w:rPr>
        <w:t xml:space="preserve"> I k.</w:t>
      </w:r>
      <w:r w:rsidR="0063313E">
        <w:rPr>
          <w:sz w:val="24"/>
          <w:szCs w:val="24"/>
        </w:rPr>
        <w:t>,</w:t>
      </w:r>
      <w:r w:rsidR="00D66909">
        <w:rPr>
          <w:sz w:val="24"/>
          <w:szCs w:val="24"/>
        </w:rPr>
        <w:t xml:space="preserve"> ir </w:t>
      </w:r>
      <w:r w:rsidR="0063313E">
        <w:rPr>
          <w:sz w:val="24"/>
          <w:szCs w:val="24"/>
        </w:rPr>
        <w:br/>
      </w:r>
      <w:r w:rsidR="00D66909">
        <w:rPr>
          <w:sz w:val="24"/>
          <w:szCs w:val="24"/>
        </w:rPr>
        <w:t xml:space="preserve">Dvaro g. 16-2, </w:t>
      </w:r>
      <w:proofErr w:type="spellStart"/>
      <w:r w:rsidR="00D66909">
        <w:rPr>
          <w:sz w:val="24"/>
          <w:szCs w:val="24"/>
        </w:rPr>
        <w:t>Vaišvilčių</w:t>
      </w:r>
      <w:proofErr w:type="spellEnd"/>
      <w:r w:rsidR="00D66909">
        <w:rPr>
          <w:sz w:val="24"/>
          <w:szCs w:val="24"/>
        </w:rPr>
        <w:t xml:space="preserve"> I k., patikslinti kadastro duomenys.</w:t>
      </w:r>
    </w:p>
    <w:p w:rsidR="00FB5BF0" w:rsidRPr="00B16189" w:rsidRDefault="000864A7" w:rsidP="00B1618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B16189">
        <w:rPr>
          <w:b/>
          <w:sz w:val="24"/>
          <w:szCs w:val="24"/>
        </w:rPr>
        <w:t xml:space="preserve"> </w:t>
      </w:r>
      <w:r w:rsidR="00FB5BF0">
        <w:rPr>
          <w:sz w:val="24"/>
          <w:szCs w:val="24"/>
        </w:rPr>
        <w:t>Savivaldybės būsto, socialinio būsto nuomos mokesčių ir būsto nuomos ar išperkamosios būsto nuomos mokesčių dalies kompensavimo dydžio apskaičiavimo metodikos (toliau – Metodika), patvirtintos Lietuvos Respublikos Vyriausybės 2001 m. balandžio 25 d. nutari</w:t>
      </w:r>
      <w:r w:rsidR="0063313E">
        <w:rPr>
          <w:sz w:val="24"/>
          <w:szCs w:val="24"/>
        </w:rPr>
        <w:t>mu Nr. 472</w:t>
      </w:r>
      <w:r w:rsidR="00FB5BF0">
        <w:rPr>
          <w:sz w:val="24"/>
          <w:szCs w:val="24"/>
        </w:rPr>
        <w:t xml:space="preserve">, 10 punkte numatyta, kad savivaldybės taryba, vadovaudamasi Paramos būstui įsigyti ar išsinuomoti įstatymu ir Metodika, priima sprendimą dėl socialinio būsto ir kito savivaldybės būsto nuomos mokesčių dydžio nustatymo ir keitimo. </w:t>
      </w:r>
    </w:p>
    <w:p w:rsidR="00241F58" w:rsidRDefault="00241F58" w:rsidP="00A15DAC">
      <w:pPr>
        <w:ind w:right="72" w:firstLine="720"/>
        <w:jc w:val="both"/>
        <w:rPr>
          <w:bCs/>
          <w:color w:val="000000"/>
          <w:sz w:val="24"/>
          <w:szCs w:val="24"/>
        </w:rPr>
      </w:pPr>
      <w:r>
        <w:rPr>
          <w:bCs/>
          <w:spacing w:val="-1"/>
          <w:sz w:val="24"/>
          <w:szCs w:val="24"/>
        </w:rPr>
        <w:t>Šiuo</w:t>
      </w:r>
      <w:r w:rsidRPr="00506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sprendimo projektu siūloma Savivaldybės tarybai pakeisti </w:t>
      </w:r>
      <w:r>
        <w:rPr>
          <w:color w:val="000000"/>
          <w:sz w:val="24"/>
        </w:rPr>
        <w:t>Panevėžio rajono savivaldybės tarybos 2019 m. balandžio 4 d. sprendim</w:t>
      </w:r>
      <w:r w:rsidR="00D66909">
        <w:rPr>
          <w:color w:val="000000"/>
          <w:sz w:val="24"/>
        </w:rPr>
        <w:t>o</w:t>
      </w:r>
      <w:r>
        <w:rPr>
          <w:color w:val="000000"/>
          <w:sz w:val="24"/>
        </w:rPr>
        <w:t xml:space="preserve"> Nr. T-62 </w:t>
      </w:r>
      <w:r>
        <w:t>„</w:t>
      </w:r>
      <w:r>
        <w:rPr>
          <w:sz w:val="24"/>
        </w:rPr>
        <w:t>Dėl Panevėžio rajono savivaldybės būsto nuomos mokesčių dydžio nustatymo</w:t>
      </w:r>
      <w:r>
        <w:rPr>
          <w:color w:val="000000"/>
          <w:sz w:val="24"/>
        </w:rPr>
        <w:t>“</w:t>
      </w:r>
      <w:r w:rsidR="00D66909">
        <w:rPr>
          <w:color w:val="000000"/>
          <w:sz w:val="24"/>
        </w:rPr>
        <w:t xml:space="preserve"> 10.3 papunktį, kuriuo nustatytas buto, </w:t>
      </w:r>
      <w:r w:rsidR="00A15DAC">
        <w:rPr>
          <w:color w:val="000000"/>
          <w:sz w:val="24"/>
        </w:rPr>
        <w:t xml:space="preserve">esančio </w:t>
      </w:r>
      <w:r w:rsidR="00D66909">
        <w:rPr>
          <w:sz w:val="24"/>
          <w:szCs w:val="24"/>
        </w:rPr>
        <w:t xml:space="preserve">Dvaro g. 16-1, </w:t>
      </w:r>
      <w:r w:rsidR="00A15DAC">
        <w:rPr>
          <w:sz w:val="24"/>
          <w:szCs w:val="24"/>
        </w:rPr>
        <w:br/>
      </w:r>
      <w:proofErr w:type="spellStart"/>
      <w:r w:rsidR="00D66909">
        <w:rPr>
          <w:sz w:val="24"/>
          <w:szCs w:val="24"/>
        </w:rPr>
        <w:t>Vaišvilčių</w:t>
      </w:r>
      <w:proofErr w:type="spellEnd"/>
      <w:r w:rsidR="00D66909">
        <w:rPr>
          <w:sz w:val="24"/>
          <w:szCs w:val="24"/>
        </w:rPr>
        <w:t xml:space="preserve"> I k., </w:t>
      </w:r>
      <w:r>
        <w:rPr>
          <w:color w:val="000000"/>
          <w:sz w:val="24"/>
        </w:rPr>
        <w:t xml:space="preserve">nuomos dydis, bei </w:t>
      </w:r>
      <w:r w:rsidR="00296BC6">
        <w:rPr>
          <w:color w:val="000000"/>
          <w:sz w:val="24"/>
        </w:rPr>
        <w:t>1</w:t>
      </w:r>
      <w:r w:rsidR="00D66909">
        <w:rPr>
          <w:color w:val="000000"/>
          <w:sz w:val="24"/>
        </w:rPr>
        <w:t>0.4</w:t>
      </w:r>
      <w:r w:rsidR="00296BC6">
        <w:rPr>
          <w:color w:val="000000"/>
          <w:sz w:val="24"/>
        </w:rPr>
        <w:t xml:space="preserve"> papunktį pri</w:t>
      </w:r>
      <w:r>
        <w:rPr>
          <w:color w:val="000000"/>
          <w:sz w:val="24"/>
        </w:rPr>
        <w:t>pažinti netekusi</w:t>
      </w:r>
      <w:r w:rsidR="00296BC6">
        <w:rPr>
          <w:color w:val="000000"/>
          <w:sz w:val="24"/>
        </w:rPr>
        <w:t>u</w:t>
      </w:r>
      <w:r>
        <w:rPr>
          <w:color w:val="000000"/>
          <w:sz w:val="24"/>
        </w:rPr>
        <w:t xml:space="preserve"> galios</w:t>
      </w:r>
      <w:r w:rsidR="00D66909">
        <w:rPr>
          <w:color w:val="000000"/>
          <w:sz w:val="24"/>
        </w:rPr>
        <w:t xml:space="preserve"> (buto, </w:t>
      </w:r>
      <w:r w:rsidR="00A15DAC">
        <w:rPr>
          <w:color w:val="000000"/>
          <w:sz w:val="24"/>
        </w:rPr>
        <w:t xml:space="preserve">esančio </w:t>
      </w:r>
      <w:r w:rsidR="00A15DAC">
        <w:rPr>
          <w:color w:val="000000"/>
          <w:sz w:val="24"/>
        </w:rPr>
        <w:br/>
      </w:r>
      <w:bookmarkStart w:id="0" w:name="_GoBack"/>
      <w:bookmarkEnd w:id="0"/>
      <w:r w:rsidR="00D66909">
        <w:rPr>
          <w:sz w:val="24"/>
          <w:szCs w:val="24"/>
        </w:rPr>
        <w:t xml:space="preserve">Dvaro g. 16-2, </w:t>
      </w:r>
      <w:proofErr w:type="spellStart"/>
      <w:r w:rsidR="00D66909">
        <w:rPr>
          <w:sz w:val="24"/>
          <w:szCs w:val="24"/>
        </w:rPr>
        <w:t>Vaišvilčių</w:t>
      </w:r>
      <w:proofErr w:type="spellEnd"/>
      <w:r w:rsidR="00D66909">
        <w:rPr>
          <w:sz w:val="24"/>
          <w:szCs w:val="24"/>
        </w:rPr>
        <w:t xml:space="preserve"> I k., nustatytą nuomos dydį)</w:t>
      </w:r>
      <w:r>
        <w:rPr>
          <w:color w:val="000000"/>
          <w:sz w:val="24"/>
        </w:rPr>
        <w:t xml:space="preserve">. </w:t>
      </w:r>
    </w:p>
    <w:p w:rsidR="009B5210" w:rsidRPr="00B16189" w:rsidRDefault="000864A7" w:rsidP="00B16189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B16189">
        <w:rPr>
          <w:b/>
          <w:bCs/>
          <w:sz w:val="24"/>
          <w:szCs w:val="24"/>
        </w:rPr>
        <w:t xml:space="preserve"> </w:t>
      </w:r>
      <w:r w:rsidR="00F8215C">
        <w:rPr>
          <w:bCs/>
          <w:sz w:val="24"/>
          <w:szCs w:val="24"/>
        </w:rPr>
        <w:t xml:space="preserve">Vadovaujantis Metodika </w:t>
      </w:r>
      <w:r w:rsidR="00C071FB">
        <w:rPr>
          <w:bCs/>
          <w:sz w:val="24"/>
          <w:szCs w:val="24"/>
        </w:rPr>
        <w:t>apskaičiuot</w:t>
      </w:r>
      <w:r w:rsidR="009008D0">
        <w:rPr>
          <w:bCs/>
          <w:sz w:val="24"/>
          <w:szCs w:val="24"/>
        </w:rPr>
        <w:t>as</w:t>
      </w:r>
      <w:r w:rsidR="002B4AA8">
        <w:rPr>
          <w:bCs/>
          <w:sz w:val="24"/>
          <w:szCs w:val="24"/>
        </w:rPr>
        <w:t xml:space="preserve"> ir </w:t>
      </w:r>
      <w:r w:rsidR="00C071FB">
        <w:rPr>
          <w:bCs/>
          <w:sz w:val="24"/>
          <w:szCs w:val="24"/>
        </w:rPr>
        <w:t>nustatyt</w:t>
      </w:r>
      <w:r w:rsidR="009008D0">
        <w:rPr>
          <w:bCs/>
          <w:sz w:val="24"/>
          <w:szCs w:val="24"/>
        </w:rPr>
        <w:t>as</w:t>
      </w:r>
      <w:r w:rsidR="00F8215C">
        <w:rPr>
          <w:bCs/>
          <w:sz w:val="24"/>
          <w:szCs w:val="24"/>
        </w:rPr>
        <w:t xml:space="preserve"> </w:t>
      </w:r>
      <w:r w:rsidR="001667EB">
        <w:rPr>
          <w:color w:val="000000"/>
          <w:sz w:val="24"/>
          <w:szCs w:val="24"/>
        </w:rPr>
        <w:t xml:space="preserve">socialinių būstų </w:t>
      </w:r>
      <w:r w:rsidR="00965B2F">
        <w:rPr>
          <w:bCs/>
          <w:sz w:val="24"/>
          <w:szCs w:val="24"/>
        </w:rPr>
        <w:t>nuomos mokesčio</w:t>
      </w:r>
      <w:r w:rsidR="00F8215C">
        <w:rPr>
          <w:bCs/>
          <w:sz w:val="24"/>
          <w:szCs w:val="24"/>
        </w:rPr>
        <w:t xml:space="preserve"> dydis.</w:t>
      </w:r>
      <w:r w:rsidR="002B4AA8">
        <w:rPr>
          <w:bCs/>
          <w:sz w:val="24"/>
          <w:szCs w:val="24"/>
        </w:rPr>
        <w:t xml:space="preserve"> </w:t>
      </w:r>
    </w:p>
    <w:p w:rsidR="000864A7" w:rsidRPr="00B16189" w:rsidRDefault="000864A7" w:rsidP="00B1618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B1618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0864A7" w:rsidRPr="00B16189" w:rsidRDefault="000864A7" w:rsidP="00B1618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B16189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Nereikia.</w:t>
      </w:r>
    </w:p>
    <w:p w:rsidR="007C7DB4" w:rsidRPr="00B16189" w:rsidRDefault="000864A7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B1618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  <w:r w:rsidR="007C7DB4">
        <w:rPr>
          <w:sz w:val="24"/>
          <w:szCs w:val="24"/>
        </w:rPr>
        <w:t xml:space="preserve">    </w:t>
      </w:r>
    </w:p>
    <w:p w:rsidR="007C7DB4" w:rsidRDefault="007C7DB4" w:rsidP="00B1618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312C02" w:rsidRDefault="00312C02">
      <w:pPr>
        <w:ind w:right="72"/>
        <w:jc w:val="both"/>
        <w:rPr>
          <w:sz w:val="24"/>
          <w:szCs w:val="24"/>
        </w:rPr>
      </w:pPr>
    </w:p>
    <w:p w:rsidR="00312C02" w:rsidRDefault="00312C02">
      <w:pPr>
        <w:ind w:right="72"/>
        <w:jc w:val="both"/>
        <w:rPr>
          <w:sz w:val="24"/>
          <w:szCs w:val="24"/>
        </w:rPr>
      </w:pPr>
    </w:p>
    <w:p w:rsidR="000864A7" w:rsidRDefault="000864A7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0864A7" w:rsidSect="004110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851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D0" w:rsidRDefault="00434DD0">
      <w:r>
        <w:separator/>
      </w:r>
    </w:p>
  </w:endnote>
  <w:endnote w:type="continuationSeparator" w:id="0">
    <w:p w:rsidR="00434DD0" w:rsidRDefault="0043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D0" w:rsidRDefault="00434DD0">
      <w:r>
        <w:separator/>
      </w:r>
    </w:p>
  </w:footnote>
  <w:footnote w:type="continuationSeparator" w:id="0">
    <w:p w:rsidR="00434DD0" w:rsidRDefault="0043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65D85"/>
    <w:multiLevelType w:val="hybridMultilevel"/>
    <w:tmpl w:val="6D3890A8"/>
    <w:lvl w:ilvl="0" w:tplc="BF58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35C20"/>
    <w:rsid w:val="00046653"/>
    <w:rsid w:val="000549D7"/>
    <w:rsid w:val="000557F1"/>
    <w:rsid w:val="00056446"/>
    <w:rsid w:val="00060260"/>
    <w:rsid w:val="0006184C"/>
    <w:rsid w:val="000864A7"/>
    <w:rsid w:val="00086DF1"/>
    <w:rsid w:val="00092C83"/>
    <w:rsid w:val="000A3047"/>
    <w:rsid w:val="000A3482"/>
    <w:rsid w:val="000B3F03"/>
    <w:rsid w:val="000B52B6"/>
    <w:rsid w:val="000D78A5"/>
    <w:rsid w:val="000E4A34"/>
    <w:rsid w:val="00101EAF"/>
    <w:rsid w:val="00103A94"/>
    <w:rsid w:val="0011529A"/>
    <w:rsid w:val="00127D83"/>
    <w:rsid w:val="00141762"/>
    <w:rsid w:val="001441A4"/>
    <w:rsid w:val="00150461"/>
    <w:rsid w:val="00154EA5"/>
    <w:rsid w:val="001644D4"/>
    <w:rsid w:val="001667EB"/>
    <w:rsid w:val="001804E7"/>
    <w:rsid w:val="00194569"/>
    <w:rsid w:val="00194C79"/>
    <w:rsid w:val="001A7B00"/>
    <w:rsid w:val="001D5E26"/>
    <w:rsid w:val="001D621D"/>
    <w:rsid w:val="001D6AF0"/>
    <w:rsid w:val="001E27DB"/>
    <w:rsid w:val="00224143"/>
    <w:rsid w:val="00227037"/>
    <w:rsid w:val="0024124B"/>
    <w:rsid w:val="00241F58"/>
    <w:rsid w:val="002451AD"/>
    <w:rsid w:val="00253E53"/>
    <w:rsid w:val="00261111"/>
    <w:rsid w:val="00270913"/>
    <w:rsid w:val="002715C3"/>
    <w:rsid w:val="0027691A"/>
    <w:rsid w:val="00291E3F"/>
    <w:rsid w:val="00296BC6"/>
    <w:rsid w:val="002A0F08"/>
    <w:rsid w:val="002A4785"/>
    <w:rsid w:val="002B4AA8"/>
    <w:rsid w:val="002B78BF"/>
    <w:rsid w:val="002D3247"/>
    <w:rsid w:val="002E3E05"/>
    <w:rsid w:val="002F07C9"/>
    <w:rsid w:val="00301D5C"/>
    <w:rsid w:val="003065EB"/>
    <w:rsid w:val="00312C02"/>
    <w:rsid w:val="003203A0"/>
    <w:rsid w:val="0033142E"/>
    <w:rsid w:val="003349F2"/>
    <w:rsid w:val="00364BB9"/>
    <w:rsid w:val="00391B37"/>
    <w:rsid w:val="003979AB"/>
    <w:rsid w:val="003A190B"/>
    <w:rsid w:val="003A1F94"/>
    <w:rsid w:val="003A4CEF"/>
    <w:rsid w:val="004006B0"/>
    <w:rsid w:val="004110B4"/>
    <w:rsid w:val="004238F5"/>
    <w:rsid w:val="00424577"/>
    <w:rsid w:val="004309DA"/>
    <w:rsid w:val="004342BD"/>
    <w:rsid w:val="00434DD0"/>
    <w:rsid w:val="004441C0"/>
    <w:rsid w:val="00445401"/>
    <w:rsid w:val="00467D63"/>
    <w:rsid w:val="00472A5A"/>
    <w:rsid w:val="00483D4B"/>
    <w:rsid w:val="0048561A"/>
    <w:rsid w:val="00496C18"/>
    <w:rsid w:val="004A27DA"/>
    <w:rsid w:val="004B22C5"/>
    <w:rsid w:val="004B5456"/>
    <w:rsid w:val="004F4075"/>
    <w:rsid w:val="00501C6A"/>
    <w:rsid w:val="00505174"/>
    <w:rsid w:val="0053799B"/>
    <w:rsid w:val="005D4161"/>
    <w:rsid w:val="005D5F8C"/>
    <w:rsid w:val="005E3306"/>
    <w:rsid w:val="00600FA5"/>
    <w:rsid w:val="00603CEC"/>
    <w:rsid w:val="00607AB0"/>
    <w:rsid w:val="00611A4D"/>
    <w:rsid w:val="00613D12"/>
    <w:rsid w:val="00620A9A"/>
    <w:rsid w:val="00621D5B"/>
    <w:rsid w:val="00627E5C"/>
    <w:rsid w:val="0063313E"/>
    <w:rsid w:val="006356F7"/>
    <w:rsid w:val="00657ABB"/>
    <w:rsid w:val="00664A85"/>
    <w:rsid w:val="006722BE"/>
    <w:rsid w:val="00683F71"/>
    <w:rsid w:val="006923FE"/>
    <w:rsid w:val="006968B9"/>
    <w:rsid w:val="006A5D8C"/>
    <w:rsid w:val="006B4E6F"/>
    <w:rsid w:val="006E561F"/>
    <w:rsid w:val="00720945"/>
    <w:rsid w:val="0073099A"/>
    <w:rsid w:val="0074708D"/>
    <w:rsid w:val="00753063"/>
    <w:rsid w:val="007616FC"/>
    <w:rsid w:val="00777C60"/>
    <w:rsid w:val="00781B45"/>
    <w:rsid w:val="007A38EF"/>
    <w:rsid w:val="007C04A5"/>
    <w:rsid w:val="007C7A87"/>
    <w:rsid w:val="007C7DB4"/>
    <w:rsid w:val="0080548B"/>
    <w:rsid w:val="008127F0"/>
    <w:rsid w:val="008177C7"/>
    <w:rsid w:val="00820DC4"/>
    <w:rsid w:val="00824DBC"/>
    <w:rsid w:val="0084214F"/>
    <w:rsid w:val="00866193"/>
    <w:rsid w:val="00871A60"/>
    <w:rsid w:val="00876B21"/>
    <w:rsid w:val="00885CDE"/>
    <w:rsid w:val="00886563"/>
    <w:rsid w:val="008952FE"/>
    <w:rsid w:val="00897D47"/>
    <w:rsid w:val="008D4049"/>
    <w:rsid w:val="008E43DB"/>
    <w:rsid w:val="008E5751"/>
    <w:rsid w:val="008E620D"/>
    <w:rsid w:val="009008D0"/>
    <w:rsid w:val="009014F6"/>
    <w:rsid w:val="009020DD"/>
    <w:rsid w:val="00907CA4"/>
    <w:rsid w:val="00913134"/>
    <w:rsid w:val="00914529"/>
    <w:rsid w:val="00931F2E"/>
    <w:rsid w:val="00965B2F"/>
    <w:rsid w:val="009753F9"/>
    <w:rsid w:val="009B3382"/>
    <w:rsid w:val="009B5210"/>
    <w:rsid w:val="009D0B8B"/>
    <w:rsid w:val="009E5802"/>
    <w:rsid w:val="009E6A0F"/>
    <w:rsid w:val="009F6050"/>
    <w:rsid w:val="009F6983"/>
    <w:rsid w:val="00A0103F"/>
    <w:rsid w:val="00A15660"/>
    <w:rsid w:val="00A15DAC"/>
    <w:rsid w:val="00A2572D"/>
    <w:rsid w:val="00A2693B"/>
    <w:rsid w:val="00A4594D"/>
    <w:rsid w:val="00A652E9"/>
    <w:rsid w:val="00A65E88"/>
    <w:rsid w:val="00A82A9D"/>
    <w:rsid w:val="00A90077"/>
    <w:rsid w:val="00A95092"/>
    <w:rsid w:val="00A97997"/>
    <w:rsid w:val="00AB24D8"/>
    <w:rsid w:val="00AE5CAC"/>
    <w:rsid w:val="00AE7A8D"/>
    <w:rsid w:val="00AF2C31"/>
    <w:rsid w:val="00B02A58"/>
    <w:rsid w:val="00B04FA6"/>
    <w:rsid w:val="00B10932"/>
    <w:rsid w:val="00B13721"/>
    <w:rsid w:val="00B153E5"/>
    <w:rsid w:val="00B16189"/>
    <w:rsid w:val="00B24BB0"/>
    <w:rsid w:val="00B30959"/>
    <w:rsid w:val="00B733DF"/>
    <w:rsid w:val="00B93A75"/>
    <w:rsid w:val="00BA21F6"/>
    <w:rsid w:val="00BA5180"/>
    <w:rsid w:val="00BC11CE"/>
    <w:rsid w:val="00BD27CE"/>
    <w:rsid w:val="00BD51DA"/>
    <w:rsid w:val="00BE03A9"/>
    <w:rsid w:val="00C02708"/>
    <w:rsid w:val="00C071FB"/>
    <w:rsid w:val="00C079D6"/>
    <w:rsid w:val="00C570D8"/>
    <w:rsid w:val="00C61E8E"/>
    <w:rsid w:val="00C65071"/>
    <w:rsid w:val="00C6666A"/>
    <w:rsid w:val="00CA1D8E"/>
    <w:rsid w:val="00CB73A6"/>
    <w:rsid w:val="00CC6088"/>
    <w:rsid w:val="00CC62EC"/>
    <w:rsid w:val="00CD12E9"/>
    <w:rsid w:val="00D15473"/>
    <w:rsid w:val="00D15DDA"/>
    <w:rsid w:val="00D465A2"/>
    <w:rsid w:val="00D62E1D"/>
    <w:rsid w:val="00D66909"/>
    <w:rsid w:val="00D90CE8"/>
    <w:rsid w:val="00D95143"/>
    <w:rsid w:val="00DA7872"/>
    <w:rsid w:val="00DB1D02"/>
    <w:rsid w:val="00DC002E"/>
    <w:rsid w:val="00DD1504"/>
    <w:rsid w:val="00DE2A31"/>
    <w:rsid w:val="00DE76E2"/>
    <w:rsid w:val="00E03D62"/>
    <w:rsid w:val="00E341A1"/>
    <w:rsid w:val="00E50E87"/>
    <w:rsid w:val="00E572D3"/>
    <w:rsid w:val="00E86AB9"/>
    <w:rsid w:val="00EA3E3E"/>
    <w:rsid w:val="00EB6F27"/>
    <w:rsid w:val="00EE3C65"/>
    <w:rsid w:val="00EE7AB7"/>
    <w:rsid w:val="00EF63C8"/>
    <w:rsid w:val="00F12252"/>
    <w:rsid w:val="00F30E8F"/>
    <w:rsid w:val="00F41406"/>
    <w:rsid w:val="00F42D8A"/>
    <w:rsid w:val="00F62E14"/>
    <w:rsid w:val="00F8215C"/>
    <w:rsid w:val="00F840F3"/>
    <w:rsid w:val="00F9660A"/>
    <w:rsid w:val="00F972A4"/>
    <w:rsid w:val="00FA3D29"/>
    <w:rsid w:val="00FB02C8"/>
    <w:rsid w:val="00FB5BF0"/>
    <w:rsid w:val="00FC3BED"/>
    <w:rsid w:val="00FC4174"/>
    <w:rsid w:val="00FE54AE"/>
    <w:rsid w:val="00FE697B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4AF6-9C8F-4ACB-B9BB-0E2B65D2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101</cp:revision>
  <cp:lastPrinted>2019-06-06T13:06:00Z</cp:lastPrinted>
  <dcterms:created xsi:type="dcterms:W3CDTF">2017-06-09T06:59:00Z</dcterms:created>
  <dcterms:modified xsi:type="dcterms:W3CDTF">2020-09-10T08:52:00Z</dcterms:modified>
</cp:coreProperties>
</file>