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17E" w:rsidRPr="009013D8" w:rsidRDefault="0074017E" w:rsidP="005C78A1">
      <w:pPr>
        <w:ind w:left="1800" w:firstLine="360"/>
        <w:jc w:val="both"/>
      </w:pPr>
      <w:r w:rsidRPr="009013D8">
        <w:tab/>
      </w:r>
      <w:r w:rsidRPr="009013D8">
        <w:tab/>
      </w:r>
      <w:r w:rsidRPr="009013D8">
        <w:tab/>
      </w:r>
      <w:r w:rsidR="00C34CC0" w:rsidRPr="009013D8">
        <w:tab/>
      </w:r>
      <w:r w:rsidR="00C34CC0" w:rsidRPr="009013D8">
        <w:tab/>
      </w:r>
      <w:r w:rsidR="00C34CC0" w:rsidRPr="009013D8">
        <w:tab/>
      </w:r>
      <w:r w:rsidR="00C34CC0" w:rsidRPr="009013D8">
        <w:tab/>
      </w:r>
      <w:r w:rsidR="00C34CC0" w:rsidRPr="009013D8">
        <w:tab/>
      </w:r>
      <w:r w:rsidR="00C34CC0" w:rsidRPr="009013D8">
        <w:tab/>
      </w:r>
      <w:r w:rsidRPr="009013D8">
        <w:t>PATVIRTINTA</w:t>
      </w:r>
    </w:p>
    <w:p w:rsidR="0074017E" w:rsidRPr="00D23BB7" w:rsidRDefault="0074017E" w:rsidP="005C78A1">
      <w:pPr>
        <w:ind w:left="1800" w:firstLine="360"/>
        <w:jc w:val="both"/>
        <w:rPr>
          <w:rStyle w:val="Rykuspabraukimas"/>
          <w:i w:val="0"/>
        </w:rPr>
      </w:pPr>
      <w:r w:rsidRPr="009013D8">
        <w:tab/>
      </w:r>
      <w:r w:rsidRPr="009013D8">
        <w:tab/>
      </w:r>
      <w:r w:rsidRPr="009013D8">
        <w:tab/>
      </w:r>
      <w:r w:rsidR="00C34CC0" w:rsidRPr="009013D8">
        <w:tab/>
      </w:r>
      <w:r w:rsidR="00C34CC0" w:rsidRPr="009013D8">
        <w:tab/>
      </w:r>
      <w:r w:rsidR="00C34CC0" w:rsidRPr="009013D8">
        <w:tab/>
      </w:r>
      <w:r w:rsidR="00C34CC0" w:rsidRPr="009013D8">
        <w:tab/>
      </w:r>
      <w:r w:rsidR="00C34CC0" w:rsidRPr="009013D8">
        <w:tab/>
      </w:r>
      <w:r w:rsidR="00C34CC0" w:rsidRPr="009013D8">
        <w:tab/>
      </w:r>
      <w:r w:rsidRPr="009013D8">
        <w:t>Panevėžio rajono</w:t>
      </w:r>
      <w:r w:rsidR="00D23BB7">
        <w:t xml:space="preserve"> savivaldybės tarybos</w:t>
      </w:r>
    </w:p>
    <w:p w:rsidR="0074017E" w:rsidRPr="009013D8" w:rsidRDefault="0074017E" w:rsidP="005C78A1">
      <w:pPr>
        <w:ind w:left="1800" w:firstLine="360"/>
        <w:jc w:val="both"/>
      </w:pPr>
      <w:r w:rsidRPr="009013D8">
        <w:tab/>
      </w:r>
      <w:r w:rsidRPr="009013D8">
        <w:tab/>
      </w:r>
      <w:r w:rsidRPr="009013D8">
        <w:tab/>
      </w:r>
      <w:r w:rsidR="00C34CC0" w:rsidRPr="009013D8">
        <w:tab/>
      </w:r>
      <w:r w:rsidR="00C34CC0" w:rsidRPr="009013D8">
        <w:tab/>
      </w:r>
      <w:r w:rsidR="00C34CC0" w:rsidRPr="009013D8">
        <w:tab/>
      </w:r>
      <w:r w:rsidR="00C34CC0" w:rsidRPr="009013D8">
        <w:tab/>
      </w:r>
      <w:r w:rsidR="00C34CC0" w:rsidRPr="009013D8">
        <w:tab/>
      </w:r>
      <w:r w:rsidR="00C34CC0" w:rsidRPr="009013D8">
        <w:tab/>
      </w:r>
      <w:r w:rsidRPr="009013D8">
        <w:t>20</w:t>
      </w:r>
      <w:r w:rsidR="00D23BB7">
        <w:t>20</w:t>
      </w:r>
      <w:r w:rsidRPr="009013D8">
        <w:t xml:space="preserve"> m.</w:t>
      </w:r>
      <w:r w:rsidR="006D0EAF">
        <w:t xml:space="preserve"> gruodžio </w:t>
      </w:r>
      <w:r w:rsidR="00A8621D">
        <w:t>3</w:t>
      </w:r>
      <w:r w:rsidR="00D23BB7">
        <w:t xml:space="preserve"> </w:t>
      </w:r>
      <w:r w:rsidRPr="009013D8">
        <w:t>d. sprendimu Nr.</w:t>
      </w:r>
      <w:r w:rsidR="00797566" w:rsidRPr="009013D8">
        <w:t xml:space="preserve"> </w:t>
      </w:r>
      <w:r w:rsidRPr="009013D8">
        <w:t>T-</w:t>
      </w:r>
    </w:p>
    <w:p w:rsidR="0074017E" w:rsidRPr="009013D8" w:rsidRDefault="0074017E" w:rsidP="0039355F"/>
    <w:p w:rsidR="0074017E" w:rsidRPr="009013D8" w:rsidRDefault="0074017E" w:rsidP="005C78A1">
      <w:pPr>
        <w:ind w:left="360" w:firstLine="360"/>
        <w:jc w:val="center"/>
      </w:pPr>
    </w:p>
    <w:p w:rsidR="0074017E" w:rsidRPr="009013D8" w:rsidRDefault="0074017E" w:rsidP="00A8621D">
      <w:pPr>
        <w:spacing w:line="276" w:lineRule="auto"/>
        <w:ind w:left="360" w:firstLine="360"/>
        <w:jc w:val="center"/>
        <w:rPr>
          <w:b/>
        </w:rPr>
      </w:pPr>
      <w:r w:rsidRPr="009013D8">
        <w:rPr>
          <w:b/>
        </w:rPr>
        <w:t xml:space="preserve">PANEVĖŽIO RAJONO SAVIVALDYBĖS BENDROJO </w:t>
      </w:r>
      <w:r w:rsidR="00703C27" w:rsidRPr="009013D8">
        <w:rPr>
          <w:b/>
        </w:rPr>
        <w:t>UGDYMO</w:t>
      </w:r>
      <w:r w:rsidRPr="009013D8">
        <w:rPr>
          <w:b/>
        </w:rPr>
        <w:t xml:space="preserve"> MOKYKLŲ TINKLO PERTVARKOS</w:t>
      </w:r>
      <w:r w:rsidR="00A8621D">
        <w:rPr>
          <w:b/>
        </w:rPr>
        <w:t xml:space="preserve"> </w:t>
      </w:r>
      <w:r w:rsidR="00A8621D">
        <w:rPr>
          <w:b/>
        </w:rPr>
        <w:br/>
      </w:r>
      <w:r w:rsidRPr="009013D8">
        <w:rPr>
          <w:b/>
        </w:rPr>
        <w:t>20</w:t>
      </w:r>
      <w:r w:rsidR="00D23BB7">
        <w:rPr>
          <w:b/>
        </w:rPr>
        <w:t>21</w:t>
      </w:r>
      <w:r w:rsidR="00C34CC0" w:rsidRPr="009013D8">
        <w:rPr>
          <w:b/>
        </w:rPr>
        <w:t>–</w:t>
      </w:r>
      <w:r w:rsidRPr="009013D8">
        <w:rPr>
          <w:b/>
        </w:rPr>
        <w:t>20</w:t>
      </w:r>
      <w:r w:rsidR="00D23BB7">
        <w:rPr>
          <w:b/>
        </w:rPr>
        <w:t>25</w:t>
      </w:r>
      <w:r w:rsidRPr="009013D8">
        <w:rPr>
          <w:b/>
        </w:rPr>
        <w:t xml:space="preserve"> MET</w:t>
      </w:r>
      <w:r w:rsidR="00C34CC0" w:rsidRPr="009013D8">
        <w:rPr>
          <w:b/>
        </w:rPr>
        <w:t>AIS</w:t>
      </w:r>
      <w:r w:rsidR="009D19CD" w:rsidRPr="009013D8">
        <w:rPr>
          <w:b/>
        </w:rPr>
        <w:t xml:space="preserve"> </w:t>
      </w:r>
      <w:r w:rsidRPr="009013D8">
        <w:rPr>
          <w:b/>
        </w:rPr>
        <w:t>BENDRASIS PLANAS</w:t>
      </w:r>
    </w:p>
    <w:p w:rsidR="00C34CC0" w:rsidRPr="00DB6DCD" w:rsidRDefault="00C34CC0" w:rsidP="00DB6DCD">
      <w:pPr>
        <w:pStyle w:val="Betarp"/>
        <w:rPr>
          <w:rFonts w:ascii="Times New Roman" w:hAnsi="Times New Roman"/>
          <w:sz w:val="24"/>
          <w:szCs w:val="24"/>
        </w:rPr>
      </w:pPr>
    </w:p>
    <w:p w:rsidR="00C34CC0" w:rsidRPr="00DB6DCD" w:rsidRDefault="00C34CC0" w:rsidP="00DB6DCD">
      <w:pPr>
        <w:pStyle w:val="Betarp"/>
        <w:rPr>
          <w:rFonts w:ascii="Times New Roman" w:hAnsi="Times New Roman"/>
          <w:sz w:val="24"/>
          <w:szCs w:val="24"/>
        </w:rPr>
      </w:pPr>
    </w:p>
    <w:p w:rsidR="0074017E" w:rsidRPr="00DB6DCD" w:rsidRDefault="00CC0FD0" w:rsidP="00DB6DCD">
      <w:pPr>
        <w:pStyle w:val="Betarp"/>
        <w:jc w:val="center"/>
        <w:rPr>
          <w:rFonts w:ascii="Times New Roman" w:hAnsi="Times New Roman"/>
          <w:b/>
          <w:sz w:val="24"/>
          <w:szCs w:val="24"/>
        </w:rPr>
      </w:pPr>
      <w:r w:rsidRPr="00DB6DCD">
        <w:rPr>
          <w:rFonts w:ascii="Times New Roman" w:hAnsi="Times New Roman"/>
          <w:b/>
          <w:sz w:val="24"/>
          <w:szCs w:val="24"/>
        </w:rPr>
        <w:t>TURINYS</w:t>
      </w:r>
    </w:p>
    <w:p w:rsidR="00786A13" w:rsidRPr="00DB6DCD" w:rsidRDefault="00786A13" w:rsidP="00DB6DCD">
      <w:pPr>
        <w:pStyle w:val="Betarp"/>
        <w:rPr>
          <w:rFonts w:ascii="Times New Roman" w:hAnsi="Times New Roman"/>
          <w:sz w:val="24"/>
          <w:szCs w:val="24"/>
        </w:rPr>
      </w:pPr>
    </w:p>
    <w:p w:rsidR="00CC0FD0" w:rsidRPr="009013D8" w:rsidRDefault="00CC0FD0" w:rsidP="0096225A">
      <w:pPr>
        <w:spacing w:line="276" w:lineRule="auto"/>
        <w:ind w:firstLine="426"/>
        <w:jc w:val="both"/>
      </w:pPr>
      <w:r w:rsidRPr="009013D8">
        <w:rPr>
          <w:bCs/>
        </w:rPr>
        <w:t>I</w:t>
      </w:r>
      <w:r w:rsidR="00A8621D">
        <w:rPr>
          <w:bCs/>
        </w:rPr>
        <w:t xml:space="preserve"> SKYRIUS</w:t>
      </w:r>
      <w:r w:rsidRPr="009013D8">
        <w:rPr>
          <w:bCs/>
        </w:rPr>
        <w:t>. BENDRO</w:t>
      </w:r>
      <w:r w:rsidR="00A8621D">
        <w:rPr>
          <w:bCs/>
        </w:rPr>
        <w:t>SIOS NUOSTATOS</w:t>
      </w:r>
    </w:p>
    <w:p w:rsidR="00CC0FD0" w:rsidRPr="009013D8" w:rsidRDefault="00CC0FD0" w:rsidP="0096225A">
      <w:pPr>
        <w:spacing w:line="276" w:lineRule="auto"/>
        <w:ind w:firstLine="426"/>
        <w:jc w:val="both"/>
      </w:pPr>
      <w:r w:rsidRPr="009013D8">
        <w:rPr>
          <w:bCs/>
        </w:rPr>
        <w:t>II</w:t>
      </w:r>
      <w:r w:rsidR="00A8621D">
        <w:rPr>
          <w:bCs/>
        </w:rPr>
        <w:t xml:space="preserve"> SKYRIUS</w:t>
      </w:r>
      <w:r w:rsidRPr="009013D8">
        <w:rPr>
          <w:bCs/>
        </w:rPr>
        <w:t xml:space="preserve">. </w:t>
      </w:r>
      <w:r w:rsidR="00A8621D">
        <w:rPr>
          <w:bCs/>
        </w:rPr>
        <w:t>SOCIALINIS, EKONOMINIS, KULTŪRINIS</w:t>
      </w:r>
      <w:r w:rsidRPr="009013D8">
        <w:rPr>
          <w:bCs/>
        </w:rPr>
        <w:t xml:space="preserve"> KONTEKST</w:t>
      </w:r>
      <w:r w:rsidR="00A8621D">
        <w:rPr>
          <w:bCs/>
        </w:rPr>
        <w:t>AS</w:t>
      </w:r>
    </w:p>
    <w:p w:rsidR="00CC0FD0" w:rsidRPr="009013D8" w:rsidRDefault="00CC0FD0" w:rsidP="0096225A">
      <w:pPr>
        <w:spacing w:line="276" w:lineRule="auto"/>
        <w:ind w:firstLine="426"/>
        <w:jc w:val="both"/>
      </w:pPr>
      <w:r w:rsidRPr="009013D8">
        <w:rPr>
          <w:bCs/>
        </w:rPr>
        <w:t>1. Demografinė būklė.</w:t>
      </w:r>
      <w:r w:rsidRPr="009013D8">
        <w:t xml:space="preserve"> </w:t>
      </w:r>
    </w:p>
    <w:p w:rsidR="00CC0FD0" w:rsidRPr="009013D8" w:rsidRDefault="00CC0FD0" w:rsidP="0096225A">
      <w:pPr>
        <w:spacing w:line="276" w:lineRule="auto"/>
        <w:ind w:firstLine="426"/>
        <w:jc w:val="both"/>
      </w:pPr>
      <w:r w:rsidRPr="009013D8">
        <w:rPr>
          <w:bCs/>
        </w:rPr>
        <w:t>2. Ekonominė ir socialinė būklė.</w:t>
      </w:r>
      <w:r w:rsidRPr="009013D8">
        <w:t xml:space="preserve"> </w:t>
      </w:r>
    </w:p>
    <w:p w:rsidR="00CC0FD0" w:rsidRPr="009013D8" w:rsidRDefault="00CC0FD0" w:rsidP="0096225A">
      <w:pPr>
        <w:spacing w:line="276" w:lineRule="auto"/>
        <w:ind w:firstLine="426"/>
        <w:jc w:val="both"/>
      </w:pPr>
      <w:r w:rsidRPr="009013D8">
        <w:rPr>
          <w:bCs/>
        </w:rPr>
        <w:t>3.</w:t>
      </w:r>
      <w:r w:rsidRPr="009013D8">
        <w:t xml:space="preserve"> </w:t>
      </w:r>
      <w:r w:rsidRPr="009013D8">
        <w:rPr>
          <w:bCs/>
        </w:rPr>
        <w:t>Švietimo finansinis kontekstas.</w:t>
      </w:r>
      <w:r w:rsidRPr="009013D8">
        <w:t xml:space="preserve"> </w:t>
      </w:r>
    </w:p>
    <w:p w:rsidR="00FD54DB" w:rsidRDefault="00CC0FD0" w:rsidP="0096225A">
      <w:pPr>
        <w:tabs>
          <w:tab w:val="center" w:pos="7276"/>
        </w:tabs>
        <w:spacing w:line="276" w:lineRule="auto"/>
        <w:ind w:firstLine="426"/>
        <w:jc w:val="both"/>
        <w:rPr>
          <w:bCs/>
        </w:rPr>
      </w:pPr>
      <w:r w:rsidRPr="009013D8">
        <w:rPr>
          <w:bCs/>
        </w:rPr>
        <w:t>4. Mokinių vežimas.</w:t>
      </w:r>
    </w:p>
    <w:p w:rsidR="00CC0FD0" w:rsidRPr="009013D8" w:rsidRDefault="00FD54DB" w:rsidP="0096225A">
      <w:pPr>
        <w:tabs>
          <w:tab w:val="center" w:pos="7276"/>
        </w:tabs>
        <w:spacing w:line="276" w:lineRule="auto"/>
        <w:ind w:firstLine="426"/>
        <w:jc w:val="both"/>
      </w:pPr>
      <w:r>
        <w:rPr>
          <w:bCs/>
        </w:rPr>
        <w:t>5.</w:t>
      </w:r>
      <w:r w:rsidR="0053758D" w:rsidRPr="00DB6DCD">
        <w:rPr>
          <w:rFonts w:eastAsia="Calibri"/>
          <w:lang w:eastAsia="en-US"/>
        </w:rPr>
        <w:t xml:space="preserve"> </w:t>
      </w:r>
      <w:r w:rsidR="0053758D" w:rsidRPr="00FD54DB">
        <w:rPr>
          <w:rFonts w:eastAsia="Calibri"/>
          <w:lang w:eastAsia="en-US"/>
        </w:rPr>
        <w:t>Neformaliojo vaikų švietimo</w:t>
      </w:r>
      <w:r w:rsidR="00096E77">
        <w:rPr>
          <w:rFonts w:eastAsia="Calibri"/>
          <w:lang w:eastAsia="en-US"/>
        </w:rPr>
        <w:t xml:space="preserve"> (NVŠ)</w:t>
      </w:r>
      <w:r w:rsidR="0053758D" w:rsidRPr="00FD54DB">
        <w:rPr>
          <w:rFonts w:eastAsia="Calibri"/>
          <w:lang w:eastAsia="en-US"/>
        </w:rPr>
        <w:t xml:space="preserve"> įgyvendinimas</w:t>
      </w:r>
      <w:r w:rsidR="0053758D">
        <w:rPr>
          <w:bCs/>
        </w:rPr>
        <w:t>.</w:t>
      </w:r>
    </w:p>
    <w:p w:rsidR="00CC0FD0" w:rsidRPr="009013D8" w:rsidRDefault="00786A13" w:rsidP="0096225A">
      <w:pPr>
        <w:spacing w:line="276" w:lineRule="auto"/>
        <w:ind w:firstLine="426"/>
        <w:jc w:val="both"/>
      </w:pPr>
      <w:r w:rsidRPr="009013D8">
        <w:rPr>
          <w:bCs/>
        </w:rPr>
        <w:t>III</w:t>
      </w:r>
      <w:r w:rsidR="00A8621D">
        <w:rPr>
          <w:bCs/>
        </w:rPr>
        <w:t xml:space="preserve"> SKYRIUS</w:t>
      </w:r>
      <w:r w:rsidR="00CC0FD0" w:rsidRPr="009013D8">
        <w:rPr>
          <w:bCs/>
        </w:rPr>
        <w:t>. BENDROJO UGDYMO MOKYKLŲ TINKLO PERTVARKOS PAGRINDIMAS</w:t>
      </w:r>
      <w:r w:rsidR="00CC0FD0" w:rsidRPr="009013D8">
        <w:t xml:space="preserve"> </w:t>
      </w:r>
    </w:p>
    <w:p w:rsidR="00CC0FD0" w:rsidRPr="009013D8" w:rsidRDefault="0053758D" w:rsidP="00F415FD">
      <w:pPr>
        <w:spacing w:line="276" w:lineRule="auto"/>
        <w:ind w:firstLine="426"/>
        <w:jc w:val="both"/>
      </w:pPr>
      <w:r>
        <w:rPr>
          <w:bCs/>
        </w:rPr>
        <w:t>6</w:t>
      </w:r>
      <w:r w:rsidR="00CC0FD0" w:rsidRPr="009013D8">
        <w:rPr>
          <w:bCs/>
        </w:rPr>
        <w:t xml:space="preserve">. </w:t>
      </w:r>
      <w:r w:rsidR="00160012" w:rsidRPr="009013D8">
        <w:rPr>
          <w:bCs/>
        </w:rPr>
        <w:t>Mokykl</w:t>
      </w:r>
      <w:r w:rsidR="004C2DAD">
        <w:rPr>
          <w:bCs/>
        </w:rPr>
        <w:t>ų tinklo kaita 2</w:t>
      </w:r>
      <w:r w:rsidR="00CC0FD0" w:rsidRPr="009013D8">
        <w:rPr>
          <w:bCs/>
        </w:rPr>
        <w:t>0</w:t>
      </w:r>
      <w:r w:rsidR="008A29F1">
        <w:rPr>
          <w:bCs/>
        </w:rPr>
        <w:t>21</w:t>
      </w:r>
      <w:r w:rsidR="00786A13" w:rsidRPr="009013D8">
        <w:rPr>
          <w:bCs/>
        </w:rPr>
        <w:t>–</w:t>
      </w:r>
      <w:r w:rsidR="00CC0FD0" w:rsidRPr="009013D8">
        <w:rPr>
          <w:bCs/>
        </w:rPr>
        <w:t>20</w:t>
      </w:r>
      <w:r w:rsidR="004C2DAD">
        <w:rPr>
          <w:bCs/>
        </w:rPr>
        <w:t>25</w:t>
      </w:r>
      <w:r w:rsidR="00302DF8" w:rsidRPr="009013D8">
        <w:rPr>
          <w:bCs/>
        </w:rPr>
        <w:t xml:space="preserve"> </w:t>
      </w:r>
      <w:r w:rsidR="00CC0FD0" w:rsidRPr="009013D8">
        <w:rPr>
          <w:bCs/>
        </w:rPr>
        <w:t xml:space="preserve">metais. </w:t>
      </w:r>
    </w:p>
    <w:p w:rsidR="00CC0FD0" w:rsidRPr="009013D8" w:rsidRDefault="0053758D" w:rsidP="00F415FD">
      <w:pPr>
        <w:spacing w:line="276" w:lineRule="auto"/>
        <w:ind w:firstLine="426"/>
        <w:jc w:val="both"/>
      </w:pPr>
      <w:r>
        <w:rPr>
          <w:bCs/>
        </w:rPr>
        <w:t>7</w:t>
      </w:r>
      <w:r w:rsidR="00CC0FD0" w:rsidRPr="009013D8">
        <w:rPr>
          <w:bCs/>
        </w:rPr>
        <w:t>. Prognozuojama</w:t>
      </w:r>
      <w:r w:rsidR="00CC0FD0" w:rsidRPr="009013D8">
        <w:t xml:space="preserve"> </w:t>
      </w:r>
      <w:r w:rsidR="00786A13" w:rsidRPr="009013D8">
        <w:rPr>
          <w:bCs/>
        </w:rPr>
        <w:t>m</w:t>
      </w:r>
      <w:r w:rsidR="00CC0FD0" w:rsidRPr="009013D8">
        <w:rPr>
          <w:bCs/>
        </w:rPr>
        <w:t>okinių skaičiaus kaita.</w:t>
      </w:r>
      <w:r w:rsidR="00CC0FD0" w:rsidRPr="009013D8">
        <w:t xml:space="preserve"> </w:t>
      </w:r>
    </w:p>
    <w:p w:rsidR="00CC0FD0" w:rsidRPr="009013D8" w:rsidRDefault="0053758D" w:rsidP="00F415FD">
      <w:pPr>
        <w:spacing w:line="276" w:lineRule="auto"/>
        <w:ind w:firstLine="426"/>
        <w:jc w:val="both"/>
      </w:pPr>
      <w:r>
        <w:rPr>
          <w:bCs/>
        </w:rPr>
        <w:t>8</w:t>
      </w:r>
      <w:r w:rsidR="00CC0FD0" w:rsidRPr="009013D8">
        <w:rPr>
          <w:bCs/>
        </w:rPr>
        <w:t>. Ugdymo kokybė ir prieinamumas.</w:t>
      </w:r>
      <w:r w:rsidR="00CC0FD0" w:rsidRPr="009013D8">
        <w:t xml:space="preserve"> </w:t>
      </w:r>
    </w:p>
    <w:p w:rsidR="00CC0FD0" w:rsidRPr="009013D8" w:rsidRDefault="0053758D" w:rsidP="00F415FD">
      <w:pPr>
        <w:spacing w:line="276" w:lineRule="auto"/>
        <w:ind w:firstLine="426"/>
        <w:jc w:val="both"/>
      </w:pPr>
      <w:r>
        <w:rPr>
          <w:bCs/>
        </w:rPr>
        <w:t>9</w:t>
      </w:r>
      <w:r w:rsidR="00CC0FD0" w:rsidRPr="009013D8">
        <w:rPr>
          <w:bCs/>
        </w:rPr>
        <w:t xml:space="preserve">. Pastatų ir patalpų naudojimas švietimo reikmėms. </w:t>
      </w:r>
    </w:p>
    <w:p w:rsidR="00CC0FD0" w:rsidRPr="009013D8" w:rsidRDefault="0053758D" w:rsidP="00F415FD">
      <w:pPr>
        <w:spacing w:line="276" w:lineRule="auto"/>
        <w:ind w:firstLine="426"/>
        <w:jc w:val="both"/>
      </w:pPr>
      <w:r>
        <w:rPr>
          <w:bCs/>
        </w:rPr>
        <w:t>10</w:t>
      </w:r>
      <w:r w:rsidR="00CC0FD0" w:rsidRPr="009013D8">
        <w:rPr>
          <w:bCs/>
        </w:rPr>
        <w:t>. Mokytojų kokybinė sudėtis.</w:t>
      </w:r>
    </w:p>
    <w:p w:rsidR="00CC0FD0" w:rsidRPr="009013D8" w:rsidRDefault="0053758D" w:rsidP="00F415FD">
      <w:pPr>
        <w:spacing w:line="276" w:lineRule="auto"/>
        <w:ind w:firstLine="426"/>
        <w:jc w:val="both"/>
      </w:pPr>
      <w:r>
        <w:rPr>
          <w:bCs/>
        </w:rPr>
        <w:t>11</w:t>
      </w:r>
      <w:r w:rsidR="00CC0FD0" w:rsidRPr="009013D8">
        <w:rPr>
          <w:bCs/>
        </w:rPr>
        <w:t>. Spręstinos problemos ir SSGG analizė</w:t>
      </w:r>
      <w:r w:rsidR="004604B2">
        <w:rPr>
          <w:bCs/>
        </w:rPr>
        <w:t>.</w:t>
      </w:r>
    </w:p>
    <w:p w:rsidR="00CC0FD0" w:rsidRPr="009013D8" w:rsidRDefault="00786A13" w:rsidP="00F415FD">
      <w:pPr>
        <w:spacing w:line="276" w:lineRule="auto"/>
        <w:ind w:firstLine="426"/>
        <w:jc w:val="both"/>
      </w:pPr>
      <w:r w:rsidRPr="009013D8">
        <w:t>I</w:t>
      </w:r>
      <w:r w:rsidR="00CC0FD0" w:rsidRPr="009013D8">
        <w:rPr>
          <w:bCs/>
        </w:rPr>
        <w:t>V</w:t>
      </w:r>
      <w:r w:rsidR="00A8621D">
        <w:rPr>
          <w:bCs/>
        </w:rPr>
        <w:t xml:space="preserve"> SKYRIUS</w:t>
      </w:r>
      <w:r w:rsidR="00CC0FD0" w:rsidRPr="009013D8">
        <w:rPr>
          <w:bCs/>
        </w:rPr>
        <w:t>. MOKYKLŲ TINKLO PERTVARKOS STRATEGINIS TIKSLAS IR UŽDAVINIAI</w:t>
      </w:r>
      <w:r w:rsidR="00DD5305">
        <w:rPr>
          <w:bCs/>
        </w:rPr>
        <w:t xml:space="preserve"> </w:t>
      </w:r>
    </w:p>
    <w:p w:rsidR="00F415FD" w:rsidRDefault="00CC0FD0" w:rsidP="00F415FD">
      <w:pPr>
        <w:spacing w:line="276" w:lineRule="auto"/>
        <w:ind w:firstLine="426"/>
        <w:jc w:val="both"/>
        <w:rPr>
          <w:bCs/>
        </w:rPr>
      </w:pPr>
      <w:r w:rsidRPr="004604B2">
        <w:rPr>
          <w:bCs/>
        </w:rPr>
        <w:t>V</w:t>
      </w:r>
      <w:r w:rsidR="00A8621D">
        <w:rPr>
          <w:bCs/>
        </w:rPr>
        <w:t xml:space="preserve"> SKYRIUS</w:t>
      </w:r>
      <w:r w:rsidRPr="004604B2">
        <w:rPr>
          <w:bCs/>
        </w:rPr>
        <w:t>. MOKYKLŲ TINKLO P</w:t>
      </w:r>
      <w:r w:rsidR="00786A13" w:rsidRPr="004604B2">
        <w:rPr>
          <w:bCs/>
        </w:rPr>
        <w:t>E</w:t>
      </w:r>
      <w:r w:rsidRPr="004604B2">
        <w:rPr>
          <w:bCs/>
        </w:rPr>
        <w:t>RTVARKOS PAGRINDINIŲ REZULTATŲ RODIKLIAI</w:t>
      </w:r>
      <w:r w:rsidR="008E1B7C" w:rsidRPr="004604B2">
        <w:t xml:space="preserve"> IR </w:t>
      </w:r>
      <w:r w:rsidR="00F415FD">
        <w:rPr>
          <w:bCs/>
        </w:rPr>
        <w:t>VERTINIMAS</w:t>
      </w:r>
    </w:p>
    <w:p w:rsidR="00F415FD" w:rsidRDefault="00CC0FD0" w:rsidP="00F415FD">
      <w:pPr>
        <w:spacing w:line="276" w:lineRule="auto"/>
        <w:ind w:firstLine="426"/>
        <w:jc w:val="both"/>
      </w:pPr>
      <w:r w:rsidRPr="004604B2">
        <w:rPr>
          <w:bCs/>
        </w:rPr>
        <w:t>V</w:t>
      </w:r>
      <w:r w:rsidRPr="004604B2">
        <w:t>I</w:t>
      </w:r>
      <w:r w:rsidR="00A8621D">
        <w:t xml:space="preserve"> SKYRIUS</w:t>
      </w:r>
      <w:r w:rsidRPr="004604B2">
        <w:rPr>
          <w:bCs/>
        </w:rPr>
        <w:t>. BAIGIAMOSIOS NUOSTATOS</w:t>
      </w:r>
    </w:p>
    <w:p w:rsidR="00F415FD" w:rsidRDefault="00A8621D" w:rsidP="00F415FD">
      <w:pPr>
        <w:spacing w:line="276" w:lineRule="auto"/>
        <w:ind w:firstLine="426"/>
        <w:jc w:val="both"/>
      </w:pPr>
      <w:r w:rsidRPr="004604B2">
        <w:t>1 priedas</w:t>
      </w:r>
      <w:r>
        <w:t xml:space="preserve"> „Mokyklų</w:t>
      </w:r>
      <w:r w:rsidRPr="004604B2">
        <w:t xml:space="preserve"> steigimo, reorganizavimo, likvidav</w:t>
      </w:r>
      <w:r>
        <w:t>imo, pertvarkymo ir struktūrinių pertvarkymų</w:t>
      </w:r>
      <w:r w:rsidRPr="004604B2">
        <w:t xml:space="preserve"> planas</w:t>
      </w:r>
      <w:r w:rsidR="00786A13" w:rsidRPr="004604B2">
        <w:t>.</w:t>
      </w:r>
    </w:p>
    <w:p w:rsidR="00F415FD" w:rsidRDefault="00A8621D" w:rsidP="00F415FD">
      <w:pPr>
        <w:spacing w:line="276" w:lineRule="auto"/>
        <w:ind w:firstLine="426"/>
        <w:jc w:val="both"/>
      </w:pPr>
      <w:r w:rsidRPr="004604B2">
        <w:t>2 priedas</w:t>
      </w:r>
      <w:r>
        <w:t xml:space="preserve"> „Mokytojų kvalifikacijų</w:t>
      </w:r>
      <w:r w:rsidRPr="004604B2">
        <w:t xml:space="preserve"> </w:t>
      </w:r>
      <w:r w:rsidRPr="008559AC">
        <w:t>atnaujinimo</w:t>
      </w:r>
      <w:r>
        <w:t xml:space="preserve"> ir į</w:t>
      </w:r>
      <w:r w:rsidRPr="004604B2">
        <w:t>darbinimo planas</w:t>
      </w:r>
      <w:r>
        <w:t>“</w:t>
      </w:r>
      <w:r w:rsidR="00786A13" w:rsidRPr="004604B2">
        <w:t>.</w:t>
      </w:r>
    </w:p>
    <w:p w:rsidR="00786A13" w:rsidRPr="004604B2" w:rsidRDefault="00A8621D" w:rsidP="00F415FD">
      <w:pPr>
        <w:spacing w:line="276" w:lineRule="auto"/>
        <w:ind w:firstLine="426"/>
        <w:jc w:val="both"/>
      </w:pPr>
      <w:r w:rsidRPr="004604B2">
        <w:t>3 priedas</w:t>
      </w:r>
      <w:r>
        <w:t xml:space="preserve"> „Mokinių</w:t>
      </w:r>
      <w:r w:rsidRPr="004604B2">
        <w:t xml:space="preserve"> vežiojimo užtikrinimo planas</w:t>
      </w:r>
      <w:r>
        <w:t>“</w:t>
      </w:r>
      <w:r w:rsidR="00786A13" w:rsidRPr="004604B2">
        <w:t>.</w:t>
      </w:r>
    </w:p>
    <w:p w:rsidR="00CC0FD0" w:rsidRPr="004604B2" w:rsidRDefault="00CC0FD0" w:rsidP="00AE3769">
      <w:pPr>
        <w:spacing w:line="276" w:lineRule="auto"/>
        <w:jc w:val="both"/>
      </w:pPr>
    </w:p>
    <w:p w:rsidR="00786A13" w:rsidRDefault="00786A13" w:rsidP="005C78A1">
      <w:pPr>
        <w:spacing w:line="360" w:lineRule="auto"/>
        <w:ind w:left="360" w:firstLine="360"/>
        <w:jc w:val="both"/>
      </w:pPr>
    </w:p>
    <w:p w:rsidR="00DB6DCD" w:rsidRPr="00DB6DCD" w:rsidRDefault="00DB6DCD" w:rsidP="005C78A1">
      <w:pPr>
        <w:spacing w:line="360" w:lineRule="auto"/>
        <w:ind w:left="360" w:firstLine="360"/>
        <w:jc w:val="both"/>
      </w:pPr>
    </w:p>
    <w:p w:rsidR="007C0CB2" w:rsidRPr="00D937E9" w:rsidRDefault="007C0CB2" w:rsidP="007C0CB2">
      <w:pPr>
        <w:pStyle w:val="Betarp"/>
        <w:jc w:val="center"/>
        <w:rPr>
          <w:rFonts w:ascii="Times New Roman" w:hAnsi="Times New Roman"/>
          <w:b/>
          <w:sz w:val="24"/>
          <w:szCs w:val="24"/>
        </w:rPr>
      </w:pPr>
      <w:r w:rsidRPr="00D937E9">
        <w:rPr>
          <w:rFonts w:ascii="Times New Roman" w:hAnsi="Times New Roman"/>
          <w:b/>
          <w:sz w:val="24"/>
          <w:szCs w:val="24"/>
        </w:rPr>
        <w:lastRenderedPageBreak/>
        <w:t>I SKYRIUS</w:t>
      </w:r>
    </w:p>
    <w:p w:rsidR="007C0CB2" w:rsidRPr="00DB6DCD" w:rsidRDefault="007C0CB2" w:rsidP="007C0CB2">
      <w:pPr>
        <w:pStyle w:val="Betarp"/>
        <w:jc w:val="center"/>
        <w:rPr>
          <w:rFonts w:ascii="Times New Roman" w:hAnsi="Times New Roman"/>
          <w:b/>
          <w:sz w:val="24"/>
          <w:szCs w:val="24"/>
        </w:rPr>
      </w:pPr>
      <w:r w:rsidRPr="00D937E9">
        <w:rPr>
          <w:rFonts w:ascii="Times New Roman" w:hAnsi="Times New Roman"/>
          <w:b/>
          <w:sz w:val="24"/>
          <w:szCs w:val="24"/>
        </w:rPr>
        <w:t>BENDROSIOS NUOSTATOS</w:t>
      </w:r>
      <w:r w:rsidR="00003A8F">
        <w:rPr>
          <w:rFonts w:ascii="Times New Roman" w:hAnsi="Times New Roman"/>
          <w:b/>
          <w:sz w:val="24"/>
          <w:szCs w:val="24"/>
        </w:rPr>
        <w:t xml:space="preserve"> </w:t>
      </w:r>
    </w:p>
    <w:p w:rsidR="00FF1BA0" w:rsidRPr="00D23BB7" w:rsidRDefault="00FF1BA0" w:rsidP="00FF1BA0">
      <w:pPr>
        <w:pStyle w:val="Betarp"/>
        <w:jc w:val="both"/>
        <w:rPr>
          <w:rFonts w:ascii="Times New Roman" w:hAnsi="Times New Roman"/>
          <w:sz w:val="24"/>
          <w:szCs w:val="24"/>
          <w:highlight w:val="yellow"/>
        </w:rPr>
      </w:pPr>
    </w:p>
    <w:p w:rsidR="00FF1BA0" w:rsidRPr="00DB6DCD" w:rsidRDefault="00FF1BA0" w:rsidP="00DB6DCD">
      <w:pPr>
        <w:pStyle w:val="Betarp"/>
        <w:ind w:firstLine="720"/>
        <w:jc w:val="both"/>
        <w:rPr>
          <w:rFonts w:ascii="Times New Roman" w:hAnsi="Times New Roman"/>
          <w:sz w:val="24"/>
          <w:szCs w:val="24"/>
        </w:rPr>
      </w:pPr>
      <w:r w:rsidRPr="00DB6DCD">
        <w:rPr>
          <w:rFonts w:ascii="Times New Roman" w:hAnsi="Times New Roman"/>
          <w:sz w:val="24"/>
          <w:szCs w:val="24"/>
        </w:rPr>
        <w:t>Panevėžio rajono savivaldybės bendrojo ugdymo mokyklų tinklo pertvarkos 2021–2025 metų bendrasis planas (toliau – Bendrasis planas) – tai strategija, kuria siekiama sukurti prieinamumo, efektyvumo ir kokybės reikalavimus atitinkantį mokyklų tinklą, turėti pakankamai pradinio, pagrindinio, vidurinio ugdymo programų teikėjų, sudaryti sąlygas visiems vietos bendruomenės nariams ugdytis pagal poreikius ir gebėjimus bei užtikrinti pedagoginę, psichologinę, specialiąją bei socialinę pedagoginę pagalbą. Bendrasis planas skirtas ugdymo kokybės ir mokinių ugdymo(si) pasiekimų gerinimui, socialinės atskirties mažinimui, ugdymo prieinamumo užtikrinimui skirtingo amžiaus ir socialinių grupių asmenims pagal bendrojo ugdymo mokyklų formaliojo ir neformaliojo švietimo programas, mokyklų ekonomiškumo didinimui, sveikos ugdymosi aplinkos bei saugaus kelio į mokyklą užtikrinimui.</w:t>
      </w:r>
    </w:p>
    <w:p w:rsidR="00FF1BA0" w:rsidRPr="00DB6DCD" w:rsidRDefault="00FF1BA0" w:rsidP="00DB6DCD">
      <w:pPr>
        <w:pStyle w:val="Betarp"/>
        <w:ind w:firstLine="720"/>
        <w:jc w:val="both"/>
        <w:rPr>
          <w:rFonts w:ascii="Times New Roman" w:hAnsi="Times New Roman"/>
          <w:sz w:val="24"/>
          <w:szCs w:val="24"/>
        </w:rPr>
      </w:pPr>
      <w:r w:rsidRPr="00DB6DCD">
        <w:rPr>
          <w:rFonts w:ascii="Times New Roman" w:hAnsi="Times New Roman"/>
          <w:sz w:val="24"/>
          <w:szCs w:val="24"/>
        </w:rPr>
        <w:t>Bendrasis planas yra tęstinis ugdymo įstaigų tinklo pokyčius numatantis dokumentas, tiesiogiai susijęs su Panevėžio rajono savivaldybės bendrojo ugdymo mokyklų tinklo pertvarkos 2016–2020 metų bendruoju planu, patvirtintu Savivaldybės tarybos</w:t>
      </w:r>
      <w:r w:rsidRPr="00DB6DCD">
        <w:rPr>
          <w:rFonts w:ascii="Times New Roman" w:hAnsi="Times New Roman"/>
          <w:sz w:val="24"/>
          <w:szCs w:val="24"/>
        </w:rPr>
        <w:br/>
        <w:t>2016 m. kovo 30 d. sprendimu Nr. T-48 „Dėl Panevėžio rajono savivaldybės bendrojo ugdymo mokyklų tinklo pertvarkos</w:t>
      </w:r>
      <w:r w:rsidRPr="00DB6DCD">
        <w:rPr>
          <w:rFonts w:ascii="Times New Roman" w:hAnsi="Times New Roman"/>
          <w:sz w:val="24"/>
          <w:szCs w:val="24"/>
        </w:rPr>
        <w:br/>
        <w:t>2016–2020 m. bendrojo plano patvirtinimo“, Panevėžio rajono savivaldybės 2016–2022 metų strateginiu plėtros planu, patvirtintu Savivaldybės tarybos 2014 m. birželio 19 d. sprendimu Nr. T-127 „Dėl Panevėžio rajono savivaldybės 2016–2022 metų strateginio plėtros plano patvirtinimo“, bei Panevėžio rajono savivaldybės 2020–2022 metų strateginiu veiklos planu, patvirtintu Savivaldybės tarybos 2020 m. vasario 27 d. sprendimu Nr. T-23 „Dėl Panevėžio rajono savivaldybės 2020–2022 metų strateginio veiklos plano patvirtinimo“.</w:t>
      </w:r>
    </w:p>
    <w:p w:rsidR="00FF1BA0" w:rsidRPr="00DB6DCD" w:rsidRDefault="00FF1BA0" w:rsidP="00DB6DCD">
      <w:pPr>
        <w:pStyle w:val="Betarp"/>
        <w:ind w:firstLine="720"/>
        <w:jc w:val="both"/>
        <w:rPr>
          <w:rFonts w:ascii="Times New Roman" w:hAnsi="Times New Roman"/>
          <w:sz w:val="24"/>
          <w:szCs w:val="24"/>
        </w:rPr>
      </w:pPr>
      <w:r w:rsidRPr="00DB6DCD">
        <w:rPr>
          <w:rFonts w:ascii="Times New Roman" w:hAnsi="Times New Roman"/>
          <w:sz w:val="24"/>
          <w:szCs w:val="24"/>
        </w:rPr>
        <w:t>Bendrasis planas parengtas atlikus 2016–2020 metų bendrojo plano įgyvendinimo analizę, įvertinus savivaldybės švietimo būklės pokyčius 2016–2020 metais bei atsižvelgus į švietimo raidos prognozę, susijusią su demografiniais pokyčiais</w:t>
      </w:r>
      <w:r w:rsidR="00A8621D" w:rsidRPr="00DB6DCD">
        <w:rPr>
          <w:rFonts w:ascii="Times New Roman" w:hAnsi="Times New Roman"/>
          <w:sz w:val="24"/>
          <w:szCs w:val="24"/>
        </w:rPr>
        <w:t>,</w:t>
      </w:r>
      <w:r w:rsidRPr="00DB6DCD">
        <w:rPr>
          <w:rFonts w:ascii="Times New Roman" w:hAnsi="Times New Roman"/>
          <w:sz w:val="24"/>
          <w:szCs w:val="24"/>
        </w:rPr>
        <w:t xml:space="preserve"> savivaldybės gyventojų migracijos tendencijomis</w:t>
      </w:r>
      <w:r w:rsidR="00A8621D" w:rsidRPr="00DB6DCD">
        <w:rPr>
          <w:rFonts w:ascii="Times New Roman" w:hAnsi="Times New Roman"/>
          <w:sz w:val="24"/>
          <w:szCs w:val="24"/>
        </w:rPr>
        <w:t xml:space="preserve"> ir kt</w:t>
      </w:r>
      <w:r w:rsidRPr="00DB6DCD">
        <w:rPr>
          <w:rFonts w:ascii="Times New Roman" w:hAnsi="Times New Roman"/>
          <w:sz w:val="24"/>
          <w:szCs w:val="24"/>
        </w:rPr>
        <w:t xml:space="preserve">. </w:t>
      </w:r>
      <w:r w:rsidR="00A8621D" w:rsidRPr="00DB6DCD">
        <w:rPr>
          <w:rFonts w:ascii="Times New Roman" w:hAnsi="Times New Roman"/>
          <w:sz w:val="24"/>
          <w:szCs w:val="24"/>
        </w:rPr>
        <w:t>Bendrajame p</w:t>
      </w:r>
      <w:r w:rsidRPr="00DB6DCD">
        <w:rPr>
          <w:rFonts w:ascii="Times New Roman" w:hAnsi="Times New Roman"/>
          <w:sz w:val="24"/>
          <w:szCs w:val="24"/>
        </w:rPr>
        <w:t>lane pateikta dabartinė savivaldybės švietimo būklė, prognozės, privalumai, trūkumai, grėsmės bei galimybės, mokyklų tinklo pertvarkos strateginis tikslas, uždaviniai ir prioritetai, laukiami rezultatai iki</w:t>
      </w:r>
      <w:r w:rsidR="000D5507">
        <w:rPr>
          <w:rFonts w:ascii="Times New Roman" w:hAnsi="Times New Roman"/>
          <w:sz w:val="24"/>
          <w:szCs w:val="24"/>
        </w:rPr>
        <w:t xml:space="preserve"> </w:t>
      </w:r>
      <w:r w:rsidRPr="00DB6DCD">
        <w:rPr>
          <w:rFonts w:ascii="Times New Roman" w:hAnsi="Times New Roman"/>
          <w:sz w:val="24"/>
          <w:szCs w:val="24"/>
        </w:rPr>
        <w:t xml:space="preserve">2025 metų, mokyklų tinklo pertvarkos vertinimas. </w:t>
      </w:r>
    </w:p>
    <w:p w:rsidR="00FF1BA0" w:rsidRPr="00DB6DCD" w:rsidRDefault="00FF1BA0" w:rsidP="00DB6DCD">
      <w:pPr>
        <w:pStyle w:val="Betarp"/>
        <w:ind w:firstLine="720"/>
        <w:jc w:val="both"/>
        <w:rPr>
          <w:rFonts w:ascii="Times New Roman" w:hAnsi="Times New Roman"/>
          <w:sz w:val="24"/>
          <w:szCs w:val="24"/>
        </w:rPr>
      </w:pPr>
      <w:r w:rsidRPr="00DB6DCD">
        <w:rPr>
          <w:rFonts w:ascii="Times New Roman" w:hAnsi="Times New Roman"/>
          <w:sz w:val="24"/>
          <w:szCs w:val="24"/>
        </w:rPr>
        <w:t>Savivaldybės bendrojo ugdymo mokyklų tinklo pertvarka nuo 2016 metų buvo nuosekliai įgyvendinama, tačiau dėl besikeičiančios ekonominės ir demografinės situacijos Bendrasis planas keletą kartų tikslintas: Savivaldybės tarybos 2017 m. vasario 23 d. sprendimu Nr. T-30 „Dėl Panevėžio rajono savivaldybės bendrojo ugdymo mokyklų tinklo pertvarkos</w:t>
      </w:r>
      <w:r w:rsidR="00DB6DCD">
        <w:rPr>
          <w:rFonts w:ascii="Times New Roman" w:hAnsi="Times New Roman"/>
          <w:sz w:val="24"/>
          <w:szCs w:val="24"/>
        </w:rPr>
        <w:t xml:space="preserve"> </w:t>
      </w:r>
      <w:r w:rsidRPr="00DB6DCD">
        <w:rPr>
          <w:rFonts w:ascii="Times New Roman" w:hAnsi="Times New Roman"/>
          <w:sz w:val="24"/>
          <w:szCs w:val="24"/>
        </w:rPr>
        <w:t xml:space="preserve">2016–2020 metais bendrojo plano patvirtinimo“ pakeitimo“ nuo 2017 m. rugsėjo 1 d. likviduota Panevėžio r. Geležių pagrindinė mokykla; Savivaldybės tarybos 2017 m. kovo 29 d. sprendimu Nr. T-69 „Dėl Panevėžio rajono savivaldybės bendrojo ugdymo mokyklų tinklo pertvarkos 2016–2020 metais bendrojo plano patvirtinimo“ pakeitimo“ nuo 2017 m. rugsėjo 1 d. likviduotas Panevėžio r. Ramygalos gimnazijos Jotainių skyrius; Savivaldybės tarybos 2019 m. gruodžio 6 d. sprendimu Nr. T-231 ,,Dėl Panevėžio rajono Paįstrio Juozo Zikaro gimnazijos struktūros pertvarkos“ likviduotas Paįstrio Juozo Zikaro gimnazijos Skaistgirių skyrius; Savivaldybės tarybos 2019 m. gruodžio 6 d. sprendimu Nr. T-232 „Dėl Panevėžio rajono savivaldybės tarybos 2016 m. kovo 30 d. sprendimo Nr. T-48 „Dėl Panevėžio rajono savivaldybės bendrojo ugdymo mokyklų tinklo pertvarkos 2016–2020 m. bendrojo plano patvirtinimo“ pakeitimo“ numatyta struktūros pertvarka jungiant prie Panevėžio r. Raguvos gimnazijos Panevėžio r. Raguvos lopšelį-darželį „Skruzdėliukas“, likviduoti Panevėžio r. Berčiūnų pagrindinę mokyklą, reorganizuoti jungimo būdu </w:t>
      </w:r>
      <w:r w:rsidRPr="00DB6DCD">
        <w:rPr>
          <w:rFonts w:ascii="Times New Roman" w:hAnsi="Times New Roman"/>
          <w:sz w:val="24"/>
          <w:szCs w:val="24"/>
        </w:rPr>
        <w:lastRenderedPageBreak/>
        <w:t>Panevėžio r. Karsakiškio Strazdelio pagrindinę mokyklą jungiant prie Panevėžio r. Paliūniškio pagrindinės mokyklos, reorganizuoti jungimo būdu Panevėžio r. Linkaučių pagrindinę mokyklą bei Panevėžio r. Žibartonių pagrindinę mokyklą jungiant prie Panevėžio r. Krekenavos lopšelio-darželio „Sigutė“.</w:t>
      </w:r>
    </w:p>
    <w:p w:rsidR="00FF1BA0" w:rsidRPr="00DB6DCD" w:rsidRDefault="00FF1BA0" w:rsidP="00DB6DCD">
      <w:pPr>
        <w:pStyle w:val="Betarp"/>
        <w:ind w:firstLine="720"/>
        <w:jc w:val="both"/>
        <w:rPr>
          <w:rFonts w:ascii="Times New Roman" w:hAnsi="Times New Roman"/>
          <w:sz w:val="24"/>
          <w:szCs w:val="24"/>
        </w:rPr>
      </w:pPr>
      <w:r w:rsidRPr="00DB6DCD">
        <w:rPr>
          <w:rFonts w:ascii="Times New Roman" w:hAnsi="Times New Roman"/>
          <w:sz w:val="24"/>
          <w:szCs w:val="24"/>
        </w:rPr>
        <w:t xml:space="preserve">Bendrojo plano tikslas – sudaryti sąlygas plėtoti geros kokybės privalomąjį ir visuotinį švietimą, didinti jo prieinamumą už valstybei ir savivaldybei pakeliamą kainą, siekti, kad mokyklų tinklas būtų darniai veikianti, nuolat atsinaujinanti, švietimo programų įvairovę, jų prieinamumą užtikrinančių ir atsakomybe už švietimo kokybę besidalijančių </w:t>
      </w:r>
      <w:r w:rsidR="00525C07" w:rsidRPr="00DB6DCD">
        <w:rPr>
          <w:rFonts w:ascii="Times New Roman" w:hAnsi="Times New Roman"/>
          <w:sz w:val="24"/>
          <w:szCs w:val="24"/>
        </w:rPr>
        <w:t>švietimo įstaig</w:t>
      </w:r>
      <w:r w:rsidRPr="00DB6DCD">
        <w:rPr>
          <w:rFonts w:ascii="Times New Roman" w:hAnsi="Times New Roman"/>
          <w:sz w:val="24"/>
          <w:szCs w:val="24"/>
        </w:rPr>
        <w:t xml:space="preserve">ų sistema.  </w:t>
      </w:r>
    </w:p>
    <w:p w:rsidR="008B0A24" w:rsidRPr="00981FB0" w:rsidRDefault="00FF1BA0" w:rsidP="00DB6DCD">
      <w:pPr>
        <w:pStyle w:val="Betarp"/>
        <w:jc w:val="both"/>
      </w:pPr>
      <w:r w:rsidRPr="00DB6DCD">
        <w:rPr>
          <w:rFonts w:ascii="Times New Roman" w:hAnsi="Times New Roman"/>
          <w:sz w:val="24"/>
          <w:szCs w:val="24"/>
        </w:rPr>
        <w:t>Pertvarkant mokyklų tinklą vadovaujamasi Lietuvos Respublikos švietimo įstatymu, Mokyklų, vykdančių formaliojo švietimo programas, tinklo kūrimo taisyklėmis, patvirtintomis Lietuvos Respublikos Vyriausybės 2011 m. birželio 29 d. nutarimu Nr. 768 „Dėl Mokyklų, vykdančių formaliojo švietimo programas, tinklo</w:t>
      </w:r>
      <w:r w:rsidR="00E9290C" w:rsidRPr="00DB6DCD">
        <w:rPr>
          <w:rFonts w:ascii="Times New Roman" w:hAnsi="Times New Roman"/>
          <w:sz w:val="24"/>
          <w:szCs w:val="24"/>
        </w:rPr>
        <w:t xml:space="preserve"> kūrimo taisyklių patvirtinimo“</w:t>
      </w:r>
      <w:r w:rsidRPr="00DB6DCD">
        <w:rPr>
          <w:rFonts w:ascii="Times New Roman" w:hAnsi="Times New Roman"/>
          <w:sz w:val="24"/>
          <w:szCs w:val="24"/>
        </w:rPr>
        <w:t>. Planas parengtas penkeriems metams, paliekant galimybę jį atnaujinti kasmet pagal poreikius.</w:t>
      </w:r>
    </w:p>
    <w:p w:rsidR="008B0A24" w:rsidRPr="00DB6DCD" w:rsidRDefault="008B0A24" w:rsidP="00DB6DCD">
      <w:pPr>
        <w:pStyle w:val="Betarp"/>
        <w:jc w:val="both"/>
        <w:rPr>
          <w:rFonts w:ascii="Times New Roman" w:hAnsi="Times New Roman"/>
          <w:sz w:val="24"/>
          <w:szCs w:val="24"/>
        </w:rPr>
      </w:pPr>
    </w:p>
    <w:p w:rsidR="008B0A24" w:rsidRDefault="008B0A24" w:rsidP="008B0A24">
      <w:pPr>
        <w:autoSpaceDE w:val="0"/>
        <w:autoSpaceDN w:val="0"/>
        <w:adjustRightInd w:val="0"/>
        <w:jc w:val="center"/>
        <w:rPr>
          <w:b/>
        </w:rPr>
      </w:pPr>
      <w:r>
        <w:rPr>
          <w:b/>
        </w:rPr>
        <w:t>II SKYRIUS</w:t>
      </w:r>
    </w:p>
    <w:p w:rsidR="008B0A24" w:rsidRPr="00525C07" w:rsidRDefault="00A8621D" w:rsidP="008B0A24">
      <w:pPr>
        <w:autoSpaceDE w:val="0"/>
        <w:autoSpaceDN w:val="0"/>
        <w:adjustRightInd w:val="0"/>
        <w:jc w:val="center"/>
        <w:rPr>
          <w:b/>
        </w:rPr>
      </w:pPr>
      <w:r w:rsidRPr="00DB6DCD">
        <w:rPr>
          <w:b/>
          <w:bCs/>
        </w:rPr>
        <w:t>SOCIALINIS, EKONOMINIS, KULTŪRINIS KONTEKSTAS</w:t>
      </w:r>
      <w:r w:rsidRPr="00A8621D" w:rsidDel="00A8621D">
        <w:rPr>
          <w:b/>
        </w:rPr>
        <w:t xml:space="preserve"> </w:t>
      </w:r>
    </w:p>
    <w:p w:rsidR="008B0A24" w:rsidRPr="00525C07" w:rsidRDefault="008B0A24" w:rsidP="008B0A24">
      <w:pPr>
        <w:autoSpaceDE w:val="0"/>
        <w:autoSpaceDN w:val="0"/>
        <w:adjustRightInd w:val="0"/>
        <w:jc w:val="both"/>
      </w:pPr>
    </w:p>
    <w:p w:rsidR="00DB6DCD" w:rsidRPr="00DB6DCD" w:rsidRDefault="00DB6DCD" w:rsidP="00DB6DCD">
      <w:pPr>
        <w:pStyle w:val="Betarp"/>
        <w:ind w:firstLine="720"/>
        <w:jc w:val="both"/>
        <w:rPr>
          <w:rFonts w:ascii="Times New Roman" w:hAnsi="Times New Roman"/>
          <w:sz w:val="24"/>
          <w:szCs w:val="24"/>
        </w:rPr>
      </w:pPr>
      <w:r>
        <w:rPr>
          <w:rFonts w:ascii="Times New Roman" w:hAnsi="Times New Roman"/>
          <w:b/>
          <w:sz w:val="24"/>
          <w:szCs w:val="24"/>
        </w:rPr>
        <w:t xml:space="preserve">1. Demografinė būklė </w:t>
      </w:r>
    </w:p>
    <w:p w:rsidR="008B0A24" w:rsidRPr="00DB6DCD" w:rsidRDefault="008B0A24" w:rsidP="00DB6DCD">
      <w:pPr>
        <w:pStyle w:val="Betarp"/>
        <w:ind w:firstLine="720"/>
        <w:jc w:val="both"/>
        <w:rPr>
          <w:b/>
          <w:szCs w:val="24"/>
        </w:rPr>
      </w:pPr>
      <w:r w:rsidRPr="00DB6DCD">
        <w:rPr>
          <w:rFonts w:ascii="Times New Roman" w:hAnsi="Times New Roman"/>
          <w:sz w:val="24"/>
          <w:szCs w:val="24"/>
        </w:rPr>
        <w:t xml:space="preserve">Švietimo įstaigų tinklo pertvarkai įtakos turi demografinės tendencijos. Mokinių skaičiaus mažėjimą lemia ir gyventojų skaičiaus kaita – natūralaus gyventojų prieaugio mažėjimas, gyventojų senėjimas, emigracija ir kitos priežastys. </w:t>
      </w:r>
    </w:p>
    <w:p w:rsidR="008B0A24" w:rsidRDefault="008B0A24" w:rsidP="00DB6DCD">
      <w:pPr>
        <w:pStyle w:val="Betarp"/>
        <w:ind w:firstLine="720"/>
        <w:jc w:val="both"/>
      </w:pPr>
      <w:r w:rsidRPr="00DB6DCD">
        <w:rPr>
          <w:rFonts w:ascii="Times New Roman" w:hAnsi="Times New Roman"/>
          <w:sz w:val="24"/>
          <w:szCs w:val="24"/>
        </w:rPr>
        <w:t>Panevėžio rajono savivaldybėje 2015 m. gyveno 37 173 gyventojai, 2020 m. – 35 328 gyventojai. Gyventojų skaičius nuo 2015 m</w:t>
      </w:r>
      <w:r w:rsidR="00525C07" w:rsidRPr="00DB6DCD">
        <w:rPr>
          <w:rFonts w:ascii="Times New Roman" w:hAnsi="Times New Roman"/>
          <w:sz w:val="24"/>
          <w:szCs w:val="24"/>
        </w:rPr>
        <w:t>.</w:t>
      </w:r>
      <w:r w:rsidRPr="00DB6DCD">
        <w:rPr>
          <w:rFonts w:ascii="Times New Roman" w:hAnsi="Times New Roman"/>
          <w:sz w:val="24"/>
          <w:szCs w:val="24"/>
        </w:rPr>
        <w:t xml:space="preserve"> </w:t>
      </w:r>
      <w:r w:rsidR="00D72D97">
        <w:rPr>
          <w:rFonts w:ascii="Times New Roman" w:hAnsi="Times New Roman"/>
          <w:sz w:val="24"/>
          <w:szCs w:val="24"/>
        </w:rPr>
        <w:t xml:space="preserve">iki 2020 m. </w:t>
      </w:r>
      <w:r w:rsidRPr="00DB6DCD">
        <w:rPr>
          <w:rFonts w:ascii="Times New Roman" w:hAnsi="Times New Roman"/>
          <w:sz w:val="24"/>
          <w:szCs w:val="24"/>
        </w:rPr>
        <w:t xml:space="preserve">sumažėjo 2 166 žmonėmis, arba 5,8 proc. Statistikos departamento duomenimis, Panevėžio apskrityje per tą patį laikotarpį gyventojų sumažėjo 5 proc., Lietuvos Respublikoje 4,35 proc. </w:t>
      </w:r>
    </w:p>
    <w:p w:rsidR="00BD3DE9" w:rsidRPr="00DB6DCD" w:rsidRDefault="00BD3DE9" w:rsidP="00DB6DCD">
      <w:pPr>
        <w:pStyle w:val="Betarp"/>
        <w:ind w:firstLine="720"/>
        <w:jc w:val="both"/>
        <w:rPr>
          <w:rFonts w:ascii="Times New Roman" w:hAnsi="Times New Roman"/>
          <w:sz w:val="24"/>
          <w:szCs w:val="24"/>
        </w:rPr>
      </w:pPr>
    </w:p>
    <w:p w:rsidR="008B0A24" w:rsidRPr="00DB6DCD" w:rsidRDefault="008B0A24" w:rsidP="00DB6DCD">
      <w:pPr>
        <w:pStyle w:val="Betarp"/>
        <w:ind w:firstLine="720"/>
        <w:jc w:val="both"/>
        <w:rPr>
          <w:rFonts w:ascii="Times New Roman" w:hAnsi="Times New Roman"/>
          <w:sz w:val="24"/>
          <w:szCs w:val="24"/>
        </w:rPr>
      </w:pPr>
      <w:r w:rsidRPr="00DB6DCD">
        <w:rPr>
          <w:rFonts w:ascii="Times New Roman" w:hAnsi="Times New Roman"/>
          <w:sz w:val="24"/>
          <w:szCs w:val="24"/>
        </w:rPr>
        <w:t>1 lentelė. Gyventojų skaičiaus poky</w:t>
      </w:r>
      <w:r w:rsidR="00DB708B" w:rsidRPr="00D72D97">
        <w:rPr>
          <w:rFonts w:ascii="Times New Roman" w:hAnsi="Times New Roman"/>
          <w:sz w:val="24"/>
          <w:szCs w:val="24"/>
        </w:rPr>
        <w:t>tis</w:t>
      </w:r>
    </w:p>
    <w:tbl>
      <w:tblPr>
        <w:tblpPr w:leftFromText="180" w:rightFromText="180" w:vertAnchor="text" w:horzAnchor="page" w:tblpX="1976" w:tblpY="17"/>
        <w:tblW w:w="1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22"/>
        <w:gridCol w:w="1800"/>
        <w:gridCol w:w="1890"/>
        <w:gridCol w:w="1980"/>
        <w:gridCol w:w="1800"/>
        <w:gridCol w:w="1980"/>
      </w:tblGrid>
      <w:tr w:rsidR="00D72D97" w:rsidTr="00CC343A">
        <w:trPr>
          <w:trHeight w:val="274"/>
        </w:trPr>
        <w:tc>
          <w:tcPr>
            <w:tcW w:w="1526" w:type="dxa"/>
            <w:tcBorders>
              <w:top w:val="single" w:sz="4" w:space="0" w:color="auto"/>
              <w:left w:val="single" w:sz="4" w:space="0" w:color="auto"/>
              <w:bottom w:val="single" w:sz="4" w:space="0" w:color="auto"/>
              <w:right w:val="single" w:sz="4" w:space="0" w:color="auto"/>
            </w:tcBorders>
            <w:hideMark/>
          </w:tcPr>
          <w:p w:rsidR="00D72D97" w:rsidRPr="00DB6DCD" w:rsidRDefault="00D72D97">
            <w:pPr>
              <w:jc w:val="both"/>
            </w:pPr>
            <w:r w:rsidRPr="00DB6DCD">
              <w:t>Rodiklis</w:t>
            </w:r>
          </w:p>
        </w:tc>
        <w:tc>
          <w:tcPr>
            <w:tcW w:w="1822" w:type="dxa"/>
            <w:tcBorders>
              <w:top w:val="single" w:sz="4" w:space="0" w:color="auto"/>
              <w:left w:val="single" w:sz="4" w:space="0" w:color="auto"/>
              <w:bottom w:val="single" w:sz="4" w:space="0" w:color="auto"/>
              <w:right w:val="single" w:sz="4" w:space="0" w:color="auto"/>
            </w:tcBorders>
            <w:hideMark/>
          </w:tcPr>
          <w:p w:rsidR="00D72D97" w:rsidRPr="00DB6DCD" w:rsidRDefault="00D72D97">
            <w:pPr>
              <w:jc w:val="center"/>
            </w:pPr>
            <w:r w:rsidRPr="00DB6DCD">
              <w:t>2015 m.</w:t>
            </w:r>
          </w:p>
        </w:tc>
        <w:tc>
          <w:tcPr>
            <w:tcW w:w="1800" w:type="dxa"/>
            <w:tcBorders>
              <w:top w:val="single" w:sz="4" w:space="0" w:color="auto"/>
              <w:left w:val="single" w:sz="4" w:space="0" w:color="auto"/>
              <w:bottom w:val="single" w:sz="4" w:space="0" w:color="auto"/>
              <w:right w:val="single" w:sz="4" w:space="0" w:color="auto"/>
            </w:tcBorders>
            <w:hideMark/>
          </w:tcPr>
          <w:p w:rsidR="00D72D97" w:rsidRPr="00DB6DCD" w:rsidRDefault="00D72D97">
            <w:pPr>
              <w:jc w:val="center"/>
            </w:pPr>
            <w:r w:rsidRPr="00DB6DCD">
              <w:t>2016 m.</w:t>
            </w:r>
          </w:p>
        </w:tc>
        <w:tc>
          <w:tcPr>
            <w:tcW w:w="1890" w:type="dxa"/>
            <w:tcBorders>
              <w:top w:val="single" w:sz="4" w:space="0" w:color="auto"/>
              <w:left w:val="single" w:sz="4" w:space="0" w:color="auto"/>
              <w:bottom w:val="single" w:sz="4" w:space="0" w:color="auto"/>
              <w:right w:val="single" w:sz="4" w:space="0" w:color="auto"/>
            </w:tcBorders>
            <w:hideMark/>
          </w:tcPr>
          <w:p w:rsidR="00D72D97" w:rsidRPr="00DB6DCD" w:rsidRDefault="00D72D97">
            <w:pPr>
              <w:jc w:val="center"/>
            </w:pPr>
            <w:r w:rsidRPr="00DB6DCD">
              <w:t>2017 m.</w:t>
            </w:r>
          </w:p>
        </w:tc>
        <w:tc>
          <w:tcPr>
            <w:tcW w:w="1980" w:type="dxa"/>
            <w:tcBorders>
              <w:top w:val="single" w:sz="4" w:space="0" w:color="auto"/>
              <w:left w:val="single" w:sz="4" w:space="0" w:color="auto"/>
              <w:bottom w:val="single" w:sz="4" w:space="0" w:color="auto"/>
              <w:right w:val="single" w:sz="4" w:space="0" w:color="auto"/>
            </w:tcBorders>
            <w:hideMark/>
          </w:tcPr>
          <w:p w:rsidR="00D72D97" w:rsidRPr="00DB6DCD" w:rsidRDefault="00D72D97">
            <w:pPr>
              <w:jc w:val="center"/>
            </w:pPr>
            <w:r w:rsidRPr="00DB6DCD">
              <w:t>2018 m.</w:t>
            </w:r>
          </w:p>
        </w:tc>
        <w:tc>
          <w:tcPr>
            <w:tcW w:w="1800" w:type="dxa"/>
            <w:tcBorders>
              <w:top w:val="single" w:sz="4" w:space="0" w:color="auto"/>
              <w:left w:val="single" w:sz="4" w:space="0" w:color="auto"/>
              <w:bottom w:val="single" w:sz="4" w:space="0" w:color="auto"/>
              <w:right w:val="single" w:sz="4" w:space="0" w:color="auto"/>
            </w:tcBorders>
            <w:hideMark/>
          </w:tcPr>
          <w:p w:rsidR="00D72D97" w:rsidRPr="00DB6DCD" w:rsidRDefault="00D72D97">
            <w:pPr>
              <w:jc w:val="center"/>
            </w:pPr>
            <w:r w:rsidRPr="00DB6DCD">
              <w:t>2019 m.</w:t>
            </w:r>
          </w:p>
        </w:tc>
        <w:tc>
          <w:tcPr>
            <w:tcW w:w="1980" w:type="dxa"/>
            <w:tcBorders>
              <w:top w:val="single" w:sz="4" w:space="0" w:color="auto"/>
              <w:left w:val="single" w:sz="4" w:space="0" w:color="auto"/>
              <w:bottom w:val="single" w:sz="4" w:space="0" w:color="auto"/>
              <w:right w:val="single" w:sz="4" w:space="0" w:color="auto"/>
            </w:tcBorders>
            <w:hideMark/>
          </w:tcPr>
          <w:p w:rsidR="00D72D97" w:rsidRPr="00DB6DCD" w:rsidRDefault="00D72D97">
            <w:pPr>
              <w:jc w:val="center"/>
            </w:pPr>
            <w:r w:rsidRPr="00DB6DCD">
              <w:t>2020 m.</w:t>
            </w:r>
          </w:p>
        </w:tc>
      </w:tr>
      <w:tr w:rsidR="00D72D97" w:rsidTr="00CC343A">
        <w:trPr>
          <w:trHeight w:val="366"/>
        </w:trPr>
        <w:tc>
          <w:tcPr>
            <w:tcW w:w="1526" w:type="dxa"/>
            <w:tcBorders>
              <w:top w:val="single" w:sz="4" w:space="0" w:color="auto"/>
              <w:left w:val="single" w:sz="4" w:space="0" w:color="auto"/>
              <w:bottom w:val="single" w:sz="4" w:space="0" w:color="auto"/>
              <w:right w:val="single" w:sz="4" w:space="0" w:color="auto"/>
            </w:tcBorders>
            <w:hideMark/>
          </w:tcPr>
          <w:p w:rsidR="00D72D97" w:rsidRDefault="00D72D97">
            <w:r>
              <w:t xml:space="preserve">Gyventojų skaičius </w:t>
            </w:r>
          </w:p>
        </w:tc>
        <w:tc>
          <w:tcPr>
            <w:tcW w:w="1822"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37 173</w:t>
            </w:r>
          </w:p>
        </w:tc>
        <w:tc>
          <w:tcPr>
            <w:tcW w:w="180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36 705</w:t>
            </w:r>
          </w:p>
        </w:tc>
        <w:tc>
          <w:tcPr>
            <w:tcW w:w="189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36 417</w:t>
            </w:r>
          </w:p>
        </w:tc>
        <w:tc>
          <w:tcPr>
            <w:tcW w:w="198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35 734</w:t>
            </w:r>
          </w:p>
        </w:tc>
        <w:tc>
          <w:tcPr>
            <w:tcW w:w="180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35 445</w:t>
            </w:r>
          </w:p>
        </w:tc>
        <w:tc>
          <w:tcPr>
            <w:tcW w:w="198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35 328</w:t>
            </w:r>
          </w:p>
        </w:tc>
      </w:tr>
      <w:tr w:rsidR="00D72D97" w:rsidTr="00CC343A">
        <w:trPr>
          <w:trHeight w:val="141"/>
        </w:trPr>
        <w:tc>
          <w:tcPr>
            <w:tcW w:w="1526" w:type="dxa"/>
            <w:tcBorders>
              <w:top w:val="single" w:sz="4" w:space="0" w:color="auto"/>
              <w:left w:val="single" w:sz="4" w:space="0" w:color="auto"/>
              <w:bottom w:val="single" w:sz="4" w:space="0" w:color="auto"/>
              <w:right w:val="single" w:sz="4" w:space="0" w:color="auto"/>
            </w:tcBorders>
            <w:hideMark/>
          </w:tcPr>
          <w:p w:rsidR="00D72D97" w:rsidRDefault="00D72D97">
            <w:r>
              <w:t>Gyventojų skaičiaus kitimas</w:t>
            </w:r>
          </w:p>
        </w:tc>
        <w:tc>
          <w:tcPr>
            <w:tcW w:w="1822"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sumažėjo 321</w:t>
            </w:r>
          </w:p>
        </w:tc>
        <w:tc>
          <w:tcPr>
            <w:tcW w:w="180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sumažėjo 468</w:t>
            </w:r>
          </w:p>
        </w:tc>
        <w:tc>
          <w:tcPr>
            <w:tcW w:w="189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sumažėjo 288</w:t>
            </w:r>
          </w:p>
        </w:tc>
        <w:tc>
          <w:tcPr>
            <w:tcW w:w="198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sumažėjo 683</w:t>
            </w:r>
          </w:p>
        </w:tc>
        <w:tc>
          <w:tcPr>
            <w:tcW w:w="180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sumažėjo 289</w:t>
            </w:r>
          </w:p>
        </w:tc>
        <w:tc>
          <w:tcPr>
            <w:tcW w:w="198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sumažėjo 117</w:t>
            </w:r>
          </w:p>
        </w:tc>
      </w:tr>
      <w:tr w:rsidR="00D72D97" w:rsidTr="00CC343A">
        <w:trPr>
          <w:trHeight w:val="141"/>
        </w:trPr>
        <w:tc>
          <w:tcPr>
            <w:tcW w:w="1526" w:type="dxa"/>
            <w:tcBorders>
              <w:top w:val="single" w:sz="4" w:space="0" w:color="auto"/>
              <w:left w:val="single" w:sz="4" w:space="0" w:color="auto"/>
              <w:bottom w:val="single" w:sz="4" w:space="0" w:color="auto"/>
              <w:right w:val="single" w:sz="4" w:space="0" w:color="auto"/>
            </w:tcBorders>
            <w:hideMark/>
          </w:tcPr>
          <w:p w:rsidR="00D72D97" w:rsidRDefault="00D72D97">
            <w:r>
              <w:t>Proc.</w:t>
            </w:r>
          </w:p>
        </w:tc>
        <w:tc>
          <w:tcPr>
            <w:tcW w:w="1822"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0,865</w:t>
            </w:r>
          </w:p>
        </w:tc>
        <w:tc>
          <w:tcPr>
            <w:tcW w:w="180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1,275</w:t>
            </w:r>
          </w:p>
        </w:tc>
        <w:tc>
          <w:tcPr>
            <w:tcW w:w="189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0,791</w:t>
            </w:r>
          </w:p>
        </w:tc>
        <w:tc>
          <w:tcPr>
            <w:tcW w:w="198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1,911</w:t>
            </w:r>
          </w:p>
        </w:tc>
        <w:tc>
          <w:tcPr>
            <w:tcW w:w="180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0,815</w:t>
            </w:r>
          </w:p>
        </w:tc>
        <w:tc>
          <w:tcPr>
            <w:tcW w:w="1980" w:type="dxa"/>
            <w:tcBorders>
              <w:top w:val="single" w:sz="4" w:space="0" w:color="auto"/>
              <w:left w:val="single" w:sz="4" w:space="0" w:color="auto"/>
              <w:bottom w:val="single" w:sz="4" w:space="0" w:color="auto"/>
              <w:right w:val="single" w:sz="4" w:space="0" w:color="auto"/>
            </w:tcBorders>
            <w:hideMark/>
          </w:tcPr>
          <w:p w:rsidR="00D72D97" w:rsidRDefault="00D72D97">
            <w:pPr>
              <w:jc w:val="center"/>
            </w:pPr>
            <w:r>
              <w:t>0,331</w:t>
            </w:r>
          </w:p>
        </w:tc>
      </w:tr>
    </w:tbl>
    <w:p w:rsidR="008B0A24" w:rsidRDefault="008B0A24" w:rsidP="008B0A24">
      <w:pPr>
        <w:jc w:val="both"/>
      </w:pPr>
    </w:p>
    <w:p w:rsidR="00D72D97" w:rsidRDefault="00D72D97" w:rsidP="008B0A24">
      <w:pPr>
        <w:jc w:val="both"/>
      </w:pPr>
    </w:p>
    <w:p w:rsidR="00DB6DCD" w:rsidRDefault="00DB6DCD" w:rsidP="008B0A24">
      <w:pPr>
        <w:jc w:val="both"/>
      </w:pPr>
    </w:p>
    <w:p w:rsidR="00306C07" w:rsidRDefault="00306C07" w:rsidP="008B0A24">
      <w:pPr>
        <w:jc w:val="both"/>
      </w:pPr>
    </w:p>
    <w:p w:rsidR="000D5507" w:rsidRDefault="000D5507" w:rsidP="008B0A24">
      <w:pPr>
        <w:jc w:val="both"/>
      </w:pPr>
    </w:p>
    <w:p w:rsidR="000D5507" w:rsidRPr="00DB6DCD" w:rsidRDefault="000D5507" w:rsidP="008B0A24">
      <w:pPr>
        <w:jc w:val="both"/>
      </w:pPr>
    </w:p>
    <w:p w:rsidR="008B0A24" w:rsidRPr="00DB6DCD" w:rsidRDefault="008559AC" w:rsidP="00DB6DCD">
      <w:pPr>
        <w:pStyle w:val="Betarp"/>
        <w:ind w:firstLine="720"/>
        <w:rPr>
          <w:rFonts w:ascii="Times New Roman" w:hAnsi="Times New Roman"/>
          <w:sz w:val="24"/>
          <w:szCs w:val="24"/>
        </w:rPr>
      </w:pPr>
      <w:r w:rsidRPr="00DB6DCD">
        <w:rPr>
          <w:rFonts w:ascii="Times New Roman" w:hAnsi="Times New Roman"/>
          <w:sz w:val="24"/>
          <w:szCs w:val="24"/>
        </w:rPr>
        <w:lastRenderedPageBreak/>
        <w:t>1</w:t>
      </w:r>
      <w:r w:rsidR="008B0A24" w:rsidRPr="00DB6DCD">
        <w:rPr>
          <w:rFonts w:ascii="Times New Roman" w:hAnsi="Times New Roman"/>
          <w:sz w:val="24"/>
          <w:szCs w:val="24"/>
        </w:rPr>
        <w:t xml:space="preserve"> lentelė</w:t>
      </w:r>
      <w:r w:rsidRPr="00DB6DCD">
        <w:rPr>
          <w:rFonts w:ascii="Times New Roman" w:hAnsi="Times New Roman"/>
          <w:sz w:val="24"/>
          <w:szCs w:val="24"/>
        </w:rPr>
        <w:t>s diagrama</w:t>
      </w:r>
    </w:p>
    <w:p w:rsidR="008B0A24" w:rsidRDefault="00997C5F" w:rsidP="008B0A24">
      <w:pPr>
        <w:spacing w:line="360" w:lineRule="auto"/>
        <w:ind w:left="-180" w:firstLine="180"/>
        <w:jc w:val="center"/>
        <w:rPr>
          <w:noProof/>
        </w:rPr>
      </w:pPr>
      <w:r>
        <w:rPr>
          <w:noProof/>
        </w:rPr>
        <w:drawing>
          <wp:inline distT="0" distB="0" distL="0" distR="0">
            <wp:extent cx="8129905" cy="2132330"/>
            <wp:effectExtent l="0" t="0" r="4445" b="1270"/>
            <wp:docPr id="1" name="Diagram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9905" cy="2132330"/>
                    </a:xfrm>
                    <a:prstGeom prst="rect">
                      <a:avLst/>
                    </a:prstGeom>
                    <a:gradFill rotWithShape="1">
                      <a:gsLst>
                        <a:gs pos="0">
                          <a:srgbClr val="000000"/>
                        </a:gs>
                        <a:gs pos="100000">
                          <a:srgbClr val="000000">
                            <a:gamma/>
                            <a:tint val="0"/>
                            <a:invGamma/>
                          </a:srgbClr>
                        </a:gs>
                      </a:gsLst>
                      <a:lin ang="5400000" scaled="1"/>
                    </a:gradFill>
                    <a:ln>
                      <a:noFill/>
                    </a:ln>
                  </pic:spPr>
                </pic:pic>
              </a:graphicData>
            </a:graphic>
          </wp:inline>
        </w:drawing>
      </w:r>
    </w:p>
    <w:p w:rsidR="00BD3DE9" w:rsidRPr="00CB03EF" w:rsidRDefault="00BD3DE9" w:rsidP="008B0A24">
      <w:pPr>
        <w:spacing w:line="360" w:lineRule="auto"/>
        <w:ind w:left="-180" w:firstLine="180"/>
        <w:jc w:val="center"/>
        <w:rPr>
          <w:noProof/>
        </w:rPr>
      </w:pPr>
    </w:p>
    <w:p w:rsidR="008B0A24" w:rsidRPr="00DB6DCD" w:rsidRDefault="008559AC" w:rsidP="00DB6DCD">
      <w:pPr>
        <w:pStyle w:val="Betarp"/>
        <w:ind w:firstLine="720"/>
        <w:rPr>
          <w:rFonts w:ascii="Times New Roman" w:hAnsi="Times New Roman"/>
          <w:noProof/>
          <w:sz w:val="24"/>
          <w:szCs w:val="24"/>
        </w:rPr>
      </w:pPr>
      <w:r>
        <w:rPr>
          <w:rFonts w:ascii="Times New Roman" w:hAnsi="Times New Roman"/>
          <w:noProof/>
          <w:sz w:val="24"/>
          <w:szCs w:val="24"/>
        </w:rPr>
        <w:t>2</w:t>
      </w:r>
      <w:r w:rsidR="008B0A24" w:rsidRPr="00DB6DCD">
        <w:rPr>
          <w:rFonts w:ascii="Times New Roman" w:hAnsi="Times New Roman"/>
          <w:noProof/>
          <w:sz w:val="24"/>
          <w:szCs w:val="24"/>
        </w:rPr>
        <w:t xml:space="preserve"> lentelė. Mokinių skaičiaus poky</w:t>
      </w:r>
      <w:r w:rsidR="00DB708B" w:rsidRPr="00DB6DCD">
        <w:rPr>
          <w:rFonts w:ascii="Times New Roman" w:hAnsi="Times New Roman"/>
          <w:noProof/>
          <w:sz w:val="24"/>
          <w:szCs w:val="24"/>
        </w:rPr>
        <w:t>tis</w:t>
      </w:r>
      <w:r w:rsidR="008B0A24" w:rsidRPr="00DB6DCD">
        <w:rPr>
          <w:rFonts w:ascii="Times New Roman" w:hAnsi="Times New Roman"/>
          <w:noProof/>
          <w:sz w:val="24"/>
          <w:szCs w:val="24"/>
        </w:rPr>
        <w:t xml:space="preserve"> 201</w:t>
      </w:r>
      <w:r w:rsidR="009B14EC">
        <w:rPr>
          <w:rFonts w:ascii="Times New Roman" w:hAnsi="Times New Roman"/>
          <w:noProof/>
          <w:sz w:val="24"/>
          <w:szCs w:val="24"/>
        </w:rPr>
        <w:t>6</w:t>
      </w:r>
      <w:r w:rsidR="008B0A24" w:rsidRPr="00DB6DCD">
        <w:rPr>
          <w:rFonts w:ascii="Times New Roman" w:hAnsi="Times New Roman"/>
          <w:noProof/>
          <w:sz w:val="24"/>
          <w:szCs w:val="24"/>
        </w:rPr>
        <w:t xml:space="preserve">–2020 m. </w:t>
      </w:r>
    </w:p>
    <w:tbl>
      <w:tblPr>
        <w:tblpPr w:leftFromText="180" w:rightFromText="180" w:vertAnchor="text" w:horzAnchor="page" w:tblpX="1976" w:tblpY="17"/>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57"/>
        <w:gridCol w:w="2880"/>
        <w:gridCol w:w="3060"/>
        <w:gridCol w:w="2430"/>
      </w:tblGrid>
      <w:tr w:rsidR="009B14EC" w:rsidTr="00CC343A">
        <w:trPr>
          <w:trHeight w:val="508"/>
        </w:trPr>
        <w:tc>
          <w:tcPr>
            <w:tcW w:w="1951" w:type="dxa"/>
            <w:tcBorders>
              <w:top w:val="single" w:sz="4" w:space="0" w:color="auto"/>
              <w:left w:val="single" w:sz="4" w:space="0" w:color="auto"/>
              <w:bottom w:val="single" w:sz="4" w:space="0" w:color="auto"/>
              <w:right w:val="single" w:sz="4" w:space="0" w:color="auto"/>
            </w:tcBorders>
            <w:hideMark/>
          </w:tcPr>
          <w:p w:rsidR="009B14EC" w:rsidRPr="00DB6DCD" w:rsidRDefault="009B14EC">
            <w:pPr>
              <w:pStyle w:val="Betarp"/>
              <w:jc w:val="center"/>
              <w:rPr>
                <w:rFonts w:ascii="Times New Roman" w:hAnsi="Times New Roman"/>
                <w:sz w:val="24"/>
                <w:szCs w:val="24"/>
              </w:rPr>
            </w:pPr>
            <w:r w:rsidRPr="00DB6DCD">
              <w:rPr>
                <w:rFonts w:ascii="Times New Roman" w:hAnsi="Times New Roman"/>
                <w:sz w:val="24"/>
                <w:szCs w:val="24"/>
              </w:rPr>
              <w:t>Rodiklis</w:t>
            </w:r>
          </w:p>
        </w:tc>
        <w:tc>
          <w:tcPr>
            <w:tcW w:w="2657" w:type="dxa"/>
            <w:tcBorders>
              <w:top w:val="single" w:sz="4" w:space="0" w:color="auto"/>
              <w:left w:val="single" w:sz="4" w:space="0" w:color="auto"/>
              <w:bottom w:val="single" w:sz="4" w:space="0" w:color="auto"/>
              <w:right w:val="single" w:sz="4" w:space="0" w:color="auto"/>
            </w:tcBorders>
            <w:hideMark/>
          </w:tcPr>
          <w:p w:rsidR="009B14EC" w:rsidRPr="00DB6DCD" w:rsidRDefault="009B14EC">
            <w:pPr>
              <w:pStyle w:val="Betarp"/>
              <w:jc w:val="center"/>
              <w:rPr>
                <w:rFonts w:ascii="Times New Roman" w:hAnsi="Times New Roman"/>
                <w:sz w:val="24"/>
                <w:szCs w:val="24"/>
              </w:rPr>
            </w:pPr>
            <w:r w:rsidRPr="00DB6DCD">
              <w:rPr>
                <w:rFonts w:ascii="Times New Roman" w:hAnsi="Times New Roman"/>
                <w:sz w:val="24"/>
                <w:szCs w:val="24"/>
              </w:rPr>
              <w:t>2016 m.</w:t>
            </w:r>
          </w:p>
        </w:tc>
        <w:tc>
          <w:tcPr>
            <w:tcW w:w="2880" w:type="dxa"/>
            <w:tcBorders>
              <w:top w:val="single" w:sz="4" w:space="0" w:color="auto"/>
              <w:left w:val="single" w:sz="4" w:space="0" w:color="auto"/>
              <w:bottom w:val="single" w:sz="4" w:space="0" w:color="auto"/>
              <w:right w:val="single" w:sz="4" w:space="0" w:color="auto"/>
            </w:tcBorders>
            <w:hideMark/>
          </w:tcPr>
          <w:p w:rsidR="009B14EC" w:rsidRPr="00DB6DCD" w:rsidRDefault="009B14EC">
            <w:pPr>
              <w:pStyle w:val="Betarp"/>
              <w:jc w:val="center"/>
              <w:rPr>
                <w:rFonts w:ascii="Times New Roman" w:hAnsi="Times New Roman"/>
                <w:sz w:val="24"/>
                <w:szCs w:val="24"/>
              </w:rPr>
            </w:pPr>
            <w:r w:rsidRPr="00DB6DCD">
              <w:rPr>
                <w:rFonts w:ascii="Times New Roman" w:hAnsi="Times New Roman"/>
                <w:sz w:val="24"/>
                <w:szCs w:val="24"/>
              </w:rPr>
              <w:t>2017 m.</w:t>
            </w:r>
          </w:p>
        </w:tc>
        <w:tc>
          <w:tcPr>
            <w:tcW w:w="3060" w:type="dxa"/>
            <w:tcBorders>
              <w:top w:val="single" w:sz="4" w:space="0" w:color="auto"/>
              <w:left w:val="single" w:sz="4" w:space="0" w:color="auto"/>
              <w:bottom w:val="single" w:sz="4" w:space="0" w:color="auto"/>
              <w:right w:val="single" w:sz="4" w:space="0" w:color="auto"/>
            </w:tcBorders>
            <w:hideMark/>
          </w:tcPr>
          <w:p w:rsidR="009B14EC" w:rsidRPr="00DB6DCD" w:rsidRDefault="009B14EC">
            <w:pPr>
              <w:pStyle w:val="Betarp"/>
              <w:jc w:val="center"/>
              <w:rPr>
                <w:rFonts w:ascii="Times New Roman" w:hAnsi="Times New Roman"/>
                <w:sz w:val="24"/>
                <w:szCs w:val="24"/>
              </w:rPr>
            </w:pPr>
            <w:r w:rsidRPr="00DB6DCD">
              <w:rPr>
                <w:rFonts w:ascii="Times New Roman" w:hAnsi="Times New Roman"/>
                <w:sz w:val="24"/>
                <w:szCs w:val="24"/>
              </w:rPr>
              <w:t>2018 m.</w:t>
            </w:r>
          </w:p>
        </w:tc>
        <w:tc>
          <w:tcPr>
            <w:tcW w:w="2430" w:type="dxa"/>
            <w:tcBorders>
              <w:top w:val="single" w:sz="4" w:space="0" w:color="auto"/>
              <w:left w:val="single" w:sz="4" w:space="0" w:color="auto"/>
              <w:bottom w:val="single" w:sz="4" w:space="0" w:color="auto"/>
              <w:right w:val="single" w:sz="4" w:space="0" w:color="auto"/>
            </w:tcBorders>
            <w:hideMark/>
          </w:tcPr>
          <w:p w:rsidR="009B14EC" w:rsidRPr="00DB6DCD" w:rsidRDefault="009B14EC">
            <w:pPr>
              <w:pStyle w:val="Betarp"/>
              <w:jc w:val="center"/>
              <w:rPr>
                <w:rFonts w:ascii="Times New Roman" w:hAnsi="Times New Roman"/>
                <w:sz w:val="24"/>
                <w:szCs w:val="24"/>
              </w:rPr>
            </w:pPr>
            <w:r w:rsidRPr="00DB6DCD">
              <w:rPr>
                <w:rFonts w:ascii="Times New Roman" w:hAnsi="Times New Roman"/>
                <w:sz w:val="24"/>
                <w:szCs w:val="24"/>
              </w:rPr>
              <w:t>2019 m.</w:t>
            </w:r>
          </w:p>
        </w:tc>
      </w:tr>
      <w:tr w:rsidR="009B14EC" w:rsidTr="00CC343A">
        <w:trPr>
          <w:trHeight w:val="366"/>
        </w:trPr>
        <w:tc>
          <w:tcPr>
            <w:tcW w:w="1951"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Mokinių skaičius</w:t>
            </w:r>
          </w:p>
        </w:tc>
        <w:tc>
          <w:tcPr>
            <w:tcW w:w="2657"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3 154</w:t>
            </w:r>
          </w:p>
        </w:tc>
        <w:tc>
          <w:tcPr>
            <w:tcW w:w="288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3 043</w:t>
            </w:r>
          </w:p>
        </w:tc>
        <w:tc>
          <w:tcPr>
            <w:tcW w:w="306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2 926</w:t>
            </w:r>
          </w:p>
        </w:tc>
        <w:tc>
          <w:tcPr>
            <w:tcW w:w="243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2 882</w:t>
            </w:r>
          </w:p>
        </w:tc>
      </w:tr>
      <w:tr w:rsidR="009B14EC" w:rsidTr="00CC343A">
        <w:trPr>
          <w:trHeight w:val="660"/>
        </w:trPr>
        <w:tc>
          <w:tcPr>
            <w:tcW w:w="1951"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Mokinių skaičiaus kitimas</w:t>
            </w:r>
          </w:p>
        </w:tc>
        <w:tc>
          <w:tcPr>
            <w:tcW w:w="2657"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sumažėjo 65</w:t>
            </w:r>
          </w:p>
        </w:tc>
        <w:tc>
          <w:tcPr>
            <w:tcW w:w="288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sumažėjo 111</w:t>
            </w:r>
          </w:p>
        </w:tc>
        <w:tc>
          <w:tcPr>
            <w:tcW w:w="306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sumažėjo 117</w:t>
            </w:r>
          </w:p>
        </w:tc>
        <w:tc>
          <w:tcPr>
            <w:tcW w:w="243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sumažėjo 44</w:t>
            </w:r>
          </w:p>
        </w:tc>
      </w:tr>
      <w:tr w:rsidR="009B14EC" w:rsidTr="00CC343A">
        <w:trPr>
          <w:trHeight w:val="388"/>
        </w:trPr>
        <w:tc>
          <w:tcPr>
            <w:tcW w:w="1951"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Proc.</w:t>
            </w:r>
          </w:p>
        </w:tc>
        <w:tc>
          <w:tcPr>
            <w:tcW w:w="2657"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2,02</w:t>
            </w:r>
          </w:p>
        </w:tc>
        <w:tc>
          <w:tcPr>
            <w:tcW w:w="288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3,52</w:t>
            </w:r>
          </w:p>
        </w:tc>
        <w:tc>
          <w:tcPr>
            <w:tcW w:w="306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3,85</w:t>
            </w:r>
          </w:p>
        </w:tc>
        <w:tc>
          <w:tcPr>
            <w:tcW w:w="2430" w:type="dxa"/>
            <w:tcBorders>
              <w:top w:val="single" w:sz="4" w:space="0" w:color="auto"/>
              <w:left w:val="single" w:sz="4" w:space="0" w:color="auto"/>
              <w:bottom w:val="single" w:sz="4" w:space="0" w:color="auto"/>
              <w:right w:val="single" w:sz="4" w:space="0" w:color="auto"/>
            </w:tcBorders>
            <w:hideMark/>
          </w:tcPr>
          <w:p w:rsidR="009B14EC" w:rsidRDefault="009B14EC">
            <w:pPr>
              <w:jc w:val="center"/>
            </w:pPr>
            <w:r>
              <w:t>1,5</w:t>
            </w:r>
          </w:p>
        </w:tc>
      </w:tr>
    </w:tbl>
    <w:p w:rsidR="00D72D97" w:rsidRDefault="008B0A24" w:rsidP="00DB6DCD">
      <w:pPr>
        <w:pStyle w:val="Betarp"/>
        <w:jc w:val="both"/>
      </w:pPr>
      <w:r>
        <w:tab/>
      </w:r>
    </w:p>
    <w:p w:rsidR="008B0A24" w:rsidRPr="00981FB0" w:rsidRDefault="00D72D97" w:rsidP="00DB6DCD">
      <w:pPr>
        <w:pStyle w:val="Betarp"/>
        <w:ind w:firstLine="720"/>
        <w:jc w:val="both"/>
      </w:pPr>
      <w:r>
        <w:rPr>
          <w:rFonts w:ascii="Times New Roman" w:hAnsi="Times New Roman"/>
          <w:sz w:val="24"/>
          <w:szCs w:val="24"/>
        </w:rPr>
        <w:t>Panevėž</w:t>
      </w:r>
      <w:r w:rsidR="009B14EC">
        <w:rPr>
          <w:rFonts w:ascii="Times New Roman" w:hAnsi="Times New Roman"/>
          <w:sz w:val="24"/>
          <w:szCs w:val="24"/>
        </w:rPr>
        <w:t>io rajono savivaldybėje nuo 2016 m. iki 2020 m. sumažėjo 41</w:t>
      </w:r>
      <w:r>
        <w:rPr>
          <w:rFonts w:ascii="Times New Roman" w:hAnsi="Times New Roman"/>
          <w:sz w:val="24"/>
          <w:szCs w:val="24"/>
        </w:rPr>
        <w:t xml:space="preserve">0 mokinių, </w:t>
      </w:r>
      <w:r w:rsidR="009B14EC">
        <w:rPr>
          <w:rFonts w:ascii="Times New Roman" w:hAnsi="Times New Roman"/>
          <w:sz w:val="24"/>
          <w:szCs w:val="24"/>
        </w:rPr>
        <w:t>arba 2,68</w:t>
      </w:r>
      <w:r>
        <w:rPr>
          <w:rFonts w:ascii="Times New Roman" w:hAnsi="Times New Roman"/>
          <w:sz w:val="24"/>
          <w:szCs w:val="24"/>
        </w:rPr>
        <w:t xml:space="preserve"> proc. </w:t>
      </w:r>
      <w:r w:rsidR="008B0A24" w:rsidRPr="00DB6DCD">
        <w:rPr>
          <w:rFonts w:ascii="Times New Roman" w:hAnsi="Times New Roman"/>
          <w:sz w:val="24"/>
          <w:szCs w:val="24"/>
        </w:rPr>
        <w:t>Lietuvo</w:t>
      </w:r>
      <w:r>
        <w:rPr>
          <w:rFonts w:ascii="Times New Roman" w:hAnsi="Times New Roman"/>
          <w:sz w:val="24"/>
          <w:szCs w:val="24"/>
        </w:rPr>
        <w:t>s Respublikoje</w:t>
      </w:r>
      <w:r w:rsidR="008B0A24" w:rsidRPr="00DB6DCD">
        <w:rPr>
          <w:rFonts w:ascii="Times New Roman" w:hAnsi="Times New Roman"/>
          <w:sz w:val="24"/>
          <w:szCs w:val="24"/>
        </w:rPr>
        <w:t xml:space="preserve"> mokinių skaičius 2016–2019 m. mažėjo 1,6 proc. </w:t>
      </w:r>
    </w:p>
    <w:p w:rsidR="00CB03EF" w:rsidRDefault="008B0A24" w:rsidP="00DB6DCD">
      <w:pPr>
        <w:pStyle w:val="Betarp"/>
        <w:ind w:firstLine="720"/>
        <w:jc w:val="both"/>
        <w:rPr>
          <w:szCs w:val="24"/>
        </w:rPr>
      </w:pPr>
      <w:r w:rsidRPr="00DB6DCD">
        <w:rPr>
          <w:rFonts w:ascii="Times New Roman" w:hAnsi="Times New Roman"/>
          <w:sz w:val="24"/>
          <w:szCs w:val="24"/>
        </w:rPr>
        <w:t>Mokinių mažėjimą atspindi ir gimstamumo Panevėžio rajono savivaldybėje rodikliai bei jų palyginimas su atėjusiais į pirmąją klasę vaikais. Taigi mažėja ne tik gimstamumas, bet ir didėja neateinančių į rajono mokyklas mokinių skaičius. Per paskutinius 3 metus vidutiniškai į mokyklas ateina apie 78 proc. vaikų, gimusių rajone ir turėjusių tais metais ateiti į pirmąsias klases.</w:t>
      </w:r>
    </w:p>
    <w:p w:rsidR="00BD3DE9" w:rsidRPr="00DB6DCD" w:rsidRDefault="00BD3DE9" w:rsidP="00DB6DCD">
      <w:pPr>
        <w:pStyle w:val="Betarp"/>
        <w:jc w:val="both"/>
        <w:rPr>
          <w:rFonts w:ascii="Times New Roman" w:hAnsi="Times New Roman"/>
          <w:sz w:val="24"/>
          <w:szCs w:val="24"/>
        </w:rPr>
      </w:pPr>
    </w:p>
    <w:p w:rsidR="00CB03EF" w:rsidRPr="00DB6DCD" w:rsidRDefault="008559AC" w:rsidP="00DB6DCD">
      <w:pPr>
        <w:pStyle w:val="Betarp"/>
        <w:ind w:firstLine="720"/>
        <w:jc w:val="both"/>
        <w:rPr>
          <w:rFonts w:ascii="Times New Roman" w:hAnsi="Times New Roman"/>
          <w:sz w:val="24"/>
          <w:szCs w:val="24"/>
        </w:rPr>
      </w:pPr>
      <w:r>
        <w:rPr>
          <w:rFonts w:ascii="Times New Roman" w:hAnsi="Times New Roman"/>
          <w:sz w:val="24"/>
          <w:szCs w:val="24"/>
        </w:rPr>
        <w:t>3</w:t>
      </w:r>
      <w:r w:rsidR="00CB03EF" w:rsidRPr="00DB6DCD">
        <w:rPr>
          <w:rFonts w:ascii="Times New Roman" w:hAnsi="Times New Roman"/>
          <w:sz w:val="24"/>
          <w:szCs w:val="24"/>
        </w:rPr>
        <w:t xml:space="preserve"> lentelė. Vaikų gimstamumas</w:t>
      </w:r>
      <w:r w:rsidRPr="008559AC">
        <w:t xml:space="preserve"> </w:t>
      </w:r>
      <w:r w:rsidRPr="00DB6DCD">
        <w:rPr>
          <w:rFonts w:ascii="Times New Roman" w:hAnsi="Times New Roman"/>
          <w:sz w:val="24"/>
          <w:szCs w:val="24"/>
        </w:rPr>
        <w:t>ir 1 klasės mokinių skaičiaus prognozė</w:t>
      </w:r>
    </w:p>
    <w:tbl>
      <w:tblPr>
        <w:tblW w:w="1289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861"/>
        <w:gridCol w:w="1276"/>
        <w:gridCol w:w="1134"/>
        <w:gridCol w:w="1417"/>
        <w:gridCol w:w="1276"/>
        <w:gridCol w:w="1276"/>
        <w:gridCol w:w="1134"/>
        <w:gridCol w:w="992"/>
        <w:gridCol w:w="992"/>
        <w:gridCol w:w="993"/>
      </w:tblGrid>
      <w:tr w:rsidR="00CB03EF" w:rsidRPr="003703C5" w:rsidTr="00CC343A">
        <w:trPr>
          <w:trHeight w:val="340"/>
        </w:trPr>
        <w:tc>
          <w:tcPr>
            <w:tcW w:w="1539" w:type="dxa"/>
            <w:shd w:val="clear" w:color="auto" w:fill="auto"/>
            <w:vAlign w:val="center"/>
            <w:hideMark/>
          </w:tcPr>
          <w:p w:rsidR="00CB03EF" w:rsidRPr="00DB6DCD" w:rsidRDefault="00CB03EF" w:rsidP="001241AA">
            <w:pPr>
              <w:jc w:val="center"/>
            </w:pPr>
            <w:r w:rsidRPr="00DB6DCD">
              <w:t>Metai</w:t>
            </w:r>
          </w:p>
        </w:tc>
        <w:tc>
          <w:tcPr>
            <w:tcW w:w="861" w:type="dxa"/>
            <w:shd w:val="clear" w:color="auto" w:fill="auto"/>
            <w:vAlign w:val="center"/>
            <w:hideMark/>
          </w:tcPr>
          <w:p w:rsidR="00CB03EF" w:rsidRPr="00DB6DCD" w:rsidRDefault="00CB03EF" w:rsidP="00DB708B">
            <w:pPr>
              <w:jc w:val="center"/>
            </w:pPr>
            <w:r w:rsidRPr="00DB6DCD">
              <w:t>2014</w:t>
            </w:r>
          </w:p>
        </w:tc>
        <w:tc>
          <w:tcPr>
            <w:tcW w:w="1276" w:type="dxa"/>
            <w:shd w:val="clear" w:color="auto" w:fill="auto"/>
            <w:vAlign w:val="center"/>
            <w:hideMark/>
          </w:tcPr>
          <w:p w:rsidR="00CB03EF" w:rsidRPr="00DB6DCD" w:rsidRDefault="00CB03EF" w:rsidP="00974013">
            <w:pPr>
              <w:jc w:val="center"/>
            </w:pPr>
            <w:r w:rsidRPr="00DB6DCD">
              <w:t>2015</w:t>
            </w:r>
          </w:p>
        </w:tc>
        <w:tc>
          <w:tcPr>
            <w:tcW w:w="1134" w:type="dxa"/>
            <w:shd w:val="clear" w:color="auto" w:fill="auto"/>
            <w:vAlign w:val="center"/>
            <w:hideMark/>
          </w:tcPr>
          <w:p w:rsidR="00CB03EF" w:rsidRPr="00DB6DCD" w:rsidRDefault="00CB03EF" w:rsidP="009F5E0A">
            <w:pPr>
              <w:jc w:val="center"/>
            </w:pPr>
            <w:r w:rsidRPr="00DB6DCD">
              <w:t>2016</w:t>
            </w:r>
          </w:p>
        </w:tc>
        <w:tc>
          <w:tcPr>
            <w:tcW w:w="1417" w:type="dxa"/>
            <w:shd w:val="clear" w:color="auto" w:fill="auto"/>
            <w:vAlign w:val="center"/>
            <w:hideMark/>
          </w:tcPr>
          <w:p w:rsidR="00CB03EF" w:rsidRPr="00DB6DCD" w:rsidRDefault="00CB03EF" w:rsidP="00965203">
            <w:pPr>
              <w:jc w:val="center"/>
            </w:pPr>
            <w:r w:rsidRPr="00DB6DCD">
              <w:t>2017</w:t>
            </w:r>
          </w:p>
        </w:tc>
        <w:tc>
          <w:tcPr>
            <w:tcW w:w="1276" w:type="dxa"/>
            <w:shd w:val="clear" w:color="auto" w:fill="auto"/>
            <w:vAlign w:val="center"/>
            <w:hideMark/>
          </w:tcPr>
          <w:p w:rsidR="00CB03EF" w:rsidRPr="00DB6DCD" w:rsidRDefault="00CB03EF" w:rsidP="00F30FE2">
            <w:pPr>
              <w:jc w:val="center"/>
            </w:pPr>
            <w:r w:rsidRPr="00DB6DCD">
              <w:t>2018</w:t>
            </w:r>
          </w:p>
        </w:tc>
        <w:tc>
          <w:tcPr>
            <w:tcW w:w="1276" w:type="dxa"/>
            <w:shd w:val="clear" w:color="auto" w:fill="auto"/>
            <w:vAlign w:val="center"/>
            <w:hideMark/>
          </w:tcPr>
          <w:p w:rsidR="00CB03EF" w:rsidRPr="00DB6DCD" w:rsidRDefault="00CB03EF" w:rsidP="00CB607A">
            <w:pPr>
              <w:jc w:val="center"/>
            </w:pPr>
            <w:r w:rsidRPr="00DB6DCD">
              <w:t>2019</w:t>
            </w:r>
          </w:p>
        </w:tc>
        <w:tc>
          <w:tcPr>
            <w:tcW w:w="1134" w:type="dxa"/>
            <w:shd w:val="clear" w:color="auto" w:fill="auto"/>
            <w:vAlign w:val="center"/>
            <w:hideMark/>
          </w:tcPr>
          <w:p w:rsidR="00CB03EF" w:rsidRPr="00DB6DCD" w:rsidRDefault="00CB03EF" w:rsidP="00850CED">
            <w:pPr>
              <w:jc w:val="center"/>
            </w:pPr>
            <w:r w:rsidRPr="00DB6DCD">
              <w:t>2020</w:t>
            </w:r>
          </w:p>
        </w:tc>
        <w:tc>
          <w:tcPr>
            <w:tcW w:w="992" w:type="dxa"/>
            <w:shd w:val="clear" w:color="auto" w:fill="auto"/>
            <w:noWrap/>
            <w:vAlign w:val="bottom"/>
            <w:hideMark/>
          </w:tcPr>
          <w:p w:rsidR="00CB03EF" w:rsidRPr="00DB6DCD" w:rsidRDefault="00CB03EF" w:rsidP="00EF23A8">
            <w:pPr>
              <w:jc w:val="center"/>
              <w:rPr>
                <w:color w:val="FF0000"/>
              </w:rPr>
            </w:pPr>
            <w:r w:rsidRPr="00880501">
              <w:t>2021</w:t>
            </w:r>
          </w:p>
        </w:tc>
        <w:tc>
          <w:tcPr>
            <w:tcW w:w="992" w:type="dxa"/>
            <w:shd w:val="clear" w:color="auto" w:fill="auto"/>
            <w:vAlign w:val="center"/>
            <w:hideMark/>
          </w:tcPr>
          <w:p w:rsidR="00CB03EF" w:rsidRPr="00DB6DCD" w:rsidRDefault="00CB03EF" w:rsidP="00DB708B">
            <w:pPr>
              <w:jc w:val="center"/>
            </w:pPr>
            <w:r w:rsidRPr="00DB6DCD">
              <w:t>2022</w:t>
            </w:r>
          </w:p>
        </w:tc>
        <w:tc>
          <w:tcPr>
            <w:tcW w:w="993" w:type="dxa"/>
            <w:shd w:val="clear" w:color="auto" w:fill="auto"/>
            <w:vAlign w:val="center"/>
            <w:hideMark/>
          </w:tcPr>
          <w:p w:rsidR="00CB03EF" w:rsidRPr="00DB6DCD" w:rsidRDefault="00CB03EF" w:rsidP="00974013">
            <w:pPr>
              <w:jc w:val="center"/>
            </w:pPr>
            <w:r w:rsidRPr="00DB6DCD">
              <w:t>2023</w:t>
            </w:r>
          </w:p>
        </w:tc>
      </w:tr>
      <w:tr w:rsidR="00CB03EF" w:rsidRPr="003703C5" w:rsidTr="00CC343A">
        <w:trPr>
          <w:trHeight w:val="669"/>
        </w:trPr>
        <w:tc>
          <w:tcPr>
            <w:tcW w:w="1539" w:type="dxa"/>
            <w:shd w:val="clear" w:color="auto" w:fill="auto"/>
            <w:vAlign w:val="center"/>
            <w:hideMark/>
          </w:tcPr>
          <w:p w:rsidR="00CB03EF" w:rsidRDefault="00CB03EF" w:rsidP="001241AA">
            <w:pPr>
              <w:jc w:val="center"/>
            </w:pPr>
            <w:r>
              <w:t>Gimusiųjų skaičius</w:t>
            </w:r>
          </w:p>
        </w:tc>
        <w:tc>
          <w:tcPr>
            <w:tcW w:w="861" w:type="dxa"/>
            <w:shd w:val="clear" w:color="auto" w:fill="auto"/>
            <w:vAlign w:val="center"/>
            <w:hideMark/>
          </w:tcPr>
          <w:p w:rsidR="00CB03EF" w:rsidRPr="003703C5" w:rsidRDefault="00CB03EF" w:rsidP="001241AA">
            <w:pPr>
              <w:jc w:val="center"/>
            </w:pPr>
            <w:r w:rsidRPr="003703C5">
              <w:t>389</w:t>
            </w:r>
          </w:p>
        </w:tc>
        <w:tc>
          <w:tcPr>
            <w:tcW w:w="1276" w:type="dxa"/>
            <w:shd w:val="clear" w:color="auto" w:fill="auto"/>
            <w:vAlign w:val="center"/>
            <w:hideMark/>
          </w:tcPr>
          <w:p w:rsidR="00CB03EF" w:rsidRPr="003703C5" w:rsidRDefault="00CB03EF" w:rsidP="001241AA">
            <w:pPr>
              <w:jc w:val="center"/>
            </w:pPr>
            <w:r w:rsidRPr="003703C5">
              <w:t>379</w:t>
            </w:r>
          </w:p>
        </w:tc>
        <w:tc>
          <w:tcPr>
            <w:tcW w:w="1134" w:type="dxa"/>
            <w:shd w:val="clear" w:color="auto" w:fill="auto"/>
            <w:vAlign w:val="center"/>
            <w:hideMark/>
          </w:tcPr>
          <w:p w:rsidR="00CB03EF" w:rsidRPr="003703C5" w:rsidRDefault="00CB03EF" w:rsidP="001241AA">
            <w:pPr>
              <w:jc w:val="center"/>
            </w:pPr>
            <w:r w:rsidRPr="003703C5">
              <w:t>383</w:t>
            </w:r>
          </w:p>
        </w:tc>
        <w:tc>
          <w:tcPr>
            <w:tcW w:w="1417" w:type="dxa"/>
            <w:shd w:val="clear" w:color="auto" w:fill="auto"/>
            <w:vAlign w:val="center"/>
            <w:hideMark/>
          </w:tcPr>
          <w:p w:rsidR="00CB03EF" w:rsidRPr="003703C5" w:rsidRDefault="00CB03EF" w:rsidP="001241AA">
            <w:pPr>
              <w:jc w:val="center"/>
            </w:pPr>
            <w:r w:rsidRPr="003703C5">
              <w:t>334</w:t>
            </w:r>
          </w:p>
        </w:tc>
        <w:tc>
          <w:tcPr>
            <w:tcW w:w="1276" w:type="dxa"/>
            <w:shd w:val="clear" w:color="auto" w:fill="auto"/>
            <w:vAlign w:val="center"/>
            <w:hideMark/>
          </w:tcPr>
          <w:p w:rsidR="00CB03EF" w:rsidRPr="003703C5" w:rsidRDefault="00CB03EF" w:rsidP="001241AA">
            <w:pPr>
              <w:jc w:val="center"/>
            </w:pPr>
            <w:r w:rsidRPr="003703C5">
              <w:t>346</w:t>
            </w:r>
          </w:p>
        </w:tc>
        <w:tc>
          <w:tcPr>
            <w:tcW w:w="1276" w:type="dxa"/>
            <w:shd w:val="clear" w:color="auto" w:fill="auto"/>
            <w:vAlign w:val="center"/>
            <w:hideMark/>
          </w:tcPr>
          <w:p w:rsidR="00CB03EF" w:rsidRPr="003703C5" w:rsidRDefault="00CB03EF" w:rsidP="001241AA">
            <w:pPr>
              <w:jc w:val="center"/>
            </w:pPr>
            <w:r w:rsidRPr="003703C5">
              <w:t>307</w:t>
            </w:r>
          </w:p>
        </w:tc>
        <w:tc>
          <w:tcPr>
            <w:tcW w:w="1134" w:type="dxa"/>
            <w:shd w:val="clear" w:color="auto" w:fill="auto"/>
            <w:vAlign w:val="center"/>
            <w:hideMark/>
          </w:tcPr>
          <w:p w:rsidR="00CB03EF" w:rsidRPr="003703C5" w:rsidRDefault="00CB03EF" w:rsidP="001241AA">
            <w:pPr>
              <w:jc w:val="center"/>
            </w:pPr>
            <w:r w:rsidRPr="003703C5">
              <w:t> </w:t>
            </w:r>
          </w:p>
        </w:tc>
        <w:tc>
          <w:tcPr>
            <w:tcW w:w="992" w:type="dxa"/>
            <w:shd w:val="clear" w:color="auto" w:fill="auto"/>
            <w:noWrap/>
            <w:vAlign w:val="bottom"/>
            <w:hideMark/>
          </w:tcPr>
          <w:p w:rsidR="00CB03EF" w:rsidRPr="003703C5" w:rsidRDefault="00CB03EF" w:rsidP="001241AA">
            <w:pPr>
              <w:jc w:val="center"/>
            </w:pPr>
            <w:r w:rsidRPr="003703C5">
              <w:t> </w:t>
            </w:r>
          </w:p>
        </w:tc>
        <w:tc>
          <w:tcPr>
            <w:tcW w:w="992" w:type="dxa"/>
            <w:shd w:val="clear" w:color="auto" w:fill="auto"/>
            <w:noWrap/>
            <w:vAlign w:val="bottom"/>
            <w:hideMark/>
          </w:tcPr>
          <w:p w:rsidR="00CB03EF" w:rsidRPr="003703C5" w:rsidRDefault="00CB03EF" w:rsidP="001241AA">
            <w:pPr>
              <w:jc w:val="center"/>
            </w:pPr>
            <w:r w:rsidRPr="003703C5">
              <w:t> </w:t>
            </w:r>
          </w:p>
        </w:tc>
        <w:tc>
          <w:tcPr>
            <w:tcW w:w="993" w:type="dxa"/>
            <w:shd w:val="clear" w:color="auto" w:fill="auto"/>
            <w:noWrap/>
            <w:vAlign w:val="bottom"/>
            <w:hideMark/>
          </w:tcPr>
          <w:p w:rsidR="00CB03EF" w:rsidRPr="003703C5" w:rsidRDefault="00CB03EF" w:rsidP="001241AA">
            <w:pPr>
              <w:jc w:val="center"/>
            </w:pPr>
            <w:r w:rsidRPr="003703C5">
              <w:t> </w:t>
            </w:r>
          </w:p>
        </w:tc>
      </w:tr>
      <w:tr w:rsidR="00CB03EF" w:rsidRPr="003703C5" w:rsidTr="00CC343A">
        <w:trPr>
          <w:trHeight w:val="896"/>
        </w:trPr>
        <w:tc>
          <w:tcPr>
            <w:tcW w:w="3676" w:type="dxa"/>
            <w:gridSpan w:val="3"/>
            <w:shd w:val="clear" w:color="auto" w:fill="auto"/>
            <w:vAlign w:val="center"/>
            <w:hideMark/>
          </w:tcPr>
          <w:p w:rsidR="00CB03EF" w:rsidRPr="003703C5" w:rsidRDefault="00DB708B" w:rsidP="00CB03EF">
            <w:r>
              <w:lastRenderedPageBreak/>
              <w:t>P</w:t>
            </w:r>
            <w:r w:rsidR="00CB03EF">
              <w:t xml:space="preserve">rognuozuojamas </w:t>
            </w:r>
            <w:r>
              <w:t>1</w:t>
            </w:r>
            <w:r w:rsidR="00CB03EF">
              <w:t xml:space="preserve"> klasės mokinių skaičius </w:t>
            </w:r>
          </w:p>
        </w:tc>
        <w:tc>
          <w:tcPr>
            <w:tcW w:w="1134" w:type="dxa"/>
            <w:shd w:val="clear" w:color="auto" w:fill="auto"/>
            <w:vAlign w:val="center"/>
          </w:tcPr>
          <w:p w:rsidR="00CB03EF" w:rsidRPr="00DB6DCD" w:rsidRDefault="00CB03EF" w:rsidP="001241AA">
            <w:pPr>
              <w:jc w:val="center"/>
              <w:rPr>
                <w:bCs/>
                <w:color w:val="FF0000"/>
              </w:rPr>
            </w:pPr>
          </w:p>
        </w:tc>
        <w:tc>
          <w:tcPr>
            <w:tcW w:w="1417" w:type="dxa"/>
            <w:shd w:val="clear" w:color="auto" w:fill="auto"/>
            <w:vAlign w:val="center"/>
          </w:tcPr>
          <w:p w:rsidR="00CB03EF" w:rsidRPr="00DB6DCD" w:rsidRDefault="00CB03EF" w:rsidP="001241AA">
            <w:pPr>
              <w:jc w:val="center"/>
              <w:rPr>
                <w:bCs/>
                <w:color w:val="FF0000"/>
              </w:rPr>
            </w:pPr>
          </w:p>
        </w:tc>
        <w:tc>
          <w:tcPr>
            <w:tcW w:w="1276" w:type="dxa"/>
            <w:shd w:val="clear" w:color="auto" w:fill="auto"/>
            <w:vAlign w:val="center"/>
          </w:tcPr>
          <w:p w:rsidR="00CB03EF" w:rsidRPr="00DB6DCD" w:rsidRDefault="00CB03EF" w:rsidP="001241AA">
            <w:pPr>
              <w:jc w:val="center"/>
              <w:rPr>
                <w:bCs/>
                <w:color w:val="FF0000"/>
              </w:rPr>
            </w:pPr>
          </w:p>
        </w:tc>
        <w:tc>
          <w:tcPr>
            <w:tcW w:w="1276" w:type="dxa"/>
            <w:shd w:val="clear" w:color="auto" w:fill="auto"/>
            <w:vAlign w:val="center"/>
          </w:tcPr>
          <w:p w:rsidR="00CB03EF" w:rsidRPr="00DB6DCD" w:rsidRDefault="00CB03EF" w:rsidP="001241AA">
            <w:pPr>
              <w:jc w:val="center"/>
              <w:rPr>
                <w:bCs/>
                <w:color w:val="FF0000"/>
              </w:rPr>
            </w:pPr>
          </w:p>
        </w:tc>
        <w:tc>
          <w:tcPr>
            <w:tcW w:w="1134" w:type="dxa"/>
            <w:shd w:val="clear" w:color="auto" w:fill="auto"/>
            <w:vAlign w:val="center"/>
          </w:tcPr>
          <w:p w:rsidR="00CB03EF" w:rsidRPr="00DB6DCD" w:rsidRDefault="00CB03EF" w:rsidP="001241AA">
            <w:pPr>
              <w:jc w:val="center"/>
              <w:rPr>
                <w:bCs/>
                <w:color w:val="FF0000"/>
              </w:rPr>
            </w:pPr>
          </w:p>
        </w:tc>
        <w:tc>
          <w:tcPr>
            <w:tcW w:w="992" w:type="dxa"/>
            <w:shd w:val="clear" w:color="auto" w:fill="auto"/>
            <w:noWrap/>
            <w:vAlign w:val="center"/>
            <w:hideMark/>
          </w:tcPr>
          <w:p w:rsidR="00CB03EF" w:rsidRPr="003703C5" w:rsidRDefault="00CB03EF" w:rsidP="001241AA">
            <w:pPr>
              <w:jc w:val="center"/>
              <w:rPr>
                <w:bCs/>
              </w:rPr>
            </w:pPr>
            <w:r w:rsidRPr="003703C5">
              <w:rPr>
                <w:bCs/>
              </w:rPr>
              <w:t>275</w:t>
            </w:r>
          </w:p>
        </w:tc>
        <w:tc>
          <w:tcPr>
            <w:tcW w:w="992" w:type="dxa"/>
            <w:shd w:val="clear" w:color="auto" w:fill="auto"/>
            <w:noWrap/>
            <w:vAlign w:val="center"/>
            <w:hideMark/>
          </w:tcPr>
          <w:p w:rsidR="00CB03EF" w:rsidRPr="003703C5" w:rsidRDefault="00CB03EF" w:rsidP="001241AA">
            <w:pPr>
              <w:jc w:val="center"/>
              <w:rPr>
                <w:bCs/>
              </w:rPr>
            </w:pPr>
            <w:r w:rsidRPr="003703C5">
              <w:rPr>
                <w:bCs/>
              </w:rPr>
              <w:t>267</w:t>
            </w:r>
          </w:p>
        </w:tc>
        <w:tc>
          <w:tcPr>
            <w:tcW w:w="993" w:type="dxa"/>
            <w:shd w:val="clear" w:color="auto" w:fill="auto"/>
            <w:noWrap/>
            <w:vAlign w:val="center"/>
            <w:hideMark/>
          </w:tcPr>
          <w:p w:rsidR="00CB03EF" w:rsidRPr="00EB4B54" w:rsidRDefault="00CB03EF" w:rsidP="001241AA">
            <w:pPr>
              <w:jc w:val="center"/>
              <w:rPr>
                <w:bCs/>
              </w:rPr>
            </w:pPr>
            <w:r w:rsidRPr="00EB4B54">
              <w:rPr>
                <w:bCs/>
              </w:rPr>
              <w:t>236</w:t>
            </w:r>
          </w:p>
        </w:tc>
      </w:tr>
    </w:tbl>
    <w:p w:rsidR="008B0A24" w:rsidRDefault="008B0A24" w:rsidP="008B0A24"/>
    <w:p w:rsidR="008B0A24" w:rsidRPr="00DB6DCD" w:rsidRDefault="008559AC" w:rsidP="00DB6DCD">
      <w:pPr>
        <w:ind w:firstLine="720"/>
      </w:pPr>
      <w:r>
        <w:t>3</w:t>
      </w:r>
      <w:r w:rsidR="008B0A24" w:rsidRPr="00DB6DCD">
        <w:t xml:space="preserve"> lentelė</w:t>
      </w:r>
      <w:r w:rsidR="00F25DAD">
        <w:t>s diagrama</w:t>
      </w:r>
    </w:p>
    <w:p w:rsidR="008B0A24" w:rsidRPr="00CB03EF" w:rsidRDefault="00997C5F" w:rsidP="00CB03EF">
      <w:r>
        <w:rPr>
          <w:noProof/>
        </w:rPr>
        <w:drawing>
          <wp:inline distT="0" distB="0" distL="0" distR="0">
            <wp:extent cx="8209280" cy="1963420"/>
            <wp:effectExtent l="0" t="0" r="1270" b="17780"/>
            <wp:docPr id="2" name="Paveikslėli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3DE9" w:rsidRPr="00DB6DCD" w:rsidRDefault="00BD3DE9" w:rsidP="00DB6DCD">
      <w:pPr>
        <w:pStyle w:val="Betarp"/>
        <w:ind w:firstLine="720"/>
        <w:jc w:val="both"/>
        <w:rPr>
          <w:rFonts w:ascii="Times New Roman" w:hAnsi="Times New Roman"/>
          <w:sz w:val="24"/>
          <w:szCs w:val="24"/>
        </w:rPr>
      </w:pPr>
    </w:p>
    <w:p w:rsidR="008B0A24" w:rsidRPr="00DB6DCD" w:rsidRDefault="008B0A24" w:rsidP="00DB6DCD">
      <w:pPr>
        <w:pStyle w:val="Betarp"/>
        <w:ind w:firstLine="720"/>
        <w:jc w:val="both"/>
        <w:rPr>
          <w:rFonts w:ascii="Times New Roman" w:hAnsi="Times New Roman"/>
          <w:sz w:val="24"/>
          <w:szCs w:val="24"/>
        </w:rPr>
      </w:pPr>
      <w:r w:rsidRPr="00DB6DCD">
        <w:rPr>
          <w:rFonts w:ascii="Times New Roman" w:hAnsi="Times New Roman"/>
          <w:b/>
          <w:sz w:val="24"/>
          <w:szCs w:val="24"/>
        </w:rPr>
        <w:t xml:space="preserve">2. Ekonominė ir socialinė būklė                </w:t>
      </w:r>
    </w:p>
    <w:p w:rsidR="008B0A24" w:rsidRPr="00981FB0" w:rsidRDefault="008B0A24" w:rsidP="00DB6DCD">
      <w:pPr>
        <w:pStyle w:val="Betarp"/>
        <w:ind w:firstLine="720"/>
        <w:jc w:val="both"/>
      </w:pPr>
      <w:r w:rsidRPr="00DB6DCD">
        <w:rPr>
          <w:rFonts w:ascii="Times New Roman" w:hAnsi="Times New Roman"/>
          <w:sz w:val="24"/>
          <w:szCs w:val="24"/>
        </w:rPr>
        <w:t xml:space="preserve">Savivaldybės darbo rinkoje vykstantys procesai daro įtaką gyventojų užimtumui, o šis – gyventojų švietimo poreikiams. </w:t>
      </w:r>
    </w:p>
    <w:p w:rsidR="00BD3DE9" w:rsidRPr="00306C07" w:rsidRDefault="008B0A24" w:rsidP="00306C07">
      <w:pPr>
        <w:pStyle w:val="Betarp"/>
        <w:ind w:firstLine="720"/>
        <w:jc w:val="both"/>
      </w:pPr>
      <w:r w:rsidRPr="00DB6DCD">
        <w:rPr>
          <w:rFonts w:ascii="Times New Roman" w:hAnsi="Times New Roman"/>
          <w:sz w:val="24"/>
          <w:szCs w:val="24"/>
        </w:rPr>
        <w:t xml:space="preserve">Užimtumo tarnybos prie Lietuvos Respublikos socialinės apsaugos ir darbo ministerijos duomenimis, darbingo </w:t>
      </w:r>
      <w:r w:rsidR="00DB708B" w:rsidRPr="00DB6DCD">
        <w:rPr>
          <w:rFonts w:ascii="Times New Roman" w:hAnsi="Times New Roman"/>
          <w:sz w:val="24"/>
          <w:szCs w:val="24"/>
        </w:rPr>
        <w:br/>
      </w:r>
      <w:r w:rsidRPr="00DB6DCD">
        <w:rPr>
          <w:rFonts w:ascii="Times New Roman" w:hAnsi="Times New Roman"/>
          <w:sz w:val="24"/>
          <w:szCs w:val="24"/>
        </w:rPr>
        <w:t>(15–64 metų) amžiaus savivaldybės gyventojų, registruotų Užimtumo tarnyboje, skaičius:</w:t>
      </w:r>
    </w:p>
    <w:p w:rsidR="00CC343A" w:rsidRDefault="00CC343A" w:rsidP="00DB6DCD">
      <w:pPr>
        <w:pStyle w:val="Betarp"/>
        <w:ind w:firstLine="720"/>
        <w:jc w:val="both"/>
        <w:rPr>
          <w:rFonts w:ascii="Times New Roman" w:hAnsi="Times New Roman"/>
          <w:sz w:val="24"/>
          <w:szCs w:val="24"/>
        </w:rPr>
      </w:pPr>
    </w:p>
    <w:p w:rsidR="008B0A24" w:rsidRPr="00DB6DCD" w:rsidRDefault="00CC343A" w:rsidP="00DB6DCD">
      <w:pPr>
        <w:pStyle w:val="Betarp"/>
        <w:ind w:firstLine="720"/>
        <w:jc w:val="both"/>
        <w:rPr>
          <w:rFonts w:ascii="Times New Roman" w:hAnsi="Times New Roman"/>
          <w:sz w:val="24"/>
          <w:szCs w:val="24"/>
        </w:rPr>
      </w:pPr>
      <w:r>
        <w:rPr>
          <w:rFonts w:ascii="Times New Roman" w:hAnsi="Times New Roman"/>
          <w:sz w:val="24"/>
          <w:szCs w:val="24"/>
        </w:rPr>
        <w:t>4</w:t>
      </w:r>
      <w:r w:rsidR="008B0A24" w:rsidRPr="00DB6DCD">
        <w:rPr>
          <w:rFonts w:ascii="Times New Roman" w:hAnsi="Times New Roman"/>
          <w:sz w:val="24"/>
          <w:szCs w:val="24"/>
        </w:rPr>
        <w:t xml:space="preserve"> lentelė.</w:t>
      </w:r>
      <w:r w:rsidR="009B14EC" w:rsidRPr="00DB6DCD">
        <w:rPr>
          <w:rFonts w:ascii="Times New Roman" w:hAnsi="Times New Roman"/>
          <w:sz w:val="24"/>
          <w:szCs w:val="24"/>
        </w:rPr>
        <w:t xml:space="preserve"> Darbo rinkos rodikliai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1098"/>
        <w:gridCol w:w="1098"/>
        <w:gridCol w:w="1103"/>
        <w:gridCol w:w="1098"/>
        <w:gridCol w:w="1104"/>
        <w:gridCol w:w="1363"/>
      </w:tblGrid>
      <w:tr w:rsidR="008B0A24" w:rsidTr="008B0A24">
        <w:trPr>
          <w:trHeight w:val="278"/>
        </w:trPr>
        <w:tc>
          <w:tcPr>
            <w:tcW w:w="6095"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color w:val="2C2929"/>
              </w:rPr>
            </w:pPr>
            <w:r w:rsidRPr="00DB6DCD">
              <w:rPr>
                <w:rFonts w:ascii="TimesNewRomanPSMT" w:hAnsi="TimesNewRomanPSMT" w:cs="TimesNewRomanPSMT"/>
                <w:color w:val="2C2929"/>
              </w:rPr>
              <w:t>Rodiklis</w:t>
            </w:r>
          </w:p>
        </w:tc>
        <w:tc>
          <w:tcPr>
            <w:tcW w:w="1134"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color w:val="2C2929"/>
              </w:rPr>
            </w:pPr>
            <w:r w:rsidRPr="00DB6DCD">
              <w:rPr>
                <w:rFonts w:ascii="TimesNewRomanPSMT" w:hAnsi="TimesNewRomanPSMT" w:cs="TimesNewRomanPSMT"/>
                <w:color w:val="2C2929"/>
              </w:rPr>
              <w:t xml:space="preserve">2015 m. </w:t>
            </w:r>
          </w:p>
        </w:tc>
        <w:tc>
          <w:tcPr>
            <w:tcW w:w="1134"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color w:val="2C2929"/>
              </w:rPr>
            </w:pPr>
            <w:r w:rsidRPr="00DB6DCD">
              <w:rPr>
                <w:rFonts w:ascii="TimesNewRomanPSMT" w:hAnsi="TimesNewRomanPSMT" w:cs="TimesNewRomanPSMT"/>
                <w:color w:val="2C2929"/>
              </w:rPr>
              <w:t>2016 m.</w:t>
            </w:r>
          </w:p>
        </w:tc>
        <w:tc>
          <w:tcPr>
            <w:tcW w:w="1134"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color w:val="2C2929"/>
              </w:rPr>
            </w:pPr>
            <w:r w:rsidRPr="00DB6DCD">
              <w:rPr>
                <w:rFonts w:ascii="TimesNewRomanPSMT" w:hAnsi="TimesNewRomanPSMT" w:cs="TimesNewRomanPSMT"/>
                <w:color w:val="2C2929"/>
              </w:rPr>
              <w:t>2017 m.</w:t>
            </w:r>
          </w:p>
        </w:tc>
        <w:tc>
          <w:tcPr>
            <w:tcW w:w="1134"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color w:val="2C2929"/>
              </w:rPr>
            </w:pPr>
            <w:r w:rsidRPr="00DB6DCD">
              <w:rPr>
                <w:rFonts w:ascii="TimesNewRomanPSMT" w:hAnsi="TimesNewRomanPSMT" w:cs="TimesNewRomanPSMT"/>
                <w:color w:val="2C2929"/>
              </w:rPr>
              <w:t>2018 m.</w:t>
            </w:r>
          </w:p>
        </w:tc>
        <w:tc>
          <w:tcPr>
            <w:tcW w:w="1141"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color w:val="2C2929"/>
              </w:rPr>
            </w:pPr>
            <w:r w:rsidRPr="00DB6DCD">
              <w:rPr>
                <w:rFonts w:ascii="TimesNewRomanPSMT" w:hAnsi="TimesNewRomanPSMT" w:cs="TimesNewRomanPSMT"/>
                <w:color w:val="2C2929"/>
              </w:rPr>
              <w:t>2019 m.</w:t>
            </w:r>
          </w:p>
        </w:tc>
        <w:tc>
          <w:tcPr>
            <w:tcW w:w="1093"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color w:val="2C2929"/>
              </w:rPr>
            </w:pPr>
            <w:r w:rsidRPr="00DB6DCD">
              <w:rPr>
                <w:rFonts w:ascii="TimesNewRomanPSMT" w:hAnsi="TimesNewRomanPSMT" w:cs="TimesNewRomanPSMT"/>
                <w:color w:val="2C2929"/>
              </w:rPr>
              <w:t>2020 m.</w:t>
            </w:r>
          </w:p>
        </w:tc>
      </w:tr>
      <w:tr w:rsidR="008B0A24" w:rsidTr="008B0A24">
        <w:trPr>
          <w:trHeight w:val="553"/>
        </w:trPr>
        <w:tc>
          <w:tcPr>
            <w:tcW w:w="6095" w:type="dxa"/>
            <w:tcBorders>
              <w:top w:val="single" w:sz="4" w:space="0" w:color="auto"/>
              <w:left w:val="single" w:sz="4" w:space="0" w:color="auto"/>
              <w:bottom w:val="single" w:sz="4" w:space="0" w:color="auto"/>
              <w:right w:val="single" w:sz="4" w:space="0" w:color="auto"/>
            </w:tcBorders>
            <w:hideMark/>
          </w:tcPr>
          <w:p w:rsidR="008B0A24" w:rsidRDefault="008B0A24">
            <w:pPr>
              <w:rPr>
                <w:rFonts w:ascii="TimesNewRomanPSMT" w:hAnsi="TimesNewRomanPSMT" w:cs="TimesNewRomanPSMT"/>
                <w:color w:val="2C2929"/>
              </w:rPr>
            </w:pPr>
            <w:r>
              <w:t xml:space="preserve">Darbingo (15–64 metų) amžiaus savivaldybės gyventojų skaičius </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22 998</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rPr>
            </w:pPr>
            <w:r>
              <w:rPr>
                <w:rFonts w:ascii="TimesNewRomanPSMT" w:hAnsi="TimesNewRomanPSMT" w:cs="TimesNewRomanPSMT"/>
              </w:rPr>
              <w:t>22 809</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22 641</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22 089</w:t>
            </w:r>
          </w:p>
        </w:tc>
        <w:tc>
          <w:tcPr>
            <w:tcW w:w="1141"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21 945</w:t>
            </w:r>
          </w:p>
        </w:tc>
        <w:tc>
          <w:tcPr>
            <w:tcW w:w="1093" w:type="dxa"/>
            <w:tcBorders>
              <w:top w:val="single" w:sz="4" w:space="0" w:color="auto"/>
              <w:left w:val="single" w:sz="4" w:space="0" w:color="auto"/>
              <w:bottom w:val="single" w:sz="4" w:space="0" w:color="auto"/>
              <w:right w:val="single" w:sz="4" w:space="0" w:color="auto"/>
            </w:tcBorders>
          </w:tcPr>
          <w:p w:rsidR="008B0A24" w:rsidRPr="00DB6DCD" w:rsidRDefault="009B14EC">
            <w:pPr>
              <w:jc w:val="center"/>
              <w:rPr>
                <w:rFonts w:ascii="TimesNewRomanPSMT" w:hAnsi="TimesNewRomanPSMT" w:cs="TimesNewRomanPSMT"/>
              </w:rPr>
            </w:pPr>
            <w:r w:rsidRPr="00DB6DCD">
              <w:rPr>
                <w:rFonts w:ascii="TimesNewRomanPSMT" w:hAnsi="TimesNewRomanPSMT" w:cs="TimesNewRomanPSMT"/>
              </w:rPr>
              <w:t>Nepaskelbti duomenys</w:t>
            </w:r>
          </w:p>
        </w:tc>
      </w:tr>
      <w:tr w:rsidR="008B0A24" w:rsidTr="008B0A24">
        <w:trPr>
          <w:trHeight w:val="304"/>
        </w:trPr>
        <w:tc>
          <w:tcPr>
            <w:tcW w:w="6095" w:type="dxa"/>
            <w:tcBorders>
              <w:top w:val="single" w:sz="4" w:space="0" w:color="auto"/>
              <w:left w:val="single" w:sz="4" w:space="0" w:color="auto"/>
              <w:bottom w:val="single" w:sz="4" w:space="0" w:color="auto"/>
              <w:right w:val="single" w:sz="4" w:space="0" w:color="auto"/>
            </w:tcBorders>
            <w:hideMark/>
          </w:tcPr>
          <w:p w:rsidR="008B0A24" w:rsidRDefault="008B0A24">
            <w:pPr>
              <w:rPr>
                <w:rFonts w:ascii="TimesNewRomanPSMT" w:hAnsi="TimesNewRomanPSMT" w:cs="TimesNewRomanPSMT"/>
              </w:rPr>
            </w:pPr>
            <w:r>
              <w:rPr>
                <w:rFonts w:ascii="TimesNewRomanPSMT" w:hAnsi="TimesNewRomanPSMT" w:cs="TimesNewRomanPSMT"/>
              </w:rPr>
              <w:t>Bedarbių, registruotų Užimtumo tarnyboje, skaičius</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2 194</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3 354</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3 250</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3 225</w:t>
            </w:r>
          </w:p>
        </w:tc>
        <w:tc>
          <w:tcPr>
            <w:tcW w:w="1141"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1 892</w:t>
            </w:r>
          </w:p>
        </w:tc>
        <w:tc>
          <w:tcPr>
            <w:tcW w:w="1093"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rPr>
            </w:pPr>
            <w:r w:rsidRPr="00DB6DCD">
              <w:rPr>
                <w:rFonts w:ascii="TimesNewRomanPSMT" w:hAnsi="TimesNewRomanPSMT" w:cs="TimesNewRomanPSMT"/>
              </w:rPr>
              <w:t>3 500</w:t>
            </w:r>
          </w:p>
        </w:tc>
      </w:tr>
      <w:tr w:rsidR="008B0A24" w:rsidTr="008B0A24">
        <w:trPr>
          <w:trHeight w:val="304"/>
        </w:trPr>
        <w:tc>
          <w:tcPr>
            <w:tcW w:w="6095" w:type="dxa"/>
            <w:tcBorders>
              <w:top w:val="single" w:sz="4" w:space="0" w:color="auto"/>
              <w:left w:val="single" w:sz="4" w:space="0" w:color="auto"/>
              <w:bottom w:val="single" w:sz="4" w:space="0" w:color="auto"/>
              <w:right w:val="single" w:sz="4" w:space="0" w:color="auto"/>
            </w:tcBorders>
            <w:hideMark/>
          </w:tcPr>
          <w:p w:rsidR="008B0A24" w:rsidRDefault="008B0A24">
            <w:pPr>
              <w:rPr>
                <w:rFonts w:ascii="TimesNewRomanPSMT" w:hAnsi="TimesNewRomanPSMT" w:cs="TimesNewRomanPSMT"/>
                <w:color w:val="2C2929"/>
              </w:rPr>
            </w:pPr>
            <w:r>
              <w:rPr>
                <w:rFonts w:ascii="TimesNewRomanPSMT" w:hAnsi="TimesNewRomanPSMT" w:cs="TimesNewRomanPSMT"/>
                <w:color w:val="2C2929"/>
              </w:rPr>
              <w:t xml:space="preserve">Proc. </w:t>
            </w:r>
            <w:r w:rsidR="00DB708B">
              <w:rPr>
                <w:rFonts w:ascii="TimesNewRomanPSMT" w:hAnsi="TimesNewRomanPSMT" w:cs="TimesNewRomanPSMT"/>
                <w:color w:val="2C2929"/>
              </w:rPr>
              <w:t xml:space="preserve">Panevėžio </w:t>
            </w:r>
            <w:r>
              <w:rPr>
                <w:rFonts w:ascii="TimesNewRomanPSMT" w:hAnsi="TimesNewRomanPSMT" w:cs="TimesNewRomanPSMT"/>
                <w:color w:val="2C2929"/>
              </w:rPr>
              <w:t>rajon</w:t>
            </w:r>
            <w:r w:rsidR="00DB708B">
              <w:rPr>
                <w:rFonts w:ascii="TimesNewRomanPSMT" w:hAnsi="TimesNewRomanPSMT" w:cs="TimesNewRomanPSMT"/>
                <w:color w:val="2C2929"/>
              </w:rPr>
              <w:t>o savivaldybėj</w:t>
            </w:r>
            <w:r>
              <w:rPr>
                <w:rFonts w:ascii="TimesNewRomanPSMT" w:hAnsi="TimesNewRomanPSMT" w:cs="TimesNewRomanPSMT"/>
                <w:color w:val="2C2929"/>
              </w:rPr>
              <w:t>e</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9,54</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14,7</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14,37</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14,6</w:t>
            </w:r>
          </w:p>
        </w:tc>
        <w:tc>
          <w:tcPr>
            <w:tcW w:w="1141"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8,62</w:t>
            </w:r>
          </w:p>
        </w:tc>
        <w:tc>
          <w:tcPr>
            <w:tcW w:w="1093"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rPr>
                <w:rFonts w:ascii="TimesNewRomanPSMT" w:hAnsi="TimesNewRomanPSMT" w:cs="TimesNewRomanPSMT"/>
              </w:rPr>
            </w:pPr>
            <w:r w:rsidRPr="00DB6DCD">
              <w:rPr>
                <w:rFonts w:ascii="TimesNewRomanPSMT" w:hAnsi="TimesNewRomanPSMT" w:cs="TimesNewRomanPSMT"/>
              </w:rPr>
              <w:t>15,5</w:t>
            </w:r>
          </w:p>
        </w:tc>
      </w:tr>
      <w:tr w:rsidR="008B0A24" w:rsidTr="008B0A24">
        <w:trPr>
          <w:trHeight w:val="304"/>
        </w:trPr>
        <w:tc>
          <w:tcPr>
            <w:tcW w:w="6095" w:type="dxa"/>
            <w:tcBorders>
              <w:top w:val="single" w:sz="4" w:space="0" w:color="auto"/>
              <w:left w:val="single" w:sz="4" w:space="0" w:color="auto"/>
              <w:bottom w:val="single" w:sz="4" w:space="0" w:color="auto"/>
              <w:right w:val="single" w:sz="4" w:space="0" w:color="auto"/>
            </w:tcBorders>
            <w:hideMark/>
          </w:tcPr>
          <w:p w:rsidR="008B0A24" w:rsidRDefault="008B0A24">
            <w:pPr>
              <w:rPr>
                <w:rFonts w:ascii="TimesNewRomanPSMT" w:hAnsi="TimesNewRomanPSMT" w:cs="TimesNewRomanPSMT"/>
                <w:color w:val="2C2929"/>
              </w:rPr>
            </w:pPr>
            <w:r>
              <w:rPr>
                <w:rFonts w:ascii="TimesNewRomanPSMT" w:hAnsi="TimesNewRomanPSMT" w:cs="TimesNewRomanPSMT"/>
                <w:color w:val="2C2929"/>
              </w:rPr>
              <w:t>Proc. Panevėžio apskrityje</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12</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10,9</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9,2</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7,7</w:t>
            </w:r>
          </w:p>
        </w:tc>
        <w:tc>
          <w:tcPr>
            <w:tcW w:w="1141"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8,6</w:t>
            </w:r>
          </w:p>
        </w:tc>
        <w:tc>
          <w:tcPr>
            <w:tcW w:w="1093" w:type="dxa"/>
            <w:tcBorders>
              <w:top w:val="single" w:sz="4" w:space="0" w:color="auto"/>
              <w:left w:val="single" w:sz="4" w:space="0" w:color="auto"/>
              <w:bottom w:val="single" w:sz="4" w:space="0" w:color="auto"/>
              <w:right w:val="single" w:sz="4" w:space="0" w:color="auto"/>
            </w:tcBorders>
          </w:tcPr>
          <w:p w:rsidR="008B0A24" w:rsidRPr="00DB6DCD" w:rsidRDefault="009B14EC">
            <w:pPr>
              <w:jc w:val="center"/>
              <w:rPr>
                <w:rFonts w:ascii="TimesNewRomanPSMT" w:hAnsi="TimesNewRomanPSMT" w:cs="TimesNewRomanPSMT"/>
              </w:rPr>
            </w:pPr>
            <w:r w:rsidRPr="00DB6DCD">
              <w:rPr>
                <w:rFonts w:ascii="TimesNewRomanPSMT" w:hAnsi="TimesNewRomanPSMT" w:cs="TimesNewRomanPSMT"/>
              </w:rPr>
              <w:t>Nepaskelbti duomenys</w:t>
            </w:r>
          </w:p>
        </w:tc>
      </w:tr>
      <w:tr w:rsidR="008B0A24" w:rsidTr="008B0A24">
        <w:trPr>
          <w:trHeight w:val="304"/>
        </w:trPr>
        <w:tc>
          <w:tcPr>
            <w:tcW w:w="6095" w:type="dxa"/>
            <w:tcBorders>
              <w:top w:val="single" w:sz="4" w:space="0" w:color="auto"/>
              <w:left w:val="single" w:sz="4" w:space="0" w:color="auto"/>
              <w:bottom w:val="single" w:sz="4" w:space="0" w:color="auto"/>
              <w:right w:val="single" w:sz="4" w:space="0" w:color="auto"/>
            </w:tcBorders>
            <w:hideMark/>
          </w:tcPr>
          <w:p w:rsidR="008B0A24" w:rsidRDefault="008B0A24">
            <w:pPr>
              <w:rPr>
                <w:rFonts w:ascii="TimesNewRomanPSMT" w:hAnsi="TimesNewRomanPSMT" w:cs="TimesNewRomanPSMT"/>
                <w:color w:val="2C2929"/>
              </w:rPr>
            </w:pPr>
            <w:r>
              <w:rPr>
                <w:rFonts w:ascii="TimesNewRomanPSMT" w:hAnsi="TimesNewRomanPSMT" w:cs="TimesNewRomanPSMT"/>
                <w:color w:val="2C2929"/>
              </w:rPr>
              <w:t>Proc. Lietuvo</w:t>
            </w:r>
            <w:r w:rsidR="00905427">
              <w:rPr>
                <w:rFonts w:ascii="TimesNewRomanPSMT" w:hAnsi="TimesNewRomanPSMT" w:cs="TimesNewRomanPSMT"/>
                <w:color w:val="2C2929"/>
              </w:rPr>
              <w:t>s Respublikoj</w:t>
            </w:r>
            <w:r>
              <w:rPr>
                <w:rFonts w:ascii="TimesNewRomanPSMT" w:hAnsi="TimesNewRomanPSMT" w:cs="TimesNewRomanPSMT"/>
                <w:color w:val="2C2929"/>
              </w:rPr>
              <w:t xml:space="preserve">e </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9,1</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7,9</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7,1</w:t>
            </w:r>
          </w:p>
        </w:tc>
        <w:tc>
          <w:tcPr>
            <w:tcW w:w="1134"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6,1</w:t>
            </w:r>
          </w:p>
        </w:tc>
        <w:tc>
          <w:tcPr>
            <w:tcW w:w="1141" w:type="dxa"/>
            <w:tcBorders>
              <w:top w:val="single" w:sz="4" w:space="0" w:color="auto"/>
              <w:left w:val="single" w:sz="4" w:space="0" w:color="auto"/>
              <w:bottom w:val="single" w:sz="4" w:space="0" w:color="auto"/>
              <w:right w:val="single" w:sz="4" w:space="0" w:color="auto"/>
            </w:tcBorders>
            <w:hideMark/>
          </w:tcPr>
          <w:p w:rsidR="008B0A24" w:rsidRDefault="008B0A24">
            <w:pPr>
              <w:jc w:val="center"/>
              <w:rPr>
                <w:rFonts w:ascii="TimesNewRomanPSMT" w:hAnsi="TimesNewRomanPSMT" w:cs="TimesNewRomanPSMT"/>
                <w:color w:val="2C2929"/>
              </w:rPr>
            </w:pPr>
            <w:r>
              <w:rPr>
                <w:rFonts w:ascii="TimesNewRomanPSMT" w:hAnsi="TimesNewRomanPSMT" w:cs="TimesNewRomanPSMT"/>
                <w:color w:val="2C2929"/>
              </w:rPr>
              <w:t>6,3</w:t>
            </w:r>
          </w:p>
        </w:tc>
        <w:tc>
          <w:tcPr>
            <w:tcW w:w="1093" w:type="dxa"/>
            <w:tcBorders>
              <w:top w:val="single" w:sz="4" w:space="0" w:color="auto"/>
              <w:left w:val="single" w:sz="4" w:space="0" w:color="auto"/>
              <w:bottom w:val="single" w:sz="4" w:space="0" w:color="auto"/>
              <w:right w:val="single" w:sz="4" w:space="0" w:color="auto"/>
            </w:tcBorders>
          </w:tcPr>
          <w:p w:rsidR="008B0A24" w:rsidRPr="00DB6DCD" w:rsidRDefault="009B14EC">
            <w:pPr>
              <w:jc w:val="center"/>
              <w:rPr>
                <w:rFonts w:ascii="TimesNewRomanPSMT" w:hAnsi="TimesNewRomanPSMT" w:cs="TimesNewRomanPSMT"/>
              </w:rPr>
            </w:pPr>
            <w:r w:rsidRPr="00DB6DCD">
              <w:rPr>
                <w:rFonts w:ascii="TimesNewRomanPSMT" w:hAnsi="TimesNewRomanPSMT" w:cs="TimesNewRomanPSMT"/>
              </w:rPr>
              <w:t>Nepaskelbti duomenys</w:t>
            </w:r>
          </w:p>
        </w:tc>
      </w:tr>
    </w:tbl>
    <w:p w:rsidR="00BD3DE9" w:rsidRPr="00DB6DCD" w:rsidRDefault="00BD3DE9" w:rsidP="00DB6DCD">
      <w:pPr>
        <w:pStyle w:val="Betarp"/>
        <w:ind w:firstLine="720"/>
        <w:jc w:val="both"/>
        <w:rPr>
          <w:rFonts w:ascii="Times New Roman" w:hAnsi="Times New Roman"/>
          <w:sz w:val="24"/>
          <w:szCs w:val="24"/>
        </w:rPr>
      </w:pPr>
    </w:p>
    <w:p w:rsidR="008B0A24" w:rsidRPr="00981FB0" w:rsidRDefault="008B0A24" w:rsidP="00DB6DCD">
      <w:pPr>
        <w:pStyle w:val="Betarp"/>
        <w:ind w:firstLine="720"/>
        <w:jc w:val="both"/>
      </w:pPr>
      <w:r w:rsidRPr="00DB6DCD">
        <w:rPr>
          <w:rFonts w:ascii="Times New Roman" w:hAnsi="Times New Roman"/>
          <w:sz w:val="24"/>
          <w:szCs w:val="24"/>
        </w:rPr>
        <w:t xml:space="preserve">Darbingo (15–64 metų) amžiaus savivaldybės gyventojų, registruotų Užimtumo tarnyboje, skaičius ir proc. lygus ar gerokai didesnis nei Panevėžio apskrities ar Lietuvos </w:t>
      </w:r>
      <w:r w:rsidR="00912C71">
        <w:rPr>
          <w:rFonts w:ascii="Times New Roman" w:hAnsi="Times New Roman"/>
          <w:sz w:val="24"/>
          <w:szCs w:val="24"/>
        </w:rPr>
        <w:t xml:space="preserve">Respublikos </w:t>
      </w:r>
      <w:r w:rsidRPr="00DB6DCD">
        <w:rPr>
          <w:rFonts w:ascii="Times New Roman" w:hAnsi="Times New Roman"/>
          <w:sz w:val="24"/>
          <w:szCs w:val="24"/>
        </w:rPr>
        <w:t>vidurkis.</w:t>
      </w:r>
    </w:p>
    <w:p w:rsidR="008B0A24" w:rsidRPr="00981FB0" w:rsidRDefault="008B0A24" w:rsidP="00DB6DCD">
      <w:pPr>
        <w:pStyle w:val="Betarp"/>
        <w:ind w:firstLine="720"/>
        <w:jc w:val="both"/>
      </w:pPr>
      <w:r w:rsidRPr="00DB6DCD">
        <w:rPr>
          <w:rFonts w:ascii="Times New Roman" w:hAnsi="Times New Roman"/>
          <w:bCs/>
          <w:sz w:val="24"/>
          <w:szCs w:val="24"/>
        </w:rPr>
        <w:lastRenderedPageBreak/>
        <w:t xml:space="preserve">Socialinių išmokų gavėjų skaičius per ataskaitinį laikotarpį mažėjo nuo 1 500 iki 1 100 asmenų. </w:t>
      </w:r>
      <w:r w:rsidRPr="00DB6DCD">
        <w:rPr>
          <w:rFonts w:ascii="Times New Roman" w:hAnsi="Times New Roman"/>
          <w:sz w:val="24"/>
          <w:szCs w:val="24"/>
        </w:rPr>
        <w:t xml:space="preserve">Tai lėmė ir gyventojų skaičiaus mažėjimas rajone. </w:t>
      </w:r>
    </w:p>
    <w:p w:rsidR="008B0A24" w:rsidRDefault="008B0A24" w:rsidP="00DB6DCD">
      <w:pPr>
        <w:pStyle w:val="Betarp"/>
        <w:ind w:firstLine="720"/>
        <w:jc w:val="both"/>
      </w:pPr>
      <w:r w:rsidRPr="00DB6DCD">
        <w:rPr>
          <w:rFonts w:ascii="Times New Roman" w:hAnsi="Times New Roman"/>
          <w:sz w:val="24"/>
          <w:szCs w:val="24"/>
        </w:rPr>
        <w:t xml:space="preserve">Socialinės paramos skyriaus duomenimis, socialinę riziką patiriančių šeimų skaičius per paskutinius metus mažai keičiasi. 2015 m. šių šeimų skaičius buvo 245, jose augo 562 vaikai, 2020 m. tokių šeimų yra 234, jose auga 545 vaikai. Daugiausia </w:t>
      </w:r>
      <w:r w:rsidR="007413C5" w:rsidRPr="00E50E19">
        <w:rPr>
          <w:rFonts w:ascii="Times New Roman" w:hAnsi="Times New Roman"/>
          <w:sz w:val="24"/>
          <w:szCs w:val="24"/>
        </w:rPr>
        <w:t>šeimų</w:t>
      </w:r>
      <w:r w:rsidR="007413C5">
        <w:rPr>
          <w:rFonts w:ascii="Times New Roman" w:hAnsi="Times New Roman"/>
          <w:sz w:val="24"/>
          <w:szCs w:val="24"/>
        </w:rPr>
        <w:t>,</w:t>
      </w:r>
      <w:r w:rsidR="007413C5" w:rsidRPr="007413C5">
        <w:rPr>
          <w:rFonts w:ascii="Times New Roman" w:hAnsi="Times New Roman"/>
          <w:sz w:val="24"/>
          <w:szCs w:val="24"/>
        </w:rPr>
        <w:t xml:space="preserve"> </w:t>
      </w:r>
      <w:r w:rsidR="007413C5" w:rsidRPr="001801BE">
        <w:rPr>
          <w:rFonts w:ascii="Times New Roman" w:hAnsi="Times New Roman"/>
          <w:sz w:val="24"/>
          <w:szCs w:val="24"/>
        </w:rPr>
        <w:t>patiriančių</w:t>
      </w:r>
      <w:r w:rsidR="007413C5" w:rsidRPr="007413C5">
        <w:rPr>
          <w:rFonts w:ascii="Times New Roman" w:hAnsi="Times New Roman"/>
          <w:sz w:val="24"/>
          <w:szCs w:val="24"/>
        </w:rPr>
        <w:t xml:space="preserve"> </w:t>
      </w:r>
      <w:r w:rsidRPr="00DB6DCD">
        <w:rPr>
          <w:rFonts w:ascii="Times New Roman" w:hAnsi="Times New Roman"/>
          <w:sz w:val="24"/>
          <w:szCs w:val="24"/>
        </w:rPr>
        <w:t>socialinę riziką</w:t>
      </w:r>
      <w:r w:rsidR="007413C5">
        <w:rPr>
          <w:rFonts w:ascii="Times New Roman" w:hAnsi="Times New Roman"/>
          <w:sz w:val="24"/>
          <w:szCs w:val="24"/>
        </w:rPr>
        <w:t xml:space="preserve">, </w:t>
      </w:r>
      <w:r w:rsidRPr="00DB6DCD">
        <w:rPr>
          <w:rFonts w:ascii="Times New Roman" w:hAnsi="Times New Roman"/>
          <w:sz w:val="24"/>
          <w:szCs w:val="24"/>
        </w:rPr>
        <w:t>registruota 2017 m. – 273, o vaikų daugiausia tokiose šeimose augo 2016 m. – 584.</w:t>
      </w:r>
    </w:p>
    <w:p w:rsidR="00BD3DE9" w:rsidRPr="00DB6DCD" w:rsidRDefault="00BD3DE9" w:rsidP="00DB6DCD">
      <w:pPr>
        <w:pStyle w:val="Betarp"/>
        <w:ind w:firstLine="720"/>
        <w:jc w:val="both"/>
        <w:rPr>
          <w:rFonts w:ascii="Times New Roman" w:hAnsi="Times New Roman"/>
          <w:sz w:val="24"/>
          <w:szCs w:val="24"/>
        </w:rPr>
      </w:pPr>
    </w:p>
    <w:p w:rsidR="008B0A24" w:rsidRPr="00DB6DCD" w:rsidRDefault="00CC343A" w:rsidP="00DB6DCD">
      <w:pPr>
        <w:pStyle w:val="Betarp"/>
        <w:ind w:firstLine="720"/>
        <w:jc w:val="both"/>
        <w:rPr>
          <w:rFonts w:ascii="Times New Roman" w:hAnsi="Times New Roman"/>
          <w:sz w:val="24"/>
          <w:szCs w:val="24"/>
        </w:rPr>
      </w:pPr>
      <w:r>
        <w:rPr>
          <w:rFonts w:ascii="Times New Roman" w:hAnsi="Times New Roman"/>
          <w:sz w:val="24"/>
          <w:szCs w:val="24"/>
        </w:rPr>
        <w:t>5</w:t>
      </w:r>
      <w:r w:rsidR="008B0A24" w:rsidRPr="00DB6DCD">
        <w:rPr>
          <w:rFonts w:ascii="Times New Roman" w:hAnsi="Times New Roman"/>
          <w:sz w:val="24"/>
          <w:szCs w:val="24"/>
        </w:rPr>
        <w:t xml:space="preserve"> lentelė. </w:t>
      </w:r>
      <w:r w:rsidR="007413C5">
        <w:rPr>
          <w:rFonts w:ascii="Times New Roman" w:hAnsi="Times New Roman"/>
          <w:sz w:val="24"/>
          <w:szCs w:val="24"/>
        </w:rPr>
        <w:t>Šeimų,</w:t>
      </w:r>
      <w:r w:rsidR="007413C5" w:rsidRPr="007413C5">
        <w:rPr>
          <w:rFonts w:ascii="Times New Roman" w:hAnsi="Times New Roman"/>
          <w:sz w:val="24"/>
          <w:szCs w:val="24"/>
        </w:rPr>
        <w:t xml:space="preserve"> </w:t>
      </w:r>
      <w:r w:rsidR="007413C5">
        <w:rPr>
          <w:rFonts w:ascii="Times New Roman" w:hAnsi="Times New Roman"/>
          <w:sz w:val="24"/>
          <w:szCs w:val="24"/>
        </w:rPr>
        <w:t>patiriančių s</w:t>
      </w:r>
      <w:r w:rsidR="008B0A24" w:rsidRPr="00DB6DCD">
        <w:rPr>
          <w:rFonts w:ascii="Times New Roman" w:hAnsi="Times New Roman"/>
          <w:sz w:val="24"/>
          <w:szCs w:val="24"/>
        </w:rPr>
        <w:t>ocialinę riziką</w:t>
      </w:r>
      <w:r w:rsidR="007413C5">
        <w:rPr>
          <w:rFonts w:ascii="Times New Roman" w:hAnsi="Times New Roman"/>
          <w:sz w:val="24"/>
          <w:szCs w:val="24"/>
        </w:rPr>
        <w:t>,</w:t>
      </w:r>
      <w:r w:rsidR="008B0A24" w:rsidRPr="00DB6DCD">
        <w:rPr>
          <w:rFonts w:ascii="Times New Roman" w:hAnsi="Times New Roman"/>
          <w:sz w:val="24"/>
          <w:szCs w:val="24"/>
        </w:rPr>
        <w:t xml:space="preserve"> ir jose augan</w:t>
      </w:r>
      <w:r w:rsidR="007413C5">
        <w:rPr>
          <w:rFonts w:ascii="Times New Roman" w:hAnsi="Times New Roman"/>
          <w:sz w:val="24"/>
          <w:szCs w:val="24"/>
        </w:rPr>
        <w:t>čių</w:t>
      </w:r>
      <w:r w:rsidR="008B0A24" w:rsidRPr="00DB6DCD">
        <w:rPr>
          <w:rFonts w:ascii="Times New Roman" w:hAnsi="Times New Roman"/>
          <w:sz w:val="24"/>
          <w:szCs w:val="24"/>
        </w:rPr>
        <w:t xml:space="preserve"> vaik</w:t>
      </w:r>
      <w:r w:rsidR="007413C5">
        <w:rPr>
          <w:rFonts w:ascii="Times New Roman" w:hAnsi="Times New Roman"/>
          <w:sz w:val="24"/>
          <w:szCs w:val="24"/>
        </w:rPr>
        <w:t>ų skaičius</w:t>
      </w:r>
    </w:p>
    <w:tbl>
      <w:tblPr>
        <w:tblW w:w="0" w:type="dxa"/>
        <w:tblInd w:w="250" w:type="dxa"/>
        <w:tblLayout w:type="fixed"/>
        <w:tblLook w:val="04A0" w:firstRow="1" w:lastRow="0" w:firstColumn="1" w:lastColumn="0" w:noHBand="0" w:noVBand="1"/>
      </w:tblPr>
      <w:tblGrid>
        <w:gridCol w:w="3402"/>
        <w:gridCol w:w="4253"/>
        <w:gridCol w:w="4961"/>
      </w:tblGrid>
      <w:tr w:rsidR="008B0A24" w:rsidTr="008B0A24">
        <w:trPr>
          <w:trHeight w:val="420"/>
        </w:trPr>
        <w:tc>
          <w:tcPr>
            <w:tcW w:w="3402" w:type="dxa"/>
            <w:tcBorders>
              <w:top w:val="single" w:sz="4" w:space="0" w:color="auto"/>
              <w:left w:val="single" w:sz="4" w:space="0" w:color="auto"/>
              <w:bottom w:val="single" w:sz="4" w:space="0" w:color="auto"/>
              <w:right w:val="single" w:sz="4" w:space="0" w:color="auto"/>
            </w:tcBorders>
            <w:hideMark/>
          </w:tcPr>
          <w:p w:rsidR="008B0A24" w:rsidRPr="00DB6DCD" w:rsidRDefault="008B0A24">
            <w:pPr>
              <w:pStyle w:val="Default"/>
              <w:jc w:val="center"/>
              <w:rPr>
                <w:lang w:val="lt-LT"/>
              </w:rPr>
            </w:pPr>
            <w:r w:rsidRPr="00DB6DCD">
              <w:rPr>
                <w:lang w:val="lt-LT"/>
              </w:rPr>
              <w:t>Metai</w:t>
            </w:r>
          </w:p>
        </w:tc>
        <w:tc>
          <w:tcPr>
            <w:tcW w:w="4253" w:type="dxa"/>
            <w:tcBorders>
              <w:top w:val="single" w:sz="4" w:space="0" w:color="auto"/>
              <w:left w:val="single" w:sz="4" w:space="0" w:color="auto"/>
              <w:bottom w:val="single" w:sz="4" w:space="0" w:color="auto"/>
              <w:right w:val="single" w:sz="4" w:space="0" w:color="auto"/>
            </w:tcBorders>
            <w:hideMark/>
          </w:tcPr>
          <w:p w:rsidR="008B0A24" w:rsidRPr="00DB6DCD" w:rsidRDefault="007413C5">
            <w:pPr>
              <w:pStyle w:val="Default"/>
              <w:jc w:val="center"/>
              <w:rPr>
                <w:lang w:val="lt-LT"/>
              </w:rPr>
            </w:pPr>
            <w:r>
              <w:t>Šeimų,</w:t>
            </w:r>
            <w:r w:rsidRPr="007413C5">
              <w:t xml:space="preserve"> </w:t>
            </w:r>
            <w:r>
              <w:t>patiriančių s</w:t>
            </w:r>
            <w:r w:rsidRPr="00DF50D1">
              <w:t>ocialinę riziką</w:t>
            </w:r>
            <w:r>
              <w:t>,</w:t>
            </w:r>
            <w:r w:rsidRPr="007413C5" w:rsidDel="007413C5">
              <w:rPr>
                <w:lang w:val="lt-LT"/>
              </w:rPr>
              <w:t xml:space="preserve"> </w:t>
            </w:r>
            <w:r w:rsidR="008B0A24" w:rsidRPr="00DB6DCD">
              <w:rPr>
                <w:lang w:val="lt-LT"/>
              </w:rPr>
              <w:t>skaičius</w:t>
            </w:r>
          </w:p>
        </w:tc>
        <w:tc>
          <w:tcPr>
            <w:tcW w:w="4961" w:type="dxa"/>
            <w:tcBorders>
              <w:top w:val="single" w:sz="4" w:space="0" w:color="auto"/>
              <w:left w:val="single" w:sz="4" w:space="0" w:color="auto"/>
              <w:bottom w:val="single" w:sz="4" w:space="0" w:color="auto"/>
              <w:right w:val="single" w:sz="4" w:space="0" w:color="auto"/>
            </w:tcBorders>
            <w:hideMark/>
          </w:tcPr>
          <w:p w:rsidR="008B0A24" w:rsidRPr="00DB6DCD" w:rsidRDefault="008B0A24" w:rsidP="007413C5">
            <w:pPr>
              <w:pStyle w:val="Default"/>
              <w:jc w:val="center"/>
              <w:rPr>
                <w:lang w:val="lt-LT"/>
              </w:rPr>
            </w:pPr>
            <w:r w:rsidRPr="00DB6DCD">
              <w:rPr>
                <w:lang w:val="lt-LT"/>
              </w:rPr>
              <w:t xml:space="preserve">Vaikų, augančių </w:t>
            </w:r>
            <w:r w:rsidR="007413C5" w:rsidRPr="0008480B">
              <w:rPr>
                <w:lang w:val="lt-LT"/>
              </w:rPr>
              <w:t>šeimose</w:t>
            </w:r>
            <w:r w:rsidR="007413C5">
              <w:rPr>
                <w:lang w:val="lt-LT"/>
              </w:rPr>
              <w:t>,</w:t>
            </w:r>
            <w:r w:rsidR="007413C5" w:rsidRPr="007413C5">
              <w:rPr>
                <w:lang w:val="lt-LT"/>
              </w:rPr>
              <w:t xml:space="preserve"> </w:t>
            </w:r>
            <w:r w:rsidR="007413C5" w:rsidRPr="00E73BE3">
              <w:rPr>
                <w:lang w:val="lt-LT"/>
              </w:rPr>
              <w:t>patiriančiose</w:t>
            </w:r>
            <w:r w:rsidR="007413C5">
              <w:rPr>
                <w:lang w:val="lt-LT"/>
              </w:rPr>
              <w:t xml:space="preserve"> </w:t>
            </w:r>
            <w:r w:rsidRPr="00DB6DCD">
              <w:rPr>
                <w:lang w:val="lt-LT"/>
              </w:rPr>
              <w:t>socialin</w:t>
            </w:r>
            <w:r w:rsidR="00905427" w:rsidRPr="00DB6DCD">
              <w:rPr>
                <w:lang w:val="lt-LT"/>
              </w:rPr>
              <w:t>ę</w:t>
            </w:r>
            <w:r w:rsidRPr="00DB6DCD">
              <w:rPr>
                <w:lang w:val="lt-LT"/>
              </w:rPr>
              <w:t xml:space="preserve"> rizik</w:t>
            </w:r>
            <w:r w:rsidR="007413C5" w:rsidRPr="007413C5">
              <w:rPr>
                <w:lang w:val="lt-LT"/>
              </w:rPr>
              <w:t>ą</w:t>
            </w:r>
            <w:r w:rsidRPr="00DB6DCD">
              <w:rPr>
                <w:lang w:val="lt-LT"/>
              </w:rPr>
              <w:t>, skaičius</w:t>
            </w:r>
          </w:p>
        </w:tc>
      </w:tr>
      <w:tr w:rsidR="008B0A24" w:rsidTr="008B0A24">
        <w:trPr>
          <w:trHeight w:val="109"/>
        </w:trPr>
        <w:tc>
          <w:tcPr>
            <w:tcW w:w="3402"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2015</w:t>
            </w:r>
          </w:p>
        </w:tc>
        <w:tc>
          <w:tcPr>
            <w:tcW w:w="4253"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245</w:t>
            </w:r>
          </w:p>
        </w:tc>
        <w:tc>
          <w:tcPr>
            <w:tcW w:w="4961"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562</w:t>
            </w:r>
          </w:p>
        </w:tc>
      </w:tr>
      <w:tr w:rsidR="008B0A24" w:rsidTr="008B0A24">
        <w:trPr>
          <w:trHeight w:val="109"/>
        </w:trPr>
        <w:tc>
          <w:tcPr>
            <w:tcW w:w="3402"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2016</w:t>
            </w:r>
          </w:p>
        </w:tc>
        <w:tc>
          <w:tcPr>
            <w:tcW w:w="4253"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252</w:t>
            </w:r>
          </w:p>
        </w:tc>
        <w:tc>
          <w:tcPr>
            <w:tcW w:w="4961"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584</w:t>
            </w:r>
          </w:p>
        </w:tc>
      </w:tr>
      <w:tr w:rsidR="008B0A24" w:rsidTr="008B0A24">
        <w:trPr>
          <w:trHeight w:val="109"/>
        </w:trPr>
        <w:tc>
          <w:tcPr>
            <w:tcW w:w="3402"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2017</w:t>
            </w:r>
          </w:p>
        </w:tc>
        <w:tc>
          <w:tcPr>
            <w:tcW w:w="4253"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273</w:t>
            </w:r>
          </w:p>
        </w:tc>
        <w:tc>
          <w:tcPr>
            <w:tcW w:w="4961"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573</w:t>
            </w:r>
          </w:p>
        </w:tc>
      </w:tr>
      <w:tr w:rsidR="008B0A24" w:rsidTr="008B0A24">
        <w:trPr>
          <w:trHeight w:val="109"/>
        </w:trPr>
        <w:tc>
          <w:tcPr>
            <w:tcW w:w="3402"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2018</w:t>
            </w:r>
          </w:p>
        </w:tc>
        <w:tc>
          <w:tcPr>
            <w:tcW w:w="4253"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242</w:t>
            </w:r>
          </w:p>
        </w:tc>
        <w:tc>
          <w:tcPr>
            <w:tcW w:w="4961"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543</w:t>
            </w:r>
          </w:p>
        </w:tc>
      </w:tr>
      <w:tr w:rsidR="008B0A24" w:rsidTr="008B0A24">
        <w:trPr>
          <w:trHeight w:val="109"/>
        </w:trPr>
        <w:tc>
          <w:tcPr>
            <w:tcW w:w="3402"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2019</w:t>
            </w:r>
          </w:p>
        </w:tc>
        <w:tc>
          <w:tcPr>
            <w:tcW w:w="4253"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251</w:t>
            </w:r>
          </w:p>
        </w:tc>
        <w:tc>
          <w:tcPr>
            <w:tcW w:w="4961"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551</w:t>
            </w:r>
          </w:p>
        </w:tc>
      </w:tr>
      <w:tr w:rsidR="008B0A24" w:rsidTr="008B0A24">
        <w:trPr>
          <w:trHeight w:val="109"/>
        </w:trPr>
        <w:tc>
          <w:tcPr>
            <w:tcW w:w="3402"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2020</w:t>
            </w:r>
          </w:p>
        </w:tc>
        <w:tc>
          <w:tcPr>
            <w:tcW w:w="4253"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234</w:t>
            </w:r>
          </w:p>
        </w:tc>
        <w:tc>
          <w:tcPr>
            <w:tcW w:w="4961" w:type="dxa"/>
            <w:tcBorders>
              <w:top w:val="single" w:sz="4" w:space="0" w:color="auto"/>
              <w:left w:val="single" w:sz="4" w:space="0" w:color="auto"/>
              <w:bottom w:val="single" w:sz="4" w:space="0" w:color="auto"/>
              <w:right w:val="single" w:sz="4" w:space="0" w:color="auto"/>
            </w:tcBorders>
            <w:hideMark/>
          </w:tcPr>
          <w:p w:rsidR="008B0A24" w:rsidRDefault="008B0A24">
            <w:pPr>
              <w:pStyle w:val="Default"/>
              <w:jc w:val="center"/>
            </w:pPr>
            <w:r>
              <w:t>545</w:t>
            </w:r>
          </w:p>
        </w:tc>
      </w:tr>
    </w:tbl>
    <w:p w:rsidR="00BD3DE9" w:rsidRPr="00DB6DCD" w:rsidRDefault="00BD3DE9" w:rsidP="00DB6DCD">
      <w:pPr>
        <w:pStyle w:val="Betarp"/>
        <w:ind w:firstLine="720"/>
        <w:jc w:val="both"/>
        <w:rPr>
          <w:rFonts w:ascii="Times New Roman" w:hAnsi="Times New Roman"/>
          <w:sz w:val="24"/>
          <w:szCs w:val="24"/>
        </w:rPr>
      </w:pPr>
    </w:p>
    <w:p w:rsidR="008B0A24" w:rsidRDefault="00905427" w:rsidP="00DB6DCD">
      <w:pPr>
        <w:pStyle w:val="Betarp"/>
        <w:ind w:firstLine="720"/>
        <w:jc w:val="both"/>
        <w:rPr>
          <w:rFonts w:ascii="Times New Roman" w:hAnsi="Times New Roman"/>
          <w:sz w:val="24"/>
          <w:szCs w:val="24"/>
        </w:rPr>
      </w:pPr>
      <w:r>
        <w:rPr>
          <w:rFonts w:ascii="Times New Roman" w:hAnsi="Times New Roman"/>
          <w:sz w:val="24"/>
          <w:szCs w:val="24"/>
        </w:rPr>
        <w:t>A</w:t>
      </w:r>
      <w:r w:rsidR="008B0A24" w:rsidRPr="00DB6DCD">
        <w:rPr>
          <w:rFonts w:ascii="Times New Roman" w:hAnsi="Times New Roman"/>
          <w:sz w:val="24"/>
          <w:szCs w:val="24"/>
        </w:rPr>
        <w:t xml:space="preserve">ktualios įvairios priemonės, užtikrinančios paramą nepalankiomis ekonominėmis sąlygomis gyvenančių šeimų vaikams. Tai rodo gaunančių nemokamą maitinimą mokinių skaičius. Šis rodiklis žymi, kokia mokinių dalis gali patirti mokymosi nesėkmę dėl blogų gyvenimo ir mokymosi sąlygų. Mažas pajamas turinčių šeimų mokiniams skiriamas nemokamas maitinimas. 8 lentelėje pateikiamas nemokamai maitinamų mokinių skaičiaus kitimas rodo, kad mokinių maitinimo poreikis žymiai mažėja: nuo 42 proc. 2015 m. sumažėjo iki 30 proc. 2019 m. Nemokamai maitinamų mokinių vidurkis rajone tebelieka gerokai didesnis už Lietuvos vidurkį. </w:t>
      </w:r>
      <w:smartTag w:uri="urn:schemas-microsoft-com:office:smarttags" w:element="metricconverter">
        <w:smartTagPr>
          <w:attr w:name="ProductID" w:val="2015 m"/>
        </w:smartTagPr>
        <w:r w:rsidR="008B0A24" w:rsidRPr="00DB6DCD">
          <w:rPr>
            <w:rFonts w:ascii="Times New Roman" w:hAnsi="Times New Roman"/>
            <w:sz w:val="24"/>
            <w:szCs w:val="24"/>
          </w:rPr>
          <w:t>2015 m</w:t>
        </w:r>
      </w:smartTag>
      <w:r w:rsidR="008B0A24" w:rsidRPr="00DB6DCD">
        <w:rPr>
          <w:rFonts w:ascii="Times New Roman" w:hAnsi="Times New Roman"/>
          <w:sz w:val="24"/>
          <w:szCs w:val="24"/>
        </w:rPr>
        <w:t>. nemokamą maitinimą Lietuvoje gavo 29,8 proc. mokinių, o rajone – 41,49 proc. Galima teigti, kad 2016–2019 m</w:t>
      </w:r>
      <w:r w:rsidR="00974013" w:rsidRPr="00DB6DCD">
        <w:rPr>
          <w:rFonts w:ascii="Times New Roman" w:hAnsi="Times New Roman"/>
          <w:sz w:val="24"/>
          <w:szCs w:val="24"/>
        </w:rPr>
        <w:t>.</w:t>
      </w:r>
      <w:r w:rsidR="008B0A24" w:rsidRPr="00DB6DCD">
        <w:rPr>
          <w:rFonts w:ascii="Times New Roman" w:hAnsi="Times New Roman"/>
          <w:sz w:val="24"/>
          <w:szCs w:val="24"/>
        </w:rPr>
        <w:t xml:space="preserve"> nemokamai maitinamų vaikų skaičius kito</w:t>
      </w:r>
      <w:r w:rsidR="00974013" w:rsidRPr="00DB6DCD">
        <w:rPr>
          <w:rFonts w:ascii="Times New Roman" w:hAnsi="Times New Roman"/>
          <w:sz w:val="24"/>
          <w:szCs w:val="24"/>
        </w:rPr>
        <w:t xml:space="preserve"> (</w:t>
      </w:r>
      <w:r w:rsidR="008B0A24" w:rsidRPr="00DB6DCD">
        <w:rPr>
          <w:rFonts w:ascii="Times New Roman" w:hAnsi="Times New Roman"/>
          <w:sz w:val="24"/>
          <w:szCs w:val="24"/>
        </w:rPr>
        <w:t>mažėja ar didėjo</w:t>
      </w:r>
      <w:r w:rsidR="00974013" w:rsidRPr="00DB6DCD">
        <w:rPr>
          <w:rFonts w:ascii="Times New Roman" w:hAnsi="Times New Roman"/>
          <w:sz w:val="24"/>
          <w:szCs w:val="24"/>
        </w:rPr>
        <w:t>)</w:t>
      </w:r>
      <w:r w:rsidR="008B0A24" w:rsidRPr="00DB6DCD">
        <w:rPr>
          <w:rFonts w:ascii="Times New Roman" w:hAnsi="Times New Roman"/>
          <w:sz w:val="24"/>
          <w:szCs w:val="24"/>
        </w:rPr>
        <w:t xml:space="preserve"> iki 200 vaikų kasmet, ir tai </w:t>
      </w:r>
      <w:r w:rsidR="00974013" w:rsidRPr="00DB6DCD">
        <w:rPr>
          <w:rFonts w:ascii="Times New Roman" w:hAnsi="Times New Roman"/>
          <w:sz w:val="24"/>
          <w:szCs w:val="24"/>
        </w:rPr>
        <w:t>lėmė</w:t>
      </w:r>
      <w:r w:rsidR="008B0A24" w:rsidRPr="00DB6DCD">
        <w:rPr>
          <w:rFonts w:ascii="Times New Roman" w:hAnsi="Times New Roman"/>
          <w:sz w:val="24"/>
          <w:szCs w:val="24"/>
        </w:rPr>
        <w:t xml:space="preserve"> įvairios priežastys</w:t>
      </w:r>
      <w:r w:rsidRPr="00DB6DCD">
        <w:rPr>
          <w:rFonts w:ascii="Times New Roman" w:hAnsi="Times New Roman"/>
          <w:sz w:val="24"/>
          <w:szCs w:val="24"/>
        </w:rPr>
        <w:t>:</w:t>
      </w:r>
      <w:r w:rsidR="008B0A24" w:rsidRPr="00DB6DCD">
        <w:rPr>
          <w:rFonts w:ascii="Times New Roman" w:hAnsi="Times New Roman"/>
          <w:sz w:val="24"/>
          <w:szCs w:val="24"/>
        </w:rPr>
        <w:t xml:space="preserve"> padidintas valstybės remiamų pajamų dydis</w:t>
      </w:r>
      <w:r w:rsidR="00974013" w:rsidRPr="00DB6DCD">
        <w:rPr>
          <w:rFonts w:ascii="Times New Roman" w:hAnsi="Times New Roman"/>
          <w:sz w:val="24"/>
          <w:szCs w:val="24"/>
        </w:rPr>
        <w:t>,</w:t>
      </w:r>
      <w:r w:rsidR="008B0A24" w:rsidRPr="00DB6DCD">
        <w:rPr>
          <w:rFonts w:ascii="Times New Roman" w:hAnsi="Times New Roman"/>
          <w:sz w:val="24"/>
          <w:szCs w:val="24"/>
        </w:rPr>
        <w:t xml:space="preserve"> nuo 2020 m. nemokamas mokinių maitinimas teik</w:t>
      </w:r>
      <w:r>
        <w:rPr>
          <w:rFonts w:ascii="Times New Roman" w:hAnsi="Times New Roman"/>
          <w:sz w:val="24"/>
          <w:szCs w:val="24"/>
        </w:rPr>
        <w:t xml:space="preserve">iamas </w:t>
      </w:r>
      <w:r w:rsidR="008B0A24" w:rsidRPr="00DB6DCD">
        <w:rPr>
          <w:rFonts w:ascii="Times New Roman" w:hAnsi="Times New Roman"/>
          <w:sz w:val="24"/>
          <w:szCs w:val="24"/>
        </w:rPr>
        <w:t>visiems priešmokyklin</w:t>
      </w:r>
      <w:r w:rsidR="00974013" w:rsidRPr="00DB6DCD">
        <w:rPr>
          <w:rFonts w:ascii="Times New Roman" w:hAnsi="Times New Roman"/>
          <w:sz w:val="24"/>
          <w:szCs w:val="24"/>
        </w:rPr>
        <w:t>io amžiaus vaik</w:t>
      </w:r>
      <w:r w:rsidR="008B0A24" w:rsidRPr="00DB6DCD">
        <w:rPr>
          <w:rFonts w:ascii="Times New Roman" w:hAnsi="Times New Roman"/>
          <w:sz w:val="24"/>
          <w:szCs w:val="24"/>
        </w:rPr>
        <w:t xml:space="preserve">ams ir </w:t>
      </w:r>
      <w:r w:rsidR="00974013" w:rsidRPr="00DB6DCD">
        <w:rPr>
          <w:rFonts w:ascii="Times New Roman" w:hAnsi="Times New Roman"/>
          <w:sz w:val="24"/>
          <w:szCs w:val="24"/>
        </w:rPr>
        <w:t>1 klasės mokini</w:t>
      </w:r>
      <w:r w:rsidR="008B0A24" w:rsidRPr="00DB6DCD">
        <w:rPr>
          <w:rFonts w:ascii="Times New Roman" w:hAnsi="Times New Roman"/>
          <w:sz w:val="24"/>
          <w:szCs w:val="24"/>
        </w:rPr>
        <w:t>ams, nevertinant tėvų (globėjų) pajamų.</w:t>
      </w:r>
    </w:p>
    <w:p w:rsidR="00DB6DCD" w:rsidRPr="00DB6DCD" w:rsidRDefault="00DB6DCD" w:rsidP="00DB6DCD">
      <w:pPr>
        <w:pStyle w:val="Betarp"/>
        <w:ind w:firstLine="720"/>
        <w:jc w:val="both"/>
        <w:rPr>
          <w:rFonts w:ascii="Times New Roman" w:hAnsi="Times New Roman"/>
        </w:rPr>
      </w:pPr>
    </w:p>
    <w:p w:rsidR="008B0A24" w:rsidRPr="00DB6DCD" w:rsidRDefault="00CC343A" w:rsidP="00DB6DCD">
      <w:pPr>
        <w:pStyle w:val="Betarp"/>
        <w:ind w:firstLine="720"/>
        <w:jc w:val="both"/>
        <w:rPr>
          <w:rFonts w:ascii="Times New Roman" w:hAnsi="Times New Roman"/>
          <w:sz w:val="24"/>
          <w:szCs w:val="24"/>
        </w:rPr>
      </w:pPr>
      <w:r>
        <w:rPr>
          <w:rFonts w:ascii="Times New Roman" w:hAnsi="Times New Roman"/>
          <w:sz w:val="24"/>
          <w:szCs w:val="24"/>
        </w:rPr>
        <w:t>6</w:t>
      </w:r>
      <w:r w:rsidR="008B0A24" w:rsidRPr="00DB6DCD">
        <w:rPr>
          <w:rFonts w:ascii="Times New Roman" w:hAnsi="Times New Roman"/>
          <w:sz w:val="24"/>
          <w:szCs w:val="24"/>
        </w:rPr>
        <w:t xml:space="preserve"> lentelė. Nemokamas mokinių maitinimas</w:t>
      </w:r>
    </w:p>
    <w:tbl>
      <w:tblPr>
        <w:tblpPr w:leftFromText="180" w:rightFromText="180" w:vertAnchor="text" w:horzAnchor="page" w:tblpX="2118" w:tblpY="1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526"/>
        <w:gridCol w:w="1559"/>
        <w:gridCol w:w="1418"/>
        <w:gridCol w:w="1417"/>
        <w:gridCol w:w="1701"/>
        <w:gridCol w:w="1276"/>
      </w:tblGrid>
      <w:tr w:rsidR="008B0A24" w:rsidTr="008B0A24">
        <w:trPr>
          <w:trHeight w:val="354"/>
        </w:trPr>
        <w:tc>
          <w:tcPr>
            <w:tcW w:w="3969" w:type="dxa"/>
            <w:tcBorders>
              <w:top w:val="single" w:sz="4" w:space="0" w:color="auto"/>
              <w:left w:val="single" w:sz="4" w:space="0" w:color="auto"/>
              <w:bottom w:val="single" w:sz="4" w:space="0" w:color="auto"/>
              <w:right w:val="single" w:sz="4" w:space="0" w:color="auto"/>
            </w:tcBorders>
          </w:tcPr>
          <w:p w:rsidR="008B0A24" w:rsidRDefault="008B0A24">
            <w:pPr>
              <w:jc w:val="center"/>
              <w:rPr>
                <w:b/>
              </w:rPr>
            </w:pPr>
          </w:p>
        </w:tc>
        <w:tc>
          <w:tcPr>
            <w:tcW w:w="1526"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2015 m.</w:t>
            </w:r>
          </w:p>
        </w:tc>
        <w:tc>
          <w:tcPr>
            <w:tcW w:w="1559"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2016 m.</w:t>
            </w:r>
          </w:p>
        </w:tc>
        <w:tc>
          <w:tcPr>
            <w:tcW w:w="1418"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2017 m.</w:t>
            </w:r>
          </w:p>
        </w:tc>
        <w:tc>
          <w:tcPr>
            <w:tcW w:w="1417"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2018 m.</w:t>
            </w:r>
          </w:p>
        </w:tc>
        <w:tc>
          <w:tcPr>
            <w:tcW w:w="1701"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2019 m.</w:t>
            </w:r>
          </w:p>
        </w:tc>
        <w:tc>
          <w:tcPr>
            <w:tcW w:w="1276"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 xml:space="preserve">2020 m. </w:t>
            </w:r>
          </w:p>
        </w:tc>
      </w:tr>
      <w:tr w:rsidR="008B0A24" w:rsidTr="008B0A24">
        <w:trPr>
          <w:trHeight w:val="339"/>
        </w:trPr>
        <w:tc>
          <w:tcPr>
            <w:tcW w:w="3969" w:type="dxa"/>
            <w:tcBorders>
              <w:top w:val="single" w:sz="4" w:space="0" w:color="auto"/>
              <w:left w:val="single" w:sz="4" w:space="0" w:color="auto"/>
              <w:bottom w:val="single" w:sz="4" w:space="0" w:color="auto"/>
              <w:right w:val="single" w:sz="4" w:space="0" w:color="auto"/>
            </w:tcBorders>
            <w:hideMark/>
          </w:tcPr>
          <w:p w:rsidR="008B0A24" w:rsidRDefault="008B0A24">
            <w:r>
              <w:t>Maitinamų mokinių skaičius</w:t>
            </w:r>
          </w:p>
        </w:tc>
        <w:tc>
          <w:tcPr>
            <w:tcW w:w="1526"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1 345</w:t>
            </w:r>
          </w:p>
        </w:tc>
        <w:tc>
          <w:tcPr>
            <w:tcW w:w="1559"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1 136</w:t>
            </w:r>
          </w:p>
        </w:tc>
        <w:tc>
          <w:tcPr>
            <w:tcW w:w="1418"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939</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1 156</w:t>
            </w:r>
          </w:p>
        </w:tc>
        <w:tc>
          <w:tcPr>
            <w:tcW w:w="1701"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871</w:t>
            </w:r>
          </w:p>
        </w:tc>
        <w:tc>
          <w:tcPr>
            <w:tcW w:w="1276"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1 194</w:t>
            </w:r>
          </w:p>
        </w:tc>
      </w:tr>
      <w:tr w:rsidR="008B0A24" w:rsidTr="008B0A24">
        <w:trPr>
          <w:trHeight w:val="347"/>
        </w:trPr>
        <w:tc>
          <w:tcPr>
            <w:tcW w:w="3969"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Maitinamų mokinių proc.</w:t>
            </w:r>
          </w:p>
        </w:tc>
        <w:tc>
          <w:tcPr>
            <w:tcW w:w="1526"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42</w:t>
            </w:r>
          </w:p>
        </w:tc>
        <w:tc>
          <w:tcPr>
            <w:tcW w:w="1559"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36</w:t>
            </w:r>
          </w:p>
        </w:tc>
        <w:tc>
          <w:tcPr>
            <w:tcW w:w="1418"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31</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39</w:t>
            </w:r>
          </w:p>
        </w:tc>
        <w:tc>
          <w:tcPr>
            <w:tcW w:w="1701"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30</w:t>
            </w:r>
          </w:p>
        </w:tc>
        <w:tc>
          <w:tcPr>
            <w:tcW w:w="1276"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42,5</w:t>
            </w:r>
          </w:p>
        </w:tc>
      </w:tr>
    </w:tbl>
    <w:p w:rsidR="008B0A24" w:rsidRPr="00B6740D" w:rsidRDefault="008B0A24" w:rsidP="00B6740D">
      <w:pPr>
        <w:pStyle w:val="Betarp"/>
        <w:ind w:firstLine="720"/>
      </w:pPr>
      <w:r>
        <w:rPr>
          <w:rFonts w:ascii="Times New Roman" w:hAnsi="Times New Roman"/>
          <w:sz w:val="24"/>
          <w:szCs w:val="24"/>
        </w:rPr>
        <w:t>Savivaldybės ekonominės ir socialinės būklės kontekstas daro įtaką švietimo procesams.</w:t>
      </w:r>
    </w:p>
    <w:p w:rsidR="008B0A24" w:rsidRPr="00DB6DCD" w:rsidRDefault="008B0A24" w:rsidP="008B0A24">
      <w:pPr>
        <w:pStyle w:val="Betarp"/>
        <w:rPr>
          <w:rFonts w:ascii="Times New Roman" w:hAnsi="Times New Roman"/>
          <w:sz w:val="24"/>
          <w:szCs w:val="24"/>
        </w:rPr>
      </w:pPr>
    </w:p>
    <w:p w:rsidR="00306C07" w:rsidRDefault="00306C07" w:rsidP="00DB6DCD">
      <w:pPr>
        <w:pStyle w:val="Betarp"/>
        <w:ind w:firstLine="720"/>
        <w:jc w:val="both"/>
        <w:rPr>
          <w:rFonts w:ascii="Times New Roman" w:hAnsi="Times New Roman"/>
          <w:b/>
          <w:sz w:val="24"/>
          <w:szCs w:val="24"/>
        </w:rPr>
      </w:pPr>
    </w:p>
    <w:p w:rsidR="00306C07" w:rsidRDefault="00306C07" w:rsidP="00DB6DCD">
      <w:pPr>
        <w:pStyle w:val="Betarp"/>
        <w:ind w:firstLine="720"/>
        <w:jc w:val="both"/>
        <w:rPr>
          <w:rFonts w:ascii="Times New Roman" w:hAnsi="Times New Roman"/>
          <w:b/>
          <w:sz w:val="24"/>
          <w:szCs w:val="24"/>
        </w:rPr>
      </w:pPr>
    </w:p>
    <w:p w:rsidR="008B0A24" w:rsidRPr="00DB6DCD" w:rsidRDefault="008B0A24" w:rsidP="00DB6DCD">
      <w:pPr>
        <w:pStyle w:val="Betarp"/>
        <w:ind w:firstLine="720"/>
        <w:jc w:val="both"/>
        <w:rPr>
          <w:rFonts w:ascii="Times New Roman" w:hAnsi="Times New Roman"/>
          <w:sz w:val="24"/>
          <w:szCs w:val="24"/>
        </w:rPr>
      </w:pPr>
      <w:r w:rsidRPr="00DB6DCD">
        <w:rPr>
          <w:rFonts w:ascii="Times New Roman" w:hAnsi="Times New Roman"/>
          <w:b/>
          <w:sz w:val="24"/>
          <w:szCs w:val="24"/>
        </w:rPr>
        <w:lastRenderedPageBreak/>
        <w:t xml:space="preserve">3. Švietimo finansinis kontekstas   </w:t>
      </w:r>
    </w:p>
    <w:p w:rsidR="008B0A24" w:rsidRDefault="008B0A24" w:rsidP="00306C07">
      <w:pPr>
        <w:pStyle w:val="Betarp"/>
        <w:ind w:right="-74" w:firstLine="720"/>
        <w:jc w:val="both"/>
      </w:pPr>
      <w:r w:rsidRPr="00DB6DCD">
        <w:rPr>
          <w:rFonts w:ascii="Times New Roman" w:hAnsi="Times New Roman"/>
          <w:sz w:val="24"/>
          <w:szCs w:val="24"/>
        </w:rPr>
        <w:t>Daugeliui bendrojo ugdymo mokyklų dėl mažo mokinių skaičiaus Mokymo lėšų neužtenka. Pasikeitus Mokymo lėšų apskaičiavimo</w:t>
      </w:r>
      <w:r w:rsidR="00912C71">
        <w:rPr>
          <w:rFonts w:ascii="Times New Roman" w:hAnsi="Times New Roman"/>
          <w:sz w:val="24"/>
          <w:szCs w:val="24"/>
        </w:rPr>
        <w:t>, paskirstymo ir panadojimo tvarkos aprašui</w:t>
      </w:r>
      <w:r w:rsidRPr="00DB6DCD">
        <w:rPr>
          <w:rFonts w:ascii="Times New Roman" w:hAnsi="Times New Roman"/>
          <w:sz w:val="24"/>
          <w:szCs w:val="24"/>
        </w:rPr>
        <w:t>, išaiškėjo dvi pozicijos</w:t>
      </w:r>
      <w:r w:rsidR="00974013" w:rsidRPr="00DB6DCD">
        <w:rPr>
          <w:rFonts w:ascii="Times New Roman" w:hAnsi="Times New Roman"/>
          <w:sz w:val="24"/>
          <w:szCs w:val="24"/>
        </w:rPr>
        <w:t>,</w:t>
      </w:r>
      <w:r w:rsidRPr="00DB6DCD">
        <w:rPr>
          <w:rFonts w:ascii="Times New Roman" w:hAnsi="Times New Roman"/>
          <w:sz w:val="24"/>
          <w:szCs w:val="24"/>
        </w:rPr>
        <w:t xml:space="preserve"> kurioms nepakanka </w:t>
      </w:r>
      <w:r w:rsidR="00974013" w:rsidRPr="00DB6DCD">
        <w:rPr>
          <w:rFonts w:ascii="Times New Roman" w:hAnsi="Times New Roman"/>
          <w:sz w:val="24"/>
          <w:szCs w:val="24"/>
        </w:rPr>
        <w:t>M</w:t>
      </w:r>
      <w:r w:rsidRPr="00DB6DCD">
        <w:rPr>
          <w:rFonts w:ascii="Times New Roman" w:hAnsi="Times New Roman"/>
          <w:sz w:val="24"/>
          <w:szCs w:val="24"/>
        </w:rPr>
        <w:t>okymo lėšų, tai mokyklų vadovų ir švietimo pagalbos darbuotojų darbo užmokes</w:t>
      </w:r>
      <w:r w:rsidR="00974013" w:rsidRPr="00DB6DCD">
        <w:rPr>
          <w:rFonts w:ascii="Times New Roman" w:hAnsi="Times New Roman"/>
          <w:sz w:val="24"/>
          <w:szCs w:val="24"/>
        </w:rPr>
        <w:t>tis</w:t>
      </w:r>
      <w:r w:rsidRPr="00DB6DCD">
        <w:rPr>
          <w:rFonts w:ascii="Times New Roman" w:hAnsi="Times New Roman"/>
          <w:sz w:val="24"/>
          <w:szCs w:val="24"/>
        </w:rPr>
        <w:t>. Todėl mažos mokyklos ieško įvairių lėšų taupymo galimybių</w:t>
      </w:r>
      <w:r w:rsidR="00974013" w:rsidRPr="00DB6DCD">
        <w:rPr>
          <w:rFonts w:ascii="Times New Roman" w:hAnsi="Times New Roman"/>
          <w:sz w:val="24"/>
          <w:szCs w:val="24"/>
        </w:rPr>
        <w:t>, o</w:t>
      </w:r>
      <w:r w:rsidRPr="00DB6DCD">
        <w:rPr>
          <w:rFonts w:ascii="Times New Roman" w:hAnsi="Times New Roman"/>
          <w:sz w:val="24"/>
          <w:szCs w:val="24"/>
        </w:rPr>
        <w:t xml:space="preserve"> trūkstamas lėšas savivaldybė skir</w:t>
      </w:r>
      <w:r w:rsidR="00974013" w:rsidRPr="00DB6DCD">
        <w:rPr>
          <w:rFonts w:ascii="Times New Roman" w:hAnsi="Times New Roman"/>
          <w:sz w:val="24"/>
          <w:szCs w:val="24"/>
        </w:rPr>
        <w:t>ia</w:t>
      </w:r>
      <w:r w:rsidRPr="00DB6DCD">
        <w:rPr>
          <w:rFonts w:ascii="Times New Roman" w:hAnsi="Times New Roman"/>
          <w:sz w:val="24"/>
          <w:szCs w:val="24"/>
        </w:rPr>
        <w:t xml:space="preserve"> iš savivaldybės biudžeto. </w:t>
      </w:r>
    </w:p>
    <w:p w:rsidR="00BD3DE9" w:rsidRPr="00DB6DCD" w:rsidRDefault="00BD3DE9" w:rsidP="00DB6DCD">
      <w:pPr>
        <w:pStyle w:val="Betarp"/>
        <w:ind w:firstLine="720"/>
        <w:jc w:val="both"/>
        <w:rPr>
          <w:rFonts w:ascii="Times New Roman" w:hAnsi="Times New Roman"/>
          <w:sz w:val="24"/>
          <w:szCs w:val="24"/>
        </w:rPr>
      </w:pPr>
    </w:p>
    <w:p w:rsidR="008B0A24" w:rsidRPr="00DB6DCD" w:rsidRDefault="00CC343A" w:rsidP="00DB6DCD">
      <w:pPr>
        <w:pStyle w:val="Betarp"/>
        <w:ind w:firstLine="720"/>
        <w:jc w:val="both"/>
        <w:rPr>
          <w:rFonts w:ascii="Times New Roman" w:hAnsi="Times New Roman"/>
          <w:sz w:val="24"/>
          <w:szCs w:val="24"/>
        </w:rPr>
      </w:pPr>
      <w:r>
        <w:rPr>
          <w:rFonts w:ascii="Times New Roman" w:hAnsi="Times New Roman"/>
          <w:sz w:val="24"/>
          <w:szCs w:val="24"/>
        </w:rPr>
        <w:t>7</w:t>
      </w:r>
      <w:r w:rsidR="008B0A24" w:rsidRPr="00DB6DCD">
        <w:rPr>
          <w:rFonts w:ascii="Times New Roman" w:hAnsi="Times New Roman"/>
          <w:sz w:val="24"/>
          <w:szCs w:val="24"/>
        </w:rPr>
        <w:t xml:space="preserve"> lentelė. Mokytojų darbo užmokesčiui skirtos lėšos (tūkst. Eur)</w:t>
      </w:r>
    </w:p>
    <w:tbl>
      <w:tblPr>
        <w:tblW w:w="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118"/>
        <w:gridCol w:w="3261"/>
        <w:gridCol w:w="3543"/>
      </w:tblGrid>
      <w:tr w:rsidR="008B0A24" w:rsidTr="008B0A24">
        <w:trPr>
          <w:trHeight w:val="217"/>
        </w:trPr>
        <w:tc>
          <w:tcPr>
            <w:tcW w:w="2977"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both"/>
            </w:pPr>
            <w:r w:rsidRPr="00DB6DCD">
              <w:t>Metai</w:t>
            </w:r>
          </w:p>
        </w:tc>
        <w:tc>
          <w:tcPr>
            <w:tcW w:w="3118"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2018 m.</w:t>
            </w:r>
          </w:p>
        </w:tc>
        <w:tc>
          <w:tcPr>
            <w:tcW w:w="3261"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2019 m.</w:t>
            </w:r>
          </w:p>
        </w:tc>
        <w:tc>
          <w:tcPr>
            <w:tcW w:w="3543"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2020 m.</w:t>
            </w:r>
          </w:p>
        </w:tc>
      </w:tr>
      <w:tr w:rsidR="008B0A24" w:rsidTr="008B0A24">
        <w:trPr>
          <w:trHeight w:val="390"/>
        </w:trPr>
        <w:tc>
          <w:tcPr>
            <w:tcW w:w="297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 xml:space="preserve">Mokymo lėšos  </w:t>
            </w:r>
          </w:p>
        </w:tc>
        <w:tc>
          <w:tcPr>
            <w:tcW w:w="3118"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4 375,1</w:t>
            </w:r>
          </w:p>
        </w:tc>
        <w:tc>
          <w:tcPr>
            <w:tcW w:w="3261"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6 290,6</w:t>
            </w:r>
          </w:p>
        </w:tc>
        <w:tc>
          <w:tcPr>
            <w:tcW w:w="3543"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5 939,3</w:t>
            </w:r>
          </w:p>
        </w:tc>
      </w:tr>
      <w:tr w:rsidR="008B0A24" w:rsidTr="008B0A24">
        <w:trPr>
          <w:trHeight w:val="390"/>
        </w:trPr>
        <w:tc>
          <w:tcPr>
            <w:tcW w:w="297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Aplinkos lėšos</w:t>
            </w:r>
          </w:p>
        </w:tc>
        <w:tc>
          <w:tcPr>
            <w:tcW w:w="3118"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599,1</w:t>
            </w:r>
          </w:p>
        </w:tc>
        <w:tc>
          <w:tcPr>
            <w:tcW w:w="3261"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342,1</w:t>
            </w:r>
          </w:p>
        </w:tc>
        <w:tc>
          <w:tcPr>
            <w:tcW w:w="3543"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380,4</w:t>
            </w:r>
          </w:p>
        </w:tc>
      </w:tr>
      <w:tr w:rsidR="008B0A24" w:rsidTr="008B0A24">
        <w:trPr>
          <w:trHeight w:val="390"/>
        </w:trPr>
        <w:tc>
          <w:tcPr>
            <w:tcW w:w="297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 xml:space="preserve">Iš viso skirta lėšų </w:t>
            </w:r>
          </w:p>
        </w:tc>
        <w:tc>
          <w:tcPr>
            <w:tcW w:w="3118"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4 974,2</w:t>
            </w:r>
          </w:p>
        </w:tc>
        <w:tc>
          <w:tcPr>
            <w:tcW w:w="3261"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6 632,8</w:t>
            </w:r>
          </w:p>
        </w:tc>
        <w:tc>
          <w:tcPr>
            <w:tcW w:w="3543" w:type="dxa"/>
            <w:tcBorders>
              <w:top w:val="single" w:sz="4" w:space="0" w:color="auto"/>
              <w:left w:val="single" w:sz="4" w:space="0" w:color="auto"/>
              <w:bottom w:val="single" w:sz="4" w:space="0" w:color="auto"/>
              <w:right w:val="single" w:sz="4" w:space="0" w:color="auto"/>
            </w:tcBorders>
            <w:hideMark/>
          </w:tcPr>
          <w:p w:rsidR="008B0A24" w:rsidRPr="008B0A24" w:rsidRDefault="008B0A24">
            <w:pPr>
              <w:jc w:val="center"/>
            </w:pPr>
            <w:r w:rsidRPr="008B0A24">
              <w:t>6 319,7</w:t>
            </w:r>
          </w:p>
        </w:tc>
      </w:tr>
    </w:tbl>
    <w:p w:rsidR="008B0A24" w:rsidRDefault="008B0A24" w:rsidP="00DB6DCD">
      <w:pPr>
        <w:ind w:firstLine="720"/>
        <w:jc w:val="both"/>
      </w:pPr>
      <w:r>
        <w:t xml:space="preserve">Panevėžio rajono savivaldybė patenka tarp trečdalio savivaldybių, kuriose būklė pagal šį rodiklį prasčiausia. </w:t>
      </w:r>
    </w:p>
    <w:p w:rsidR="008B0A24" w:rsidRDefault="008B0A24" w:rsidP="008B0A24">
      <w:pPr>
        <w:jc w:val="both"/>
      </w:pPr>
      <w:r>
        <w:tab/>
      </w:r>
    </w:p>
    <w:p w:rsidR="00BD3DE9" w:rsidRPr="00DB6DCD" w:rsidRDefault="00CC343A" w:rsidP="00DB6DCD">
      <w:pPr>
        <w:pStyle w:val="Betarp"/>
        <w:ind w:firstLine="720"/>
        <w:rPr>
          <w:rFonts w:ascii="Times New Roman" w:hAnsi="Times New Roman"/>
          <w:strike/>
          <w:sz w:val="24"/>
          <w:szCs w:val="24"/>
        </w:rPr>
      </w:pPr>
      <w:r>
        <w:rPr>
          <w:rFonts w:ascii="Times New Roman" w:hAnsi="Times New Roman"/>
          <w:sz w:val="24"/>
          <w:szCs w:val="24"/>
        </w:rPr>
        <w:t>8</w:t>
      </w:r>
      <w:r w:rsidR="008B0A24" w:rsidRPr="00DB6DCD">
        <w:rPr>
          <w:rFonts w:ascii="Times New Roman" w:hAnsi="Times New Roman"/>
          <w:sz w:val="24"/>
          <w:szCs w:val="24"/>
        </w:rPr>
        <w:t xml:space="preserve"> lentelė. </w:t>
      </w:r>
      <w:r w:rsidR="00974013">
        <w:rPr>
          <w:rFonts w:ascii="Times New Roman" w:hAnsi="Times New Roman"/>
          <w:sz w:val="24"/>
          <w:szCs w:val="24"/>
        </w:rPr>
        <w:t>M</w:t>
      </w:r>
      <w:r w:rsidR="008B0A24" w:rsidRPr="00DB6DCD">
        <w:rPr>
          <w:rFonts w:ascii="Times New Roman" w:hAnsi="Times New Roman"/>
          <w:sz w:val="24"/>
          <w:szCs w:val="24"/>
        </w:rPr>
        <w:t xml:space="preserve">okymo </w:t>
      </w:r>
      <w:r w:rsidR="00974013">
        <w:rPr>
          <w:rFonts w:ascii="Times New Roman" w:hAnsi="Times New Roman"/>
          <w:sz w:val="24"/>
          <w:szCs w:val="24"/>
        </w:rPr>
        <w:t xml:space="preserve">lėšos </w:t>
      </w:r>
      <w:r w:rsidR="008B0A24" w:rsidRPr="00DB6DCD">
        <w:rPr>
          <w:rFonts w:ascii="Times New Roman" w:hAnsi="Times New Roman"/>
          <w:sz w:val="24"/>
          <w:szCs w:val="24"/>
        </w:rPr>
        <w:t>ir aplinkos lėšos, tenkančios vienam mokiniui</w:t>
      </w:r>
      <w:r w:rsidR="008B0A24" w:rsidRPr="00DB6DCD">
        <w:rPr>
          <w:rFonts w:ascii="Times New Roman" w:hAnsi="Times New Roman"/>
          <w:strike/>
          <w:sz w:val="24"/>
          <w:szCs w:val="24"/>
        </w:rPr>
        <w:t xml:space="preserve"> </w:t>
      </w:r>
    </w:p>
    <w:tbl>
      <w:tblPr>
        <w:tblW w:w="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987"/>
        <w:gridCol w:w="1843"/>
        <w:gridCol w:w="1417"/>
        <w:gridCol w:w="1843"/>
        <w:gridCol w:w="1417"/>
        <w:gridCol w:w="1560"/>
        <w:gridCol w:w="1275"/>
      </w:tblGrid>
      <w:tr w:rsidR="008B0A24" w:rsidTr="008B0A24">
        <w:trPr>
          <w:trHeight w:val="390"/>
        </w:trPr>
        <w:tc>
          <w:tcPr>
            <w:tcW w:w="557" w:type="dxa"/>
            <w:vMerge w:val="restart"/>
            <w:tcBorders>
              <w:top w:val="single" w:sz="4" w:space="0" w:color="auto"/>
              <w:left w:val="single" w:sz="4" w:space="0" w:color="auto"/>
              <w:bottom w:val="single" w:sz="4" w:space="0" w:color="auto"/>
              <w:right w:val="single" w:sz="4" w:space="0" w:color="auto"/>
            </w:tcBorders>
            <w:hideMark/>
          </w:tcPr>
          <w:p w:rsidR="008B0A24" w:rsidRDefault="008B0A24">
            <w:pPr>
              <w:pStyle w:val="Betarp"/>
              <w:rPr>
                <w:rFonts w:ascii="Times New Roman" w:hAnsi="Times New Roman"/>
                <w:sz w:val="24"/>
                <w:szCs w:val="24"/>
              </w:rPr>
            </w:pPr>
            <w:r>
              <w:rPr>
                <w:rFonts w:ascii="Times New Roman" w:hAnsi="Times New Roman"/>
                <w:sz w:val="24"/>
                <w:szCs w:val="24"/>
              </w:rPr>
              <w:t>Eil.</w:t>
            </w:r>
          </w:p>
          <w:p w:rsidR="008B0A24" w:rsidRDefault="008B0A24">
            <w:pPr>
              <w:pStyle w:val="Betarp"/>
              <w:rPr>
                <w:rFonts w:ascii="Times New Roman" w:hAnsi="Times New Roman"/>
                <w:sz w:val="24"/>
                <w:szCs w:val="24"/>
              </w:rPr>
            </w:pPr>
            <w:r>
              <w:rPr>
                <w:rFonts w:ascii="Times New Roman" w:hAnsi="Times New Roman"/>
                <w:sz w:val="24"/>
                <w:szCs w:val="24"/>
              </w:rPr>
              <w:t>Nr.</w:t>
            </w:r>
          </w:p>
        </w:tc>
        <w:tc>
          <w:tcPr>
            <w:tcW w:w="2987" w:type="dxa"/>
            <w:vMerge w:val="restart"/>
            <w:tcBorders>
              <w:top w:val="single" w:sz="4" w:space="0" w:color="auto"/>
              <w:left w:val="single" w:sz="4" w:space="0" w:color="auto"/>
              <w:bottom w:val="single" w:sz="4" w:space="0" w:color="auto"/>
              <w:right w:val="single" w:sz="4" w:space="0" w:color="auto"/>
            </w:tcBorders>
            <w:hideMark/>
          </w:tcPr>
          <w:p w:rsidR="008B0A24" w:rsidRPr="00DB6DCD" w:rsidRDefault="008B0A24">
            <w:pPr>
              <w:pStyle w:val="Betarp"/>
              <w:rPr>
                <w:rFonts w:ascii="Times New Roman" w:hAnsi="Times New Roman"/>
                <w:sz w:val="24"/>
                <w:szCs w:val="24"/>
              </w:rPr>
            </w:pPr>
            <w:r w:rsidRPr="00DB6DCD">
              <w:rPr>
                <w:rFonts w:ascii="Times New Roman" w:hAnsi="Times New Roman"/>
                <w:sz w:val="24"/>
                <w:szCs w:val="24"/>
              </w:rPr>
              <w:t>Mokykla</w:t>
            </w:r>
          </w:p>
        </w:tc>
        <w:tc>
          <w:tcPr>
            <w:tcW w:w="3260" w:type="dxa"/>
            <w:gridSpan w:val="2"/>
            <w:tcBorders>
              <w:top w:val="single" w:sz="4" w:space="0" w:color="auto"/>
              <w:left w:val="single" w:sz="4" w:space="0" w:color="auto"/>
              <w:bottom w:val="single" w:sz="4" w:space="0" w:color="auto"/>
              <w:right w:val="single" w:sz="4" w:space="0" w:color="auto"/>
            </w:tcBorders>
            <w:hideMark/>
          </w:tcPr>
          <w:p w:rsidR="008B0A24" w:rsidRPr="00DB6DCD" w:rsidRDefault="008B0A24">
            <w:pPr>
              <w:pStyle w:val="Betarp"/>
              <w:jc w:val="center"/>
              <w:rPr>
                <w:rFonts w:ascii="Times New Roman" w:hAnsi="Times New Roman"/>
                <w:sz w:val="24"/>
                <w:szCs w:val="24"/>
              </w:rPr>
            </w:pPr>
            <w:r w:rsidRPr="00DB6DCD">
              <w:rPr>
                <w:rFonts w:ascii="Times New Roman" w:hAnsi="Times New Roman"/>
                <w:sz w:val="24"/>
                <w:szCs w:val="24"/>
              </w:rPr>
              <w:t>Išlaidos 2018 m.</w:t>
            </w:r>
          </w:p>
        </w:tc>
        <w:tc>
          <w:tcPr>
            <w:tcW w:w="3260" w:type="dxa"/>
            <w:gridSpan w:val="2"/>
            <w:tcBorders>
              <w:top w:val="single" w:sz="4" w:space="0" w:color="auto"/>
              <w:left w:val="single" w:sz="4" w:space="0" w:color="auto"/>
              <w:bottom w:val="single" w:sz="4" w:space="0" w:color="auto"/>
              <w:right w:val="single" w:sz="4" w:space="0" w:color="auto"/>
            </w:tcBorders>
            <w:hideMark/>
          </w:tcPr>
          <w:p w:rsidR="008B0A24" w:rsidRPr="00DB6DCD" w:rsidRDefault="008B0A24">
            <w:pPr>
              <w:pStyle w:val="Betarp"/>
              <w:jc w:val="center"/>
              <w:rPr>
                <w:rFonts w:ascii="Times New Roman" w:hAnsi="Times New Roman"/>
                <w:sz w:val="24"/>
                <w:szCs w:val="24"/>
              </w:rPr>
            </w:pPr>
            <w:r w:rsidRPr="00DB6DCD">
              <w:rPr>
                <w:rFonts w:ascii="Times New Roman" w:hAnsi="Times New Roman"/>
                <w:sz w:val="24"/>
                <w:szCs w:val="24"/>
              </w:rPr>
              <w:t>Išlaidos 2019 m.</w:t>
            </w:r>
          </w:p>
        </w:tc>
        <w:tc>
          <w:tcPr>
            <w:tcW w:w="2835" w:type="dxa"/>
            <w:gridSpan w:val="2"/>
            <w:tcBorders>
              <w:top w:val="single" w:sz="4" w:space="0" w:color="auto"/>
              <w:left w:val="single" w:sz="4" w:space="0" w:color="auto"/>
              <w:bottom w:val="single" w:sz="4" w:space="0" w:color="auto"/>
              <w:right w:val="single" w:sz="4" w:space="0" w:color="auto"/>
            </w:tcBorders>
            <w:hideMark/>
          </w:tcPr>
          <w:p w:rsidR="008B0A24" w:rsidRPr="00DB6DCD" w:rsidRDefault="008B0A24">
            <w:pPr>
              <w:pStyle w:val="Betarp"/>
              <w:jc w:val="center"/>
              <w:rPr>
                <w:rFonts w:ascii="Times New Roman" w:hAnsi="Times New Roman"/>
                <w:sz w:val="24"/>
                <w:szCs w:val="24"/>
              </w:rPr>
            </w:pPr>
            <w:r w:rsidRPr="00DB6DCD">
              <w:rPr>
                <w:rFonts w:ascii="Times New Roman" w:hAnsi="Times New Roman"/>
                <w:sz w:val="24"/>
                <w:szCs w:val="24"/>
              </w:rPr>
              <w:t>Išlaidos 2020 m.</w:t>
            </w:r>
          </w:p>
        </w:tc>
      </w:tr>
      <w:tr w:rsidR="008B0A24" w:rsidTr="008B0A24">
        <w:trPr>
          <w:trHeight w:val="705"/>
        </w:trPr>
        <w:tc>
          <w:tcPr>
            <w:tcW w:w="12899" w:type="dxa"/>
            <w:vMerge/>
            <w:tcBorders>
              <w:top w:val="single" w:sz="4" w:space="0" w:color="auto"/>
              <w:left w:val="single" w:sz="4" w:space="0" w:color="auto"/>
              <w:bottom w:val="single" w:sz="4" w:space="0" w:color="auto"/>
              <w:right w:val="single" w:sz="4" w:space="0" w:color="auto"/>
            </w:tcBorders>
            <w:vAlign w:val="center"/>
            <w:hideMark/>
          </w:tcPr>
          <w:p w:rsidR="008B0A24" w:rsidRDefault="008B0A24">
            <w:pPr>
              <w:rPr>
                <w:rFonts w:eastAsia="Calibri"/>
                <w:lang w:eastAsia="en-US"/>
              </w:rPr>
            </w:pPr>
          </w:p>
        </w:tc>
        <w:tc>
          <w:tcPr>
            <w:tcW w:w="2987" w:type="dxa"/>
            <w:vMerge/>
            <w:tcBorders>
              <w:top w:val="single" w:sz="4" w:space="0" w:color="auto"/>
              <w:left w:val="single" w:sz="4" w:space="0" w:color="auto"/>
              <w:bottom w:val="single" w:sz="4" w:space="0" w:color="auto"/>
              <w:right w:val="single" w:sz="4" w:space="0" w:color="auto"/>
            </w:tcBorders>
            <w:vAlign w:val="center"/>
            <w:hideMark/>
          </w:tcPr>
          <w:p w:rsidR="008B0A24" w:rsidRPr="00DB6DCD" w:rsidRDefault="008B0A24">
            <w:pP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Mokymo ir aplinkos lėšos,</w:t>
            </w:r>
          </w:p>
          <w:p w:rsidR="008B0A24" w:rsidRPr="00DB6DCD" w:rsidRDefault="008B0A24">
            <w:pPr>
              <w:jc w:val="center"/>
            </w:pPr>
            <w:r w:rsidRPr="00DB6DCD">
              <w:t>tūkst. Eur</w:t>
            </w:r>
          </w:p>
        </w:tc>
        <w:tc>
          <w:tcPr>
            <w:tcW w:w="1417"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Tenka</w:t>
            </w:r>
          </w:p>
          <w:p w:rsidR="008B0A24" w:rsidRPr="00DB6DCD" w:rsidRDefault="008B0A24">
            <w:pPr>
              <w:jc w:val="center"/>
            </w:pPr>
            <w:r w:rsidRPr="00DB6DCD">
              <w:t>l mokiniui</w:t>
            </w:r>
          </w:p>
          <w:p w:rsidR="008B0A24" w:rsidRPr="00DB6DCD" w:rsidRDefault="008B0A24">
            <w:pPr>
              <w:jc w:val="center"/>
            </w:pPr>
            <w:r w:rsidRPr="00DB6DCD">
              <w:t>Eur</w:t>
            </w:r>
          </w:p>
        </w:tc>
        <w:tc>
          <w:tcPr>
            <w:tcW w:w="1843"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Mokymo ir aplinkos lėšos, tūkst. Eur</w:t>
            </w:r>
          </w:p>
        </w:tc>
        <w:tc>
          <w:tcPr>
            <w:tcW w:w="1417"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Tenka</w:t>
            </w:r>
          </w:p>
          <w:p w:rsidR="008B0A24" w:rsidRPr="00DB6DCD" w:rsidRDefault="008B0A24">
            <w:pPr>
              <w:jc w:val="center"/>
            </w:pPr>
            <w:r w:rsidRPr="00DB6DCD">
              <w:t>l mokiniui</w:t>
            </w:r>
          </w:p>
          <w:p w:rsidR="008B0A24" w:rsidRPr="00DB6DCD" w:rsidRDefault="008B0A24">
            <w:pPr>
              <w:jc w:val="center"/>
            </w:pPr>
            <w:r w:rsidRPr="00DB6DCD">
              <w:t>Eur</w:t>
            </w:r>
          </w:p>
        </w:tc>
        <w:tc>
          <w:tcPr>
            <w:tcW w:w="1560"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Mokymo ir aplinkos lėšos,</w:t>
            </w:r>
          </w:p>
          <w:p w:rsidR="008B0A24" w:rsidRPr="00DB6DCD" w:rsidRDefault="008B0A24">
            <w:pPr>
              <w:jc w:val="center"/>
            </w:pPr>
            <w:r w:rsidRPr="00DB6DCD">
              <w:t>tūkst. Eur</w:t>
            </w:r>
          </w:p>
        </w:tc>
        <w:tc>
          <w:tcPr>
            <w:tcW w:w="1275" w:type="dxa"/>
            <w:tcBorders>
              <w:top w:val="single" w:sz="4" w:space="0" w:color="auto"/>
              <w:left w:val="single" w:sz="4" w:space="0" w:color="auto"/>
              <w:bottom w:val="single" w:sz="4" w:space="0" w:color="auto"/>
              <w:right w:val="single" w:sz="4" w:space="0" w:color="auto"/>
            </w:tcBorders>
            <w:hideMark/>
          </w:tcPr>
          <w:p w:rsidR="008B0A24" w:rsidRPr="00DB6DCD" w:rsidRDefault="008B0A24">
            <w:pPr>
              <w:jc w:val="center"/>
            </w:pPr>
            <w:r w:rsidRPr="00DB6DCD">
              <w:t>Tenka</w:t>
            </w:r>
          </w:p>
          <w:p w:rsidR="008B0A24" w:rsidRPr="00DB6DCD" w:rsidRDefault="008B0A24">
            <w:pPr>
              <w:jc w:val="center"/>
            </w:pPr>
            <w:r w:rsidRPr="00DB6DCD">
              <w:t>l mokiniui</w:t>
            </w:r>
          </w:p>
          <w:p w:rsidR="008B0A24" w:rsidRPr="00DB6DCD" w:rsidRDefault="008B0A24">
            <w:pPr>
              <w:jc w:val="center"/>
            </w:pPr>
            <w:r w:rsidRPr="00DB6DCD">
              <w:t>Eur</w:t>
            </w:r>
          </w:p>
        </w:tc>
      </w:tr>
      <w:tr w:rsidR="008B0A24" w:rsidTr="008B0A24">
        <w:trPr>
          <w:trHeight w:val="417"/>
        </w:trPr>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1.</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 xml:space="preserve">Krekenavos Mykolo Antanaičio gimnazija </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821,9</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2 914,5</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855,2</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2 908,8</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918,6</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2 766,6</w:t>
            </w:r>
          </w:p>
        </w:tc>
      </w:tr>
      <w:tr w:rsidR="008B0A24" w:rsidTr="008B0A24">
        <w:trPr>
          <w:trHeight w:val="407"/>
        </w:trPr>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2.</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Velžio gimnazija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1 201,8</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2 115,8</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1 349,7</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2 249,5</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1 505,7</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2 371,2</w:t>
            </w:r>
          </w:p>
        </w:tc>
      </w:tr>
      <w:tr w:rsidR="008B0A24" w:rsidTr="008B0A24">
        <w:trPr>
          <w:trHeight w:val="369"/>
        </w:trPr>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3.</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Ramygalos gimnazija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973,1</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2 764,5</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1 019,6</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2 888,4</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1 198,2</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3 319,1</w:t>
            </w:r>
          </w:p>
        </w:tc>
      </w:tr>
      <w:tr w:rsidR="008B0A24" w:rsidTr="008B0A24">
        <w:trPr>
          <w:trHeight w:val="373"/>
        </w:trPr>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4.</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Naujamiesčio gimnazija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609,1</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3 582,9</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626</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3 987,3</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655</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25755A">
            <w:pPr>
              <w:jc w:val="center"/>
            </w:pPr>
            <w:r>
              <w:t>4 093,8</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5.</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Paįstrio Juozo Zikaro gimnazija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936*</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2 819,3</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850,8*</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2 658,8</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910,4*</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3 251,4</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6.</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 xml:space="preserve">Raguvos gimnazija </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736,4</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3 627,6</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698,8</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3 547,2</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859,6*</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3 581,6</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 xml:space="preserve">7. </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Smilgių gimnazija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850,9*</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2 924</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897*</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3 000</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1 004,5*</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3 337,2</w:t>
            </w:r>
          </w:p>
        </w:tc>
      </w:tr>
      <w:tr w:rsidR="008B0A24" w:rsidTr="008B0A24">
        <w:trPr>
          <w:trHeight w:val="409"/>
        </w:trPr>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8.</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Vadoklių</w:t>
            </w:r>
            <w:r w:rsidRPr="00DB6DCD">
              <w:t xml:space="preserve"> </w:t>
            </w:r>
            <w:r>
              <w:t>pagrindinė mokykla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465*</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w:t>
            </w:r>
            <w:r w:rsidR="002A7CB2">
              <w:t xml:space="preserve"> </w:t>
            </w:r>
            <w:r>
              <w:t>043,5</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485,2*</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4 577,3</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540,1*</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6 280</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9.</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Dembavos progimnazija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387,3</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328,2</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424,6</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3 480,3</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432,1</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3 757,4</w:t>
            </w:r>
          </w:p>
        </w:tc>
      </w:tr>
      <w:tr w:rsidR="008B0A24" w:rsidTr="008B0A24">
        <w:trPr>
          <w:trHeight w:val="409"/>
        </w:trPr>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10.</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rsidRPr="00F02DEA">
              <w:t xml:space="preserve">Miežiškių pagrindinė </w:t>
            </w:r>
            <w:r w:rsidRPr="00F02DEA">
              <w:lastRenderedPageBreak/>
              <w:t>mokykla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lastRenderedPageBreak/>
              <w:t>384,3*</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w:t>
            </w:r>
            <w:r w:rsidR="002A7CB2">
              <w:t xml:space="preserve"> </w:t>
            </w:r>
            <w:r>
              <w:t>767,6</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436,6*</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w:t>
            </w:r>
            <w:r w:rsidR="002A7CB2">
              <w:t xml:space="preserve"> </w:t>
            </w:r>
            <w:r>
              <w:t>851,1</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453,2*</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5 460,2</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11.</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Paliūniškio</w:t>
            </w:r>
            <w:r w:rsidRPr="00F8228D">
              <w:t xml:space="preserve"> </w:t>
            </w:r>
            <w:r>
              <w:t>pagrindinė mokykla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485,8*</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4 014,8</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508,9*</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3 944,9</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678*</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3 138,9</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12.</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Upytės Antano Belazaro pagrindinė mokykl</w:t>
            </w:r>
            <w:r w:rsidR="00974013">
              <w:t>a</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473,6*</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4 228,6</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518,3*</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4 799</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548*</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4 000</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13.</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Piniavos mokykla-darželis</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436,4*</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2 582,2</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470,7*</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2 503,7</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546,8*</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2 924</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14.</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Pažagienių mokykla-darželis</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355,8*</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3 325,2</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365,7*</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3 450</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394,6*</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386,8</w:t>
            </w:r>
          </w:p>
        </w:tc>
      </w:tr>
      <w:tr w:rsidR="008B0A24" w:rsidTr="008B0A24">
        <w:tc>
          <w:tcPr>
            <w:tcW w:w="557" w:type="dxa"/>
            <w:tcBorders>
              <w:top w:val="single" w:sz="4" w:space="0" w:color="auto"/>
              <w:left w:val="single" w:sz="4" w:space="0" w:color="auto"/>
              <w:bottom w:val="single" w:sz="4" w:space="0" w:color="auto"/>
              <w:right w:val="single" w:sz="4" w:space="0" w:color="auto"/>
            </w:tcBorders>
            <w:hideMark/>
          </w:tcPr>
          <w:p w:rsidR="008B0A24" w:rsidRDefault="008B0A24">
            <w:pPr>
              <w:jc w:val="both"/>
            </w:pPr>
            <w:r>
              <w:t>15.</w:t>
            </w:r>
          </w:p>
        </w:tc>
        <w:tc>
          <w:tcPr>
            <w:tcW w:w="2987" w:type="dxa"/>
            <w:tcBorders>
              <w:top w:val="single" w:sz="4" w:space="0" w:color="auto"/>
              <w:left w:val="single" w:sz="4" w:space="0" w:color="auto"/>
              <w:bottom w:val="single" w:sz="4" w:space="0" w:color="auto"/>
              <w:right w:val="single" w:sz="4" w:space="0" w:color="auto"/>
            </w:tcBorders>
            <w:hideMark/>
          </w:tcPr>
          <w:p w:rsidR="008B0A24" w:rsidRDefault="008B0A24">
            <w:r>
              <w:t>Bernatonių mokykla-darželis</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207,2*</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4 062,7</w:t>
            </w:r>
          </w:p>
        </w:tc>
        <w:tc>
          <w:tcPr>
            <w:tcW w:w="1843"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203,4*</w:t>
            </w:r>
          </w:p>
        </w:tc>
        <w:tc>
          <w:tcPr>
            <w:tcW w:w="1417"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4 151</w:t>
            </w:r>
          </w:p>
        </w:tc>
        <w:tc>
          <w:tcPr>
            <w:tcW w:w="1560"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217,7*</w:t>
            </w:r>
          </w:p>
        </w:tc>
        <w:tc>
          <w:tcPr>
            <w:tcW w:w="1275" w:type="dxa"/>
            <w:tcBorders>
              <w:top w:val="single" w:sz="4" w:space="0" w:color="auto"/>
              <w:left w:val="single" w:sz="4" w:space="0" w:color="auto"/>
              <w:bottom w:val="single" w:sz="4" w:space="0" w:color="auto"/>
              <w:right w:val="single" w:sz="4" w:space="0" w:color="auto"/>
            </w:tcBorders>
            <w:hideMark/>
          </w:tcPr>
          <w:p w:rsidR="008B0A24" w:rsidRDefault="008B0A24">
            <w:pPr>
              <w:jc w:val="center"/>
            </w:pPr>
            <w:r>
              <w:t>4 535,4</w:t>
            </w:r>
          </w:p>
        </w:tc>
      </w:tr>
      <w:tr w:rsidR="008B0A24" w:rsidTr="008B0A24">
        <w:tc>
          <w:tcPr>
            <w:tcW w:w="12899" w:type="dxa"/>
            <w:gridSpan w:val="8"/>
            <w:tcBorders>
              <w:top w:val="single" w:sz="4" w:space="0" w:color="auto"/>
              <w:left w:val="single" w:sz="4" w:space="0" w:color="auto"/>
              <w:bottom w:val="single" w:sz="4" w:space="0" w:color="auto"/>
              <w:right w:val="single" w:sz="4" w:space="0" w:color="auto"/>
            </w:tcBorders>
            <w:hideMark/>
          </w:tcPr>
          <w:p w:rsidR="008B0A24" w:rsidRDefault="008B0A24">
            <w:pPr>
              <w:jc w:val="both"/>
            </w:pPr>
            <w:r>
              <w:t>* Mokyklos lėšos skaičiuojamos su ikimokyklinio ir priešmokyklinio ugdymo grupių išlaikymo lėšomis.</w:t>
            </w:r>
          </w:p>
        </w:tc>
      </w:tr>
    </w:tbl>
    <w:p w:rsidR="00DE0F85" w:rsidRPr="00974013" w:rsidRDefault="008B0A24" w:rsidP="00DB6DCD">
      <w:pPr>
        <w:pStyle w:val="Betarp1"/>
        <w:ind w:firstLine="720"/>
        <w:jc w:val="both"/>
        <w:rPr>
          <w:rFonts w:ascii="Times New Roman" w:hAnsi="Times New Roman"/>
          <w:sz w:val="24"/>
          <w:szCs w:val="24"/>
        </w:rPr>
      </w:pPr>
      <w:r w:rsidRPr="00974013">
        <w:rPr>
          <w:rFonts w:ascii="Times New Roman" w:hAnsi="Times New Roman"/>
          <w:sz w:val="24"/>
          <w:szCs w:val="24"/>
        </w:rPr>
        <w:t>2019–2020 m. m. savivaldybė prisidėjo biudžeto lėšomis išlaikyti šias įstaigas: Miežiškių pagrindinę mokyklą, Upytės Antano Belazaro pagrindinę mokyklą, Bernatonių mokyklą-darželį, iš viso 177,7 tūkst. eurų.</w:t>
      </w:r>
    </w:p>
    <w:p w:rsidR="00DE0F85" w:rsidRPr="00DB6DCD" w:rsidRDefault="008B0A24" w:rsidP="00DB6DCD">
      <w:pPr>
        <w:pStyle w:val="Betarp"/>
        <w:jc w:val="both"/>
        <w:rPr>
          <w:rFonts w:ascii="Times New Roman" w:hAnsi="Times New Roman"/>
          <w:sz w:val="24"/>
          <w:szCs w:val="24"/>
        </w:rPr>
      </w:pPr>
      <w:r w:rsidRPr="00DB6DCD">
        <w:rPr>
          <w:rFonts w:ascii="Times New Roman" w:hAnsi="Times New Roman"/>
          <w:sz w:val="24"/>
          <w:szCs w:val="24"/>
        </w:rPr>
        <w:t xml:space="preserve"> </w:t>
      </w:r>
    </w:p>
    <w:p w:rsidR="003A311C" w:rsidRPr="00DB6DCD" w:rsidRDefault="00D60D90" w:rsidP="00DB6DCD">
      <w:pPr>
        <w:pStyle w:val="Betarp"/>
        <w:ind w:firstLine="720"/>
        <w:jc w:val="both"/>
      </w:pPr>
      <w:r w:rsidRPr="00DB6DCD">
        <w:rPr>
          <w:rFonts w:ascii="Times New Roman" w:hAnsi="Times New Roman"/>
          <w:b/>
          <w:sz w:val="24"/>
          <w:szCs w:val="24"/>
        </w:rPr>
        <w:t xml:space="preserve">4. </w:t>
      </w:r>
      <w:r w:rsidR="00A73E2A" w:rsidRPr="00DB6DCD">
        <w:rPr>
          <w:rFonts w:ascii="Times New Roman" w:hAnsi="Times New Roman"/>
          <w:b/>
          <w:sz w:val="24"/>
          <w:szCs w:val="24"/>
        </w:rPr>
        <w:t>Mokinių vežimas</w:t>
      </w:r>
      <w:r w:rsidR="00003A8F" w:rsidRPr="00DB6DCD">
        <w:rPr>
          <w:rFonts w:ascii="Times New Roman" w:hAnsi="Times New Roman"/>
          <w:sz w:val="24"/>
          <w:szCs w:val="24"/>
        </w:rPr>
        <w:t xml:space="preserve">  </w:t>
      </w:r>
    </w:p>
    <w:p w:rsidR="003A311C" w:rsidRPr="00981FB0" w:rsidRDefault="003A311C" w:rsidP="00DB6DCD">
      <w:pPr>
        <w:pStyle w:val="Betarp"/>
        <w:ind w:firstLine="720"/>
        <w:jc w:val="both"/>
      </w:pPr>
      <w:r w:rsidRPr="00DB6DCD">
        <w:rPr>
          <w:rFonts w:ascii="Times New Roman" w:hAnsi="Times New Roman"/>
          <w:sz w:val="24"/>
          <w:szCs w:val="24"/>
        </w:rPr>
        <w:t>Savivaldybė organizuoja mokinių, ugdomų pagal priešmokyklinio ir bendrojo ugdymo programas ir gyvenančių toliau kaip 3 km nuo mokyklos, vežimą į mokyklą. Mažėjant mokyklų skaičiui, didėja vežamų mokinių skaičius, taip pat didėja vežimo atstumai.</w:t>
      </w:r>
    </w:p>
    <w:p w:rsidR="003A311C" w:rsidRPr="00981FB0" w:rsidRDefault="003A311C" w:rsidP="00DB6DCD">
      <w:pPr>
        <w:pStyle w:val="Betarp"/>
        <w:ind w:firstLine="720"/>
        <w:jc w:val="both"/>
      </w:pPr>
      <w:r w:rsidRPr="00DB6DCD">
        <w:rPr>
          <w:rFonts w:ascii="Times New Roman" w:hAnsi="Times New Roman"/>
          <w:sz w:val="24"/>
          <w:szCs w:val="24"/>
        </w:rPr>
        <w:t>2019 m. buvo vežama 1 788 mokiniai, tai sudarė 57,4 proc. visų švietimo įstaigose besimokančių pagal priešmokyklinio ir bendrojo ugdymo programas mokinių.</w:t>
      </w:r>
    </w:p>
    <w:p w:rsidR="003A311C" w:rsidRDefault="003A311C" w:rsidP="00DB6DCD">
      <w:pPr>
        <w:pStyle w:val="Betarp"/>
        <w:ind w:firstLine="720"/>
        <w:jc w:val="both"/>
      </w:pPr>
      <w:r w:rsidRPr="00DB6DCD">
        <w:rPr>
          <w:rFonts w:ascii="Times New Roman" w:hAnsi="Times New Roman"/>
          <w:sz w:val="24"/>
          <w:szCs w:val="24"/>
        </w:rPr>
        <w:t>Savivaldybė dalyvauja Mokyklų aprūpinimo geltonaisiais autobusais programoje. 2020 m. gautas 1 geltonasis autobusas, kuriuo vežami Krekenavos Mykolo Antanaičio gimnazijos mokiniai. Iš viso Panevėžio rajono mokinius veža 16 geltonųjų a</w:t>
      </w:r>
      <w:r w:rsidR="00312004" w:rsidRPr="00DB6DCD">
        <w:rPr>
          <w:rFonts w:ascii="Times New Roman" w:hAnsi="Times New Roman"/>
          <w:sz w:val="24"/>
          <w:szCs w:val="24"/>
        </w:rPr>
        <w:t>utobusų ir 17 mokyklinių</w:t>
      </w:r>
      <w:r w:rsidRPr="00DB6DCD">
        <w:rPr>
          <w:rFonts w:ascii="Times New Roman" w:hAnsi="Times New Roman"/>
          <w:sz w:val="24"/>
          <w:szCs w:val="24"/>
        </w:rPr>
        <w:t xml:space="preserve"> autobusų, mokinių vežimui naudojamasi maršrutinių autobusų teikiamomis paslaugomis, taip pat mokiniai vežami privačiu transportu ar kitais vežiojimo būdais. Savivaldybėje nėra nepavežamų mokinių, kurie kaimuose ir miesteliuose gyvena toliau kaip 3 km nuo mokyklos.</w:t>
      </w:r>
    </w:p>
    <w:p w:rsidR="00BD3DE9" w:rsidRPr="00DB6DCD" w:rsidRDefault="00BD3DE9" w:rsidP="00DB6DCD">
      <w:pPr>
        <w:pStyle w:val="Betarp"/>
        <w:ind w:firstLine="720"/>
        <w:jc w:val="both"/>
        <w:rPr>
          <w:rFonts w:ascii="Times New Roman" w:hAnsi="Times New Roman"/>
          <w:sz w:val="24"/>
          <w:szCs w:val="24"/>
        </w:rPr>
      </w:pPr>
    </w:p>
    <w:p w:rsidR="003A311C" w:rsidRPr="00981FB0" w:rsidRDefault="00CC343A" w:rsidP="00DB6DCD">
      <w:pPr>
        <w:pStyle w:val="Betarp"/>
        <w:ind w:firstLine="720"/>
        <w:jc w:val="both"/>
      </w:pPr>
      <w:r>
        <w:rPr>
          <w:rFonts w:ascii="Times New Roman" w:hAnsi="Times New Roman"/>
          <w:sz w:val="24"/>
          <w:szCs w:val="24"/>
        </w:rPr>
        <w:t>9</w:t>
      </w:r>
      <w:r w:rsidR="003A311C" w:rsidRPr="00DB6DCD">
        <w:rPr>
          <w:rFonts w:ascii="Times New Roman" w:hAnsi="Times New Roman"/>
          <w:sz w:val="24"/>
          <w:szCs w:val="24"/>
        </w:rPr>
        <w:t xml:space="preserve"> lentelė. Mokinių vežimas 2016–2020 m. </w:t>
      </w:r>
    </w:p>
    <w:tbl>
      <w:tblPr>
        <w:tblW w:w="126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0"/>
        <w:gridCol w:w="1134"/>
        <w:gridCol w:w="1134"/>
        <w:gridCol w:w="1134"/>
        <w:gridCol w:w="1134"/>
        <w:gridCol w:w="1021"/>
      </w:tblGrid>
      <w:tr w:rsidR="003A311C" w:rsidTr="00DB6DCD">
        <w:tc>
          <w:tcPr>
            <w:tcW w:w="7140" w:type="dxa"/>
            <w:tcBorders>
              <w:top w:val="single" w:sz="4" w:space="0" w:color="auto"/>
              <w:left w:val="single" w:sz="4" w:space="0" w:color="auto"/>
              <w:bottom w:val="single" w:sz="4" w:space="0" w:color="auto"/>
              <w:right w:val="single" w:sz="4" w:space="0" w:color="auto"/>
            </w:tcBorders>
            <w:shd w:val="clear" w:color="auto" w:fill="D9D9D9"/>
          </w:tcPr>
          <w:p w:rsidR="003A311C" w:rsidRDefault="003A311C">
            <w:pPr>
              <w:spacing w:line="276" w:lineRule="auto"/>
              <w:jc w:val="both"/>
              <w:rPr>
                <w:b/>
                <w:color w:val="FFFFFF"/>
              </w:rPr>
            </w:pPr>
          </w:p>
        </w:tc>
        <w:tc>
          <w:tcPr>
            <w:tcW w:w="1134" w:type="dxa"/>
            <w:tcBorders>
              <w:top w:val="single" w:sz="4" w:space="0" w:color="auto"/>
              <w:left w:val="single" w:sz="4" w:space="0" w:color="auto"/>
              <w:bottom w:val="single" w:sz="4" w:space="0" w:color="auto"/>
              <w:right w:val="single" w:sz="4" w:space="0" w:color="auto"/>
            </w:tcBorders>
            <w:hideMark/>
          </w:tcPr>
          <w:p w:rsidR="003A311C" w:rsidRPr="00DB6DCD" w:rsidRDefault="003A311C">
            <w:pPr>
              <w:spacing w:line="276" w:lineRule="auto"/>
              <w:jc w:val="center"/>
            </w:pPr>
            <w:r w:rsidRPr="00DB6DCD">
              <w:t>2016 m.</w:t>
            </w:r>
          </w:p>
        </w:tc>
        <w:tc>
          <w:tcPr>
            <w:tcW w:w="1134" w:type="dxa"/>
            <w:tcBorders>
              <w:top w:val="single" w:sz="4" w:space="0" w:color="auto"/>
              <w:left w:val="single" w:sz="4" w:space="0" w:color="auto"/>
              <w:bottom w:val="single" w:sz="4" w:space="0" w:color="auto"/>
              <w:right w:val="single" w:sz="4" w:space="0" w:color="auto"/>
            </w:tcBorders>
            <w:hideMark/>
          </w:tcPr>
          <w:p w:rsidR="003A311C" w:rsidRPr="00DB6DCD" w:rsidRDefault="003A311C">
            <w:pPr>
              <w:spacing w:line="276" w:lineRule="auto"/>
              <w:jc w:val="center"/>
            </w:pPr>
            <w:r w:rsidRPr="00DB6DCD">
              <w:t>2017 m.</w:t>
            </w:r>
          </w:p>
        </w:tc>
        <w:tc>
          <w:tcPr>
            <w:tcW w:w="1134" w:type="dxa"/>
            <w:tcBorders>
              <w:top w:val="single" w:sz="4" w:space="0" w:color="auto"/>
              <w:left w:val="single" w:sz="4" w:space="0" w:color="auto"/>
              <w:bottom w:val="single" w:sz="4" w:space="0" w:color="auto"/>
              <w:right w:val="single" w:sz="4" w:space="0" w:color="auto"/>
            </w:tcBorders>
            <w:hideMark/>
          </w:tcPr>
          <w:p w:rsidR="003A311C" w:rsidRPr="00DB6DCD" w:rsidRDefault="003A311C">
            <w:pPr>
              <w:spacing w:line="276" w:lineRule="auto"/>
              <w:jc w:val="center"/>
            </w:pPr>
            <w:r w:rsidRPr="00DB6DCD">
              <w:t>2018 m.</w:t>
            </w:r>
          </w:p>
        </w:tc>
        <w:tc>
          <w:tcPr>
            <w:tcW w:w="1134" w:type="dxa"/>
            <w:tcBorders>
              <w:top w:val="single" w:sz="4" w:space="0" w:color="auto"/>
              <w:left w:val="single" w:sz="4" w:space="0" w:color="auto"/>
              <w:bottom w:val="single" w:sz="4" w:space="0" w:color="auto"/>
              <w:right w:val="single" w:sz="4" w:space="0" w:color="auto"/>
            </w:tcBorders>
            <w:hideMark/>
          </w:tcPr>
          <w:p w:rsidR="003A311C" w:rsidRPr="00DB6DCD" w:rsidRDefault="003A311C">
            <w:pPr>
              <w:spacing w:line="276" w:lineRule="auto"/>
              <w:jc w:val="center"/>
            </w:pPr>
            <w:r w:rsidRPr="00DB6DCD">
              <w:t>2019 m.</w:t>
            </w:r>
          </w:p>
        </w:tc>
        <w:tc>
          <w:tcPr>
            <w:tcW w:w="1021" w:type="dxa"/>
            <w:tcBorders>
              <w:top w:val="single" w:sz="4" w:space="0" w:color="auto"/>
              <w:left w:val="single" w:sz="4" w:space="0" w:color="auto"/>
              <w:bottom w:val="single" w:sz="4" w:space="0" w:color="auto"/>
              <w:right w:val="single" w:sz="4" w:space="0" w:color="auto"/>
            </w:tcBorders>
            <w:hideMark/>
          </w:tcPr>
          <w:p w:rsidR="003A311C" w:rsidRPr="00DB6DCD" w:rsidRDefault="003A311C">
            <w:pPr>
              <w:spacing w:line="276" w:lineRule="auto"/>
              <w:jc w:val="center"/>
            </w:pPr>
            <w:r w:rsidRPr="00DB6DCD">
              <w:t>2020 m.</w:t>
            </w:r>
          </w:p>
        </w:tc>
      </w:tr>
      <w:tr w:rsidR="003A311C" w:rsidTr="00DB6DCD">
        <w:tc>
          <w:tcPr>
            <w:tcW w:w="7140"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pPr>
            <w:r>
              <w:t>Bendras vežamų mokinių skaičius</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1 783</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1 841</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1 784</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1 788</w:t>
            </w:r>
          </w:p>
        </w:tc>
        <w:tc>
          <w:tcPr>
            <w:tcW w:w="1021"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1 821</w:t>
            </w:r>
          </w:p>
        </w:tc>
      </w:tr>
      <w:tr w:rsidR="003A311C" w:rsidTr="00DB6DCD">
        <w:tc>
          <w:tcPr>
            <w:tcW w:w="7140"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pPr>
            <w:r>
              <w:t>Mokiniai, vežami mokyklų transportu</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694</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699</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696</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789</w:t>
            </w:r>
          </w:p>
        </w:tc>
        <w:tc>
          <w:tcPr>
            <w:tcW w:w="1021"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819</w:t>
            </w:r>
          </w:p>
        </w:tc>
      </w:tr>
      <w:tr w:rsidR="003A311C" w:rsidTr="00DB6DCD">
        <w:tc>
          <w:tcPr>
            <w:tcW w:w="7140"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pPr>
            <w:r>
              <w:t>Mokiniai, vežami geltonaisiais autobusais</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471</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464</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447</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394</w:t>
            </w:r>
          </w:p>
        </w:tc>
        <w:tc>
          <w:tcPr>
            <w:tcW w:w="1021"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445</w:t>
            </w:r>
          </w:p>
        </w:tc>
      </w:tr>
      <w:tr w:rsidR="003A311C" w:rsidTr="00DB6DCD">
        <w:tc>
          <w:tcPr>
            <w:tcW w:w="7140"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pPr>
            <w:r>
              <w:t>Mokiniai, vežami maršrutiniu transportu</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272</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227</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227</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257</w:t>
            </w:r>
          </w:p>
        </w:tc>
        <w:tc>
          <w:tcPr>
            <w:tcW w:w="1021"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288</w:t>
            </w:r>
          </w:p>
        </w:tc>
      </w:tr>
      <w:tr w:rsidR="003A311C" w:rsidTr="00DB6DCD">
        <w:tc>
          <w:tcPr>
            <w:tcW w:w="7140"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pPr>
            <w:r>
              <w:t>Mokiniai, vežami privačiu transportu</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97</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290</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138</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118</w:t>
            </w:r>
          </w:p>
        </w:tc>
        <w:tc>
          <w:tcPr>
            <w:tcW w:w="1021"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107</w:t>
            </w:r>
          </w:p>
        </w:tc>
      </w:tr>
      <w:tr w:rsidR="003A311C" w:rsidTr="00DB6DCD">
        <w:tc>
          <w:tcPr>
            <w:tcW w:w="7140"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pPr>
            <w:r>
              <w:t>Mokiniai, vežami kitais vežiojimo būdais</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249</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161</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276</w:t>
            </w:r>
          </w:p>
        </w:tc>
        <w:tc>
          <w:tcPr>
            <w:tcW w:w="1134"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230</w:t>
            </w:r>
          </w:p>
        </w:tc>
        <w:tc>
          <w:tcPr>
            <w:tcW w:w="1021" w:type="dxa"/>
            <w:tcBorders>
              <w:top w:val="single" w:sz="4" w:space="0" w:color="auto"/>
              <w:left w:val="single" w:sz="4" w:space="0" w:color="auto"/>
              <w:bottom w:val="single" w:sz="4" w:space="0" w:color="auto"/>
              <w:right w:val="single" w:sz="4" w:space="0" w:color="auto"/>
            </w:tcBorders>
            <w:hideMark/>
          </w:tcPr>
          <w:p w:rsidR="003A311C" w:rsidRDefault="003A311C">
            <w:pPr>
              <w:spacing w:line="276" w:lineRule="auto"/>
              <w:jc w:val="center"/>
            </w:pPr>
            <w:r>
              <w:t>162</w:t>
            </w:r>
          </w:p>
        </w:tc>
      </w:tr>
    </w:tbl>
    <w:p w:rsidR="003A311C" w:rsidRPr="00DB6DCD" w:rsidRDefault="00CC343A" w:rsidP="00DB6DCD">
      <w:pPr>
        <w:pStyle w:val="Betarp1"/>
        <w:ind w:firstLine="720"/>
        <w:rPr>
          <w:rFonts w:ascii="Times New Roman" w:hAnsi="Times New Roman"/>
          <w:sz w:val="24"/>
          <w:szCs w:val="24"/>
          <w:lang w:eastAsia="lt-LT"/>
        </w:rPr>
      </w:pPr>
      <w:r>
        <w:rPr>
          <w:rFonts w:ascii="Times New Roman" w:hAnsi="Times New Roman"/>
          <w:sz w:val="24"/>
          <w:szCs w:val="24"/>
        </w:rPr>
        <w:lastRenderedPageBreak/>
        <w:t>9</w:t>
      </w:r>
      <w:r w:rsidR="003A311C" w:rsidRPr="00DB6DCD">
        <w:rPr>
          <w:rFonts w:ascii="Times New Roman" w:hAnsi="Times New Roman"/>
          <w:sz w:val="24"/>
          <w:szCs w:val="24"/>
        </w:rPr>
        <w:t xml:space="preserve"> lentelė</w:t>
      </w:r>
      <w:r w:rsidR="00BB78EB" w:rsidRPr="00DB6DCD">
        <w:rPr>
          <w:rFonts w:ascii="Times New Roman" w:hAnsi="Times New Roman"/>
          <w:sz w:val="24"/>
          <w:szCs w:val="24"/>
        </w:rPr>
        <w:t>s diagrama</w:t>
      </w:r>
    </w:p>
    <w:p w:rsidR="00FD54DB" w:rsidRPr="00DB6DCD" w:rsidRDefault="00997C5F" w:rsidP="002E1B14">
      <w:pPr>
        <w:ind w:right="-164"/>
        <w:jc w:val="both"/>
      </w:pPr>
      <w:r w:rsidRPr="00DC5FDE">
        <w:rPr>
          <w:rFonts w:ascii="Calibri" w:eastAsia="Calibri" w:hAnsi="Calibri"/>
          <w:b/>
          <w:noProof/>
          <w:color w:val="FF0000"/>
          <w:sz w:val="22"/>
          <w:szCs w:val="22"/>
        </w:rPr>
        <w:drawing>
          <wp:inline distT="0" distB="0" distL="0" distR="0">
            <wp:extent cx="8143875" cy="2209165"/>
            <wp:effectExtent l="19050" t="0" r="9525" b="635"/>
            <wp:docPr id="3" name="Objekta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06C07" w:rsidRDefault="00306C07" w:rsidP="00DB6DCD">
      <w:pPr>
        <w:pStyle w:val="Betarp"/>
        <w:ind w:firstLine="720"/>
        <w:jc w:val="both"/>
        <w:rPr>
          <w:rFonts w:ascii="Times New Roman" w:hAnsi="Times New Roman"/>
          <w:b/>
          <w:sz w:val="24"/>
          <w:szCs w:val="24"/>
        </w:rPr>
      </w:pPr>
    </w:p>
    <w:p w:rsidR="00FD54DB" w:rsidRDefault="00FD54DB" w:rsidP="00DB6DCD">
      <w:pPr>
        <w:pStyle w:val="Betarp"/>
        <w:ind w:firstLine="720"/>
        <w:jc w:val="both"/>
        <w:rPr>
          <w:b/>
        </w:rPr>
      </w:pPr>
      <w:r w:rsidRPr="00DB6DCD">
        <w:rPr>
          <w:rFonts w:ascii="Times New Roman" w:hAnsi="Times New Roman"/>
          <w:b/>
          <w:sz w:val="24"/>
          <w:szCs w:val="24"/>
        </w:rPr>
        <w:t xml:space="preserve">5. Neformaliojo vaikų švietimo </w:t>
      </w:r>
      <w:r w:rsidR="00FD49CE" w:rsidRPr="00DB6DCD">
        <w:rPr>
          <w:rFonts w:ascii="Times New Roman" w:hAnsi="Times New Roman"/>
          <w:b/>
          <w:sz w:val="24"/>
          <w:szCs w:val="24"/>
        </w:rPr>
        <w:t xml:space="preserve">(NVŠ) </w:t>
      </w:r>
      <w:r w:rsidRPr="00DB6DCD">
        <w:rPr>
          <w:rFonts w:ascii="Times New Roman" w:hAnsi="Times New Roman"/>
          <w:b/>
          <w:sz w:val="24"/>
          <w:szCs w:val="24"/>
        </w:rPr>
        <w:t xml:space="preserve">įgyvendinimas   </w:t>
      </w:r>
    </w:p>
    <w:p w:rsidR="00BD3DE9" w:rsidRPr="00DB6DCD" w:rsidRDefault="00BD3DE9" w:rsidP="00DB6DCD">
      <w:pPr>
        <w:pStyle w:val="Betarp"/>
        <w:ind w:firstLine="720"/>
        <w:jc w:val="both"/>
        <w:rPr>
          <w:rFonts w:ascii="Times New Roman" w:hAnsi="Times New Roman"/>
          <w:sz w:val="24"/>
          <w:szCs w:val="24"/>
        </w:rPr>
      </w:pPr>
    </w:p>
    <w:p w:rsidR="00FD54DB" w:rsidRPr="00F8228D" w:rsidRDefault="00CC343A" w:rsidP="00DB6DCD">
      <w:pPr>
        <w:pStyle w:val="Betarp"/>
        <w:ind w:firstLine="720"/>
        <w:jc w:val="both"/>
        <w:rPr>
          <w:rFonts w:ascii="Times New Roman" w:hAnsi="Times New Roman"/>
          <w:sz w:val="24"/>
          <w:szCs w:val="24"/>
        </w:rPr>
      </w:pPr>
      <w:r>
        <w:rPr>
          <w:rFonts w:ascii="Times New Roman" w:hAnsi="Times New Roman"/>
          <w:sz w:val="24"/>
          <w:szCs w:val="24"/>
        </w:rPr>
        <w:t>10</w:t>
      </w:r>
      <w:r w:rsidR="00FD54DB" w:rsidRPr="00F8228D">
        <w:rPr>
          <w:rFonts w:ascii="Times New Roman" w:hAnsi="Times New Roman"/>
          <w:sz w:val="24"/>
          <w:szCs w:val="24"/>
        </w:rPr>
        <w:t xml:space="preserve"> lentelė</w:t>
      </w:r>
      <w:r w:rsidR="004F0371" w:rsidRPr="00F8228D">
        <w:rPr>
          <w:rFonts w:ascii="Times New Roman" w:hAnsi="Times New Roman"/>
          <w:sz w:val="24"/>
          <w:szCs w:val="24"/>
        </w:rPr>
        <w:t>.</w:t>
      </w:r>
      <w:r w:rsidR="00CA4698" w:rsidRPr="00F8228D">
        <w:rPr>
          <w:rFonts w:ascii="Times New Roman" w:hAnsi="Times New Roman"/>
          <w:sz w:val="24"/>
          <w:szCs w:val="24"/>
        </w:rPr>
        <w:t xml:space="preserve"> NVŠ</w:t>
      </w:r>
    </w:p>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260"/>
        <w:gridCol w:w="1890"/>
        <w:gridCol w:w="1890"/>
        <w:gridCol w:w="1710"/>
        <w:gridCol w:w="2820"/>
      </w:tblGrid>
      <w:tr w:rsidR="00FD54DB" w:rsidRPr="00FD54DB" w:rsidTr="00F1596E">
        <w:tc>
          <w:tcPr>
            <w:tcW w:w="3330" w:type="dxa"/>
            <w:tcBorders>
              <w:top w:val="single" w:sz="4" w:space="0" w:color="auto"/>
              <w:left w:val="single" w:sz="4" w:space="0" w:color="auto"/>
              <w:bottom w:val="single" w:sz="4" w:space="0" w:color="auto"/>
              <w:right w:val="single" w:sz="4" w:space="0" w:color="auto"/>
            </w:tcBorders>
            <w:hideMark/>
          </w:tcPr>
          <w:p w:rsidR="00FD54DB" w:rsidRPr="00DB6DCD" w:rsidRDefault="00CA4698" w:rsidP="00FD54DB">
            <w:pPr>
              <w:spacing w:after="160" w:line="259" w:lineRule="auto"/>
              <w:jc w:val="center"/>
              <w:rPr>
                <w:rFonts w:eastAsia="Calibri"/>
                <w:lang w:eastAsia="en-US"/>
              </w:rPr>
            </w:pPr>
            <w:r>
              <w:rPr>
                <w:rFonts w:eastAsia="Calibri"/>
                <w:lang w:eastAsia="en-US"/>
              </w:rPr>
              <w:t>Rodiklis</w:t>
            </w:r>
          </w:p>
        </w:tc>
        <w:tc>
          <w:tcPr>
            <w:tcW w:w="1260" w:type="dxa"/>
            <w:tcBorders>
              <w:top w:val="single" w:sz="4" w:space="0" w:color="auto"/>
              <w:left w:val="single" w:sz="4" w:space="0" w:color="auto"/>
              <w:bottom w:val="single" w:sz="4" w:space="0" w:color="auto"/>
              <w:right w:val="single" w:sz="4" w:space="0" w:color="auto"/>
            </w:tcBorders>
            <w:hideMark/>
          </w:tcPr>
          <w:p w:rsidR="00FD54DB" w:rsidRPr="00DB6DCD" w:rsidRDefault="00FD54DB" w:rsidP="00FD54DB">
            <w:pPr>
              <w:spacing w:after="160" w:line="259" w:lineRule="auto"/>
              <w:jc w:val="center"/>
              <w:rPr>
                <w:rFonts w:eastAsia="Calibri"/>
                <w:lang w:eastAsia="en-US"/>
              </w:rPr>
            </w:pPr>
            <w:r w:rsidRPr="00DB6DCD">
              <w:rPr>
                <w:rFonts w:eastAsia="Calibri"/>
                <w:lang w:eastAsia="en-US"/>
              </w:rPr>
              <w:t>2016</w:t>
            </w:r>
            <w:r w:rsidR="00CA4698">
              <w:rPr>
                <w:rFonts w:eastAsia="Calibri"/>
                <w:lang w:eastAsia="en-US"/>
              </w:rPr>
              <w:t xml:space="preserve"> m.</w:t>
            </w:r>
          </w:p>
        </w:tc>
        <w:tc>
          <w:tcPr>
            <w:tcW w:w="1890" w:type="dxa"/>
            <w:tcBorders>
              <w:top w:val="single" w:sz="4" w:space="0" w:color="auto"/>
              <w:left w:val="single" w:sz="4" w:space="0" w:color="auto"/>
              <w:bottom w:val="single" w:sz="4" w:space="0" w:color="auto"/>
              <w:right w:val="single" w:sz="4" w:space="0" w:color="auto"/>
            </w:tcBorders>
            <w:hideMark/>
          </w:tcPr>
          <w:p w:rsidR="00FD54DB" w:rsidRPr="00DB6DCD" w:rsidRDefault="00FD54DB" w:rsidP="00FD54DB">
            <w:pPr>
              <w:spacing w:after="160" w:line="259" w:lineRule="auto"/>
              <w:jc w:val="center"/>
              <w:rPr>
                <w:rFonts w:eastAsia="Calibri"/>
                <w:lang w:eastAsia="en-US"/>
              </w:rPr>
            </w:pPr>
            <w:r w:rsidRPr="00DB6DCD">
              <w:rPr>
                <w:rFonts w:eastAsia="Calibri"/>
                <w:lang w:eastAsia="en-US"/>
              </w:rPr>
              <w:t>2017</w:t>
            </w:r>
            <w:r w:rsidR="00CA4698">
              <w:rPr>
                <w:rFonts w:eastAsia="Calibri"/>
                <w:lang w:eastAsia="en-US"/>
              </w:rPr>
              <w:t xml:space="preserve"> m.</w:t>
            </w:r>
          </w:p>
        </w:tc>
        <w:tc>
          <w:tcPr>
            <w:tcW w:w="1890" w:type="dxa"/>
            <w:tcBorders>
              <w:top w:val="single" w:sz="4" w:space="0" w:color="auto"/>
              <w:left w:val="single" w:sz="4" w:space="0" w:color="auto"/>
              <w:bottom w:val="single" w:sz="4" w:space="0" w:color="auto"/>
              <w:right w:val="single" w:sz="4" w:space="0" w:color="auto"/>
            </w:tcBorders>
            <w:shd w:val="clear" w:color="auto" w:fill="FFFFFF"/>
            <w:hideMark/>
          </w:tcPr>
          <w:p w:rsidR="00FD54DB" w:rsidRPr="00DB6DCD" w:rsidRDefault="00FD54DB" w:rsidP="00FD54DB">
            <w:pPr>
              <w:spacing w:after="160" w:line="259" w:lineRule="auto"/>
              <w:jc w:val="center"/>
              <w:rPr>
                <w:rFonts w:eastAsia="Calibri"/>
                <w:lang w:eastAsia="en-US"/>
              </w:rPr>
            </w:pPr>
            <w:r w:rsidRPr="00DB6DCD">
              <w:rPr>
                <w:rFonts w:eastAsia="Calibri"/>
                <w:lang w:eastAsia="en-US"/>
              </w:rPr>
              <w:t>2018</w:t>
            </w:r>
            <w:r w:rsidR="00CA4698">
              <w:rPr>
                <w:rFonts w:eastAsia="Calibri"/>
                <w:lang w:eastAsia="en-US"/>
              </w:rPr>
              <w:t xml:space="preserve"> m.</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FD54DB" w:rsidRPr="00DB6DCD" w:rsidRDefault="00FD54DB" w:rsidP="00FD54DB">
            <w:pPr>
              <w:spacing w:after="160" w:line="259" w:lineRule="auto"/>
              <w:jc w:val="center"/>
              <w:rPr>
                <w:rFonts w:eastAsia="Calibri"/>
                <w:lang w:eastAsia="en-US"/>
              </w:rPr>
            </w:pPr>
            <w:r w:rsidRPr="00DB6DCD">
              <w:rPr>
                <w:rFonts w:eastAsia="Calibri"/>
                <w:lang w:eastAsia="en-US"/>
              </w:rPr>
              <w:t>2019</w:t>
            </w:r>
            <w:r w:rsidR="00CA4698">
              <w:rPr>
                <w:rFonts w:eastAsia="Calibri"/>
                <w:lang w:eastAsia="en-US"/>
              </w:rPr>
              <w:t xml:space="preserve"> m.</w:t>
            </w:r>
          </w:p>
        </w:tc>
        <w:tc>
          <w:tcPr>
            <w:tcW w:w="2820" w:type="dxa"/>
            <w:tcBorders>
              <w:top w:val="single" w:sz="4" w:space="0" w:color="auto"/>
              <w:left w:val="single" w:sz="4" w:space="0" w:color="auto"/>
              <w:bottom w:val="single" w:sz="4" w:space="0" w:color="auto"/>
              <w:right w:val="single" w:sz="4" w:space="0" w:color="auto"/>
            </w:tcBorders>
            <w:hideMark/>
          </w:tcPr>
          <w:p w:rsidR="00FD54DB" w:rsidRPr="00DB6DCD" w:rsidRDefault="00FD54DB" w:rsidP="00FD54DB">
            <w:pPr>
              <w:spacing w:after="160" w:line="259" w:lineRule="auto"/>
              <w:jc w:val="center"/>
              <w:rPr>
                <w:rFonts w:eastAsia="Calibri"/>
                <w:lang w:eastAsia="en-US"/>
              </w:rPr>
            </w:pPr>
            <w:r w:rsidRPr="00DB6DCD">
              <w:rPr>
                <w:rFonts w:eastAsia="Calibri"/>
                <w:lang w:eastAsia="en-US"/>
              </w:rPr>
              <w:t>Išvados</w:t>
            </w:r>
          </w:p>
        </w:tc>
      </w:tr>
      <w:tr w:rsidR="00FD54DB" w:rsidRPr="00FD54DB" w:rsidTr="00F1596E">
        <w:tc>
          <w:tcPr>
            <w:tcW w:w="333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pStyle w:val="Betarp"/>
              <w:rPr>
                <w:rFonts w:ascii="Times New Roman" w:hAnsi="Times New Roman"/>
                <w:sz w:val="24"/>
                <w:szCs w:val="24"/>
              </w:rPr>
            </w:pPr>
            <w:r w:rsidRPr="00FD54DB">
              <w:rPr>
                <w:rFonts w:ascii="Times New Roman" w:hAnsi="Times New Roman"/>
                <w:sz w:val="24"/>
                <w:szCs w:val="24"/>
              </w:rPr>
              <w:t>Mokosi mokinių</w:t>
            </w:r>
            <w:r w:rsidR="00FD49CE">
              <w:rPr>
                <w:rFonts w:ascii="Times New Roman" w:hAnsi="Times New Roman"/>
                <w:sz w:val="24"/>
                <w:szCs w:val="24"/>
              </w:rPr>
              <w:t xml:space="preserve"> M</w:t>
            </w:r>
            <w:r w:rsidRPr="00FD54DB">
              <w:rPr>
                <w:rFonts w:ascii="Times New Roman" w:hAnsi="Times New Roman"/>
                <w:sz w:val="24"/>
                <w:szCs w:val="24"/>
              </w:rPr>
              <w:t>uzik</w:t>
            </w:r>
            <w:r w:rsidR="005D082B">
              <w:rPr>
                <w:rFonts w:ascii="Times New Roman" w:hAnsi="Times New Roman"/>
                <w:sz w:val="24"/>
                <w:szCs w:val="24"/>
              </w:rPr>
              <w:t xml:space="preserve">os mokykloje (skaičius ir proc. </w:t>
            </w:r>
            <w:r w:rsidRPr="00FD54DB">
              <w:rPr>
                <w:rFonts w:ascii="Times New Roman" w:hAnsi="Times New Roman"/>
                <w:sz w:val="24"/>
                <w:szCs w:val="24"/>
              </w:rPr>
              <w:t>nuo bendro mokinių skaičiaus)</w:t>
            </w:r>
          </w:p>
        </w:tc>
        <w:tc>
          <w:tcPr>
            <w:tcW w:w="126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212</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6,6 proc.</w:t>
            </w:r>
          </w:p>
        </w:tc>
        <w:tc>
          <w:tcPr>
            <w:tcW w:w="189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210</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6,7 proc.</w:t>
            </w:r>
          </w:p>
        </w:tc>
        <w:tc>
          <w:tcPr>
            <w:tcW w:w="1890" w:type="dxa"/>
            <w:tcBorders>
              <w:top w:val="single" w:sz="4" w:space="0" w:color="auto"/>
              <w:left w:val="single" w:sz="4" w:space="0" w:color="auto"/>
              <w:bottom w:val="single" w:sz="4" w:space="0" w:color="auto"/>
              <w:right w:val="single" w:sz="4" w:space="0" w:color="auto"/>
            </w:tcBorders>
            <w:shd w:val="clear" w:color="auto" w:fill="FFFFFF"/>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212</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6,9 proc.</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213</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(7,3 proc.)</w:t>
            </w:r>
          </w:p>
        </w:tc>
        <w:tc>
          <w:tcPr>
            <w:tcW w:w="282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pStyle w:val="Betarp"/>
              <w:rPr>
                <w:rFonts w:ascii="Times New Roman" w:hAnsi="Times New Roman"/>
                <w:sz w:val="24"/>
                <w:szCs w:val="24"/>
              </w:rPr>
            </w:pPr>
            <w:r w:rsidRPr="00FD54DB">
              <w:rPr>
                <w:rFonts w:ascii="Times New Roman" w:hAnsi="Times New Roman"/>
                <w:sz w:val="24"/>
                <w:szCs w:val="24"/>
              </w:rPr>
              <w:t>Mokinių skaičius stabilus</w:t>
            </w:r>
          </w:p>
        </w:tc>
      </w:tr>
      <w:tr w:rsidR="00FD54DB" w:rsidRPr="00FD54DB" w:rsidTr="00F1596E">
        <w:trPr>
          <w:trHeight w:val="550"/>
        </w:trPr>
        <w:tc>
          <w:tcPr>
            <w:tcW w:w="333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rPr>
                <w:rFonts w:eastAsia="Calibri"/>
                <w:lang w:eastAsia="en-US"/>
              </w:rPr>
            </w:pPr>
            <w:r w:rsidRPr="00FD54DB">
              <w:rPr>
                <w:rFonts w:eastAsia="Calibri"/>
                <w:lang w:eastAsia="en-US"/>
              </w:rPr>
              <w:t xml:space="preserve">Lanko </w:t>
            </w:r>
            <w:r w:rsidRPr="00CA4698">
              <w:rPr>
                <w:rFonts w:eastAsia="Calibri"/>
                <w:lang w:eastAsia="en-US"/>
              </w:rPr>
              <w:t>būrelius</w:t>
            </w:r>
            <w:r w:rsidR="00FD49CE">
              <w:rPr>
                <w:rFonts w:eastAsia="Calibri"/>
                <w:lang w:eastAsia="en-US"/>
              </w:rPr>
              <w:t xml:space="preserve"> </w:t>
            </w:r>
            <w:r w:rsidRPr="00FD54DB">
              <w:rPr>
                <w:rFonts w:eastAsia="Calibri"/>
                <w:lang w:eastAsia="en-US"/>
              </w:rPr>
              <w:t>(skaičius ir proc. nuo bendro mokinių skaičiaus)</w:t>
            </w:r>
          </w:p>
        </w:tc>
        <w:tc>
          <w:tcPr>
            <w:tcW w:w="126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w:t>
            </w:r>
            <w:r w:rsidR="00DE0F85">
              <w:rPr>
                <w:rFonts w:ascii="Times New Roman" w:hAnsi="Times New Roman"/>
                <w:sz w:val="24"/>
                <w:szCs w:val="24"/>
              </w:rPr>
              <w:t xml:space="preserve"> </w:t>
            </w:r>
            <w:r w:rsidRPr="005D082B">
              <w:rPr>
                <w:rFonts w:ascii="Times New Roman" w:hAnsi="Times New Roman"/>
                <w:sz w:val="24"/>
                <w:szCs w:val="24"/>
              </w:rPr>
              <w:t>477</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78,5 proc.</w:t>
            </w:r>
          </w:p>
        </w:tc>
        <w:tc>
          <w:tcPr>
            <w:tcW w:w="1890" w:type="dxa"/>
            <w:tcBorders>
              <w:top w:val="single" w:sz="4" w:space="0" w:color="auto"/>
              <w:left w:val="single" w:sz="4" w:space="0" w:color="auto"/>
              <w:bottom w:val="single" w:sz="4" w:space="0" w:color="auto"/>
              <w:right w:val="single" w:sz="4" w:space="0" w:color="auto"/>
            </w:tcBorders>
            <w:shd w:val="clear" w:color="auto" w:fill="FFFFFF"/>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w:t>
            </w:r>
            <w:r w:rsidR="00DE0F85">
              <w:rPr>
                <w:rFonts w:ascii="Times New Roman" w:hAnsi="Times New Roman"/>
                <w:sz w:val="24"/>
                <w:szCs w:val="24"/>
              </w:rPr>
              <w:t xml:space="preserve"> </w:t>
            </w:r>
            <w:r w:rsidRPr="005D082B">
              <w:rPr>
                <w:rFonts w:ascii="Times New Roman" w:hAnsi="Times New Roman"/>
                <w:sz w:val="24"/>
                <w:szCs w:val="24"/>
              </w:rPr>
              <w:t>436</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80 proc.</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w:t>
            </w:r>
            <w:r w:rsidR="00DE0F85">
              <w:rPr>
                <w:rFonts w:ascii="Times New Roman" w:hAnsi="Times New Roman"/>
                <w:sz w:val="24"/>
                <w:szCs w:val="24"/>
              </w:rPr>
              <w:t xml:space="preserve"> </w:t>
            </w:r>
            <w:r w:rsidRPr="005D082B">
              <w:rPr>
                <w:rFonts w:ascii="Times New Roman" w:hAnsi="Times New Roman"/>
                <w:sz w:val="24"/>
                <w:szCs w:val="24"/>
              </w:rPr>
              <w:t>386</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83 proc.</w:t>
            </w:r>
          </w:p>
        </w:tc>
        <w:tc>
          <w:tcPr>
            <w:tcW w:w="282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spacing w:after="160" w:line="259" w:lineRule="auto"/>
              <w:rPr>
                <w:rFonts w:eastAsia="Calibri"/>
                <w:lang w:eastAsia="en-US"/>
              </w:rPr>
            </w:pPr>
            <w:r w:rsidRPr="00FD54DB">
              <w:rPr>
                <w:rFonts w:eastAsia="Calibri"/>
                <w:lang w:eastAsia="en-US"/>
              </w:rPr>
              <w:t>Būrelius lankančių mokinių procentas didėj</w:t>
            </w:r>
            <w:r w:rsidR="00F1596E">
              <w:rPr>
                <w:rFonts w:eastAsia="Calibri"/>
                <w:lang w:eastAsia="en-US"/>
              </w:rPr>
              <w:t>a</w:t>
            </w:r>
          </w:p>
        </w:tc>
      </w:tr>
      <w:tr w:rsidR="00FD54DB" w:rsidRPr="00FD54DB" w:rsidTr="00F1596E">
        <w:trPr>
          <w:trHeight w:val="768"/>
        </w:trPr>
        <w:tc>
          <w:tcPr>
            <w:tcW w:w="333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rPr>
                <w:rFonts w:eastAsia="Calibri"/>
                <w:lang w:eastAsia="en-US"/>
              </w:rPr>
            </w:pPr>
            <w:r w:rsidRPr="00FD54DB">
              <w:rPr>
                <w:rFonts w:eastAsia="Calibri"/>
                <w:lang w:eastAsia="en-US"/>
              </w:rPr>
              <w:t xml:space="preserve">Lanko </w:t>
            </w:r>
            <w:r w:rsidRPr="00CA4698">
              <w:rPr>
                <w:rFonts w:eastAsia="Calibri"/>
                <w:lang w:eastAsia="en-US"/>
              </w:rPr>
              <w:t>būrelius</w:t>
            </w:r>
            <w:r w:rsidRPr="00FD54DB">
              <w:rPr>
                <w:rFonts w:eastAsia="Calibri"/>
                <w:lang w:eastAsia="en-US"/>
              </w:rPr>
              <w:t xml:space="preserve"> mokykloje</w:t>
            </w:r>
            <w:r w:rsidR="00FD49CE">
              <w:rPr>
                <w:rFonts w:eastAsia="Calibri"/>
                <w:lang w:eastAsia="en-US"/>
              </w:rPr>
              <w:t xml:space="preserve"> </w:t>
            </w:r>
            <w:r w:rsidRPr="00FD54DB">
              <w:rPr>
                <w:rFonts w:eastAsia="Calibri"/>
                <w:lang w:eastAsia="en-US"/>
              </w:rPr>
              <w:t>(skaičius ir proc. nuo bendro mokinių skaičiaus)</w:t>
            </w:r>
          </w:p>
        </w:tc>
        <w:tc>
          <w:tcPr>
            <w:tcW w:w="126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w:t>
            </w:r>
            <w:r w:rsidR="00DE0F85">
              <w:rPr>
                <w:rFonts w:ascii="Times New Roman" w:hAnsi="Times New Roman"/>
                <w:sz w:val="24"/>
                <w:szCs w:val="24"/>
              </w:rPr>
              <w:t xml:space="preserve"> </w:t>
            </w:r>
            <w:r w:rsidRPr="005D082B">
              <w:rPr>
                <w:rFonts w:ascii="Times New Roman" w:hAnsi="Times New Roman"/>
                <w:sz w:val="24"/>
                <w:szCs w:val="24"/>
              </w:rPr>
              <w:t>008</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63,7 proc.</w:t>
            </w:r>
          </w:p>
        </w:tc>
        <w:tc>
          <w:tcPr>
            <w:tcW w:w="1890" w:type="dxa"/>
            <w:tcBorders>
              <w:top w:val="single" w:sz="4" w:space="0" w:color="auto"/>
              <w:left w:val="single" w:sz="4" w:space="0" w:color="auto"/>
              <w:bottom w:val="single" w:sz="4" w:space="0" w:color="auto"/>
              <w:right w:val="single" w:sz="4" w:space="0" w:color="auto"/>
            </w:tcBorders>
            <w:shd w:val="clear" w:color="auto" w:fill="FFFFFF"/>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w:t>
            </w:r>
            <w:r w:rsidR="00DE0F85">
              <w:rPr>
                <w:rFonts w:ascii="Times New Roman" w:hAnsi="Times New Roman"/>
                <w:sz w:val="24"/>
                <w:szCs w:val="24"/>
              </w:rPr>
              <w:t xml:space="preserve"> </w:t>
            </w:r>
            <w:r w:rsidRPr="005D082B">
              <w:rPr>
                <w:rFonts w:ascii="Times New Roman" w:hAnsi="Times New Roman"/>
                <w:sz w:val="24"/>
                <w:szCs w:val="24"/>
              </w:rPr>
              <w:t>123</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69,7 proc.</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w:t>
            </w:r>
            <w:r w:rsidR="00DE0F85">
              <w:rPr>
                <w:rFonts w:ascii="Times New Roman" w:hAnsi="Times New Roman"/>
                <w:sz w:val="24"/>
                <w:szCs w:val="24"/>
              </w:rPr>
              <w:t xml:space="preserve"> </w:t>
            </w:r>
            <w:r w:rsidRPr="005D082B">
              <w:rPr>
                <w:rFonts w:ascii="Times New Roman" w:hAnsi="Times New Roman"/>
                <w:sz w:val="24"/>
                <w:szCs w:val="24"/>
              </w:rPr>
              <w:t>036</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70,6 proc.</w:t>
            </w:r>
          </w:p>
        </w:tc>
        <w:tc>
          <w:tcPr>
            <w:tcW w:w="282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spacing w:after="160" w:line="259" w:lineRule="auto"/>
              <w:rPr>
                <w:rFonts w:eastAsia="Calibri"/>
                <w:lang w:eastAsia="en-US"/>
              </w:rPr>
            </w:pPr>
            <w:r w:rsidRPr="00FD54DB">
              <w:rPr>
                <w:rFonts w:eastAsia="Calibri"/>
                <w:lang w:eastAsia="en-US"/>
              </w:rPr>
              <w:t>Būrelius lankančių mokinių procentas didėja</w:t>
            </w:r>
          </w:p>
        </w:tc>
      </w:tr>
      <w:tr w:rsidR="00FD54DB" w:rsidRPr="00FD54DB" w:rsidTr="00F1596E">
        <w:trPr>
          <w:trHeight w:val="856"/>
        </w:trPr>
        <w:tc>
          <w:tcPr>
            <w:tcW w:w="333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rPr>
                <w:rFonts w:eastAsia="Calibri"/>
                <w:lang w:eastAsia="en-US"/>
              </w:rPr>
            </w:pPr>
            <w:r w:rsidRPr="00FD54DB">
              <w:rPr>
                <w:rFonts w:eastAsia="Calibri"/>
                <w:lang w:eastAsia="en-US"/>
              </w:rPr>
              <w:t>Lanko būrelius kitose įstaigose</w:t>
            </w:r>
            <w:r w:rsidR="00F8228D">
              <w:rPr>
                <w:rFonts w:eastAsia="Calibri"/>
                <w:lang w:eastAsia="en-US"/>
              </w:rPr>
              <w:t xml:space="preserve"> </w:t>
            </w:r>
            <w:r w:rsidRPr="00FD54DB">
              <w:rPr>
                <w:rFonts w:eastAsia="Calibri"/>
                <w:lang w:eastAsia="en-US"/>
              </w:rPr>
              <w:t>(skaičius ir proc. nuo bendro mokinių skaičiaus)</w:t>
            </w:r>
          </w:p>
        </w:tc>
        <w:tc>
          <w:tcPr>
            <w:tcW w:w="126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826</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26,2 proc.</w:t>
            </w:r>
          </w:p>
        </w:tc>
        <w:tc>
          <w:tcPr>
            <w:tcW w:w="1890" w:type="dxa"/>
            <w:tcBorders>
              <w:top w:val="single" w:sz="4" w:space="0" w:color="auto"/>
              <w:left w:val="single" w:sz="4" w:space="0" w:color="auto"/>
              <w:bottom w:val="single" w:sz="4" w:space="0" w:color="auto"/>
              <w:right w:val="single" w:sz="4" w:space="0" w:color="auto"/>
            </w:tcBorders>
            <w:shd w:val="clear" w:color="auto" w:fill="FFFFFF"/>
            <w:hideMark/>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817</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26,7 proc.</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929</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32 proc.</w:t>
            </w:r>
          </w:p>
        </w:tc>
        <w:tc>
          <w:tcPr>
            <w:tcW w:w="2820" w:type="dxa"/>
            <w:tcBorders>
              <w:top w:val="single" w:sz="4" w:space="0" w:color="auto"/>
              <w:left w:val="single" w:sz="4" w:space="0" w:color="auto"/>
              <w:bottom w:val="single" w:sz="4" w:space="0" w:color="auto"/>
              <w:right w:val="single" w:sz="4" w:space="0" w:color="auto"/>
            </w:tcBorders>
            <w:hideMark/>
          </w:tcPr>
          <w:p w:rsidR="00FD54DB" w:rsidRPr="00FD54DB" w:rsidRDefault="00FD54DB" w:rsidP="005D082B">
            <w:pPr>
              <w:spacing w:after="160" w:line="259" w:lineRule="auto"/>
              <w:rPr>
                <w:rFonts w:eastAsia="Calibri"/>
                <w:lang w:eastAsia="en-US"/>
              </w:rPr>
            </w:pPr>
            <w:r w:rsidRPr="00FD54DB">
              <w:rPr>
                <w:rFonts w:eastAsia="Calibri"/>
                <w:lang w:eastAsia="en-US"/>
              </w:rPr>
              <w:t>Mokinių skaičius didėja</w:t>
            </w:r>
          </w:p>
        </w:tc>
      </w:tr>
      <w:tr w:rsidR="00FD54DB" w:rsidRPr="005D082B" w:rsidTr="00F1596E">
        <w:tc>
          <w:tcPr>
            <w:tcW w:w="3330" w:type="dxa"/>
            <w:tcBorders>
              <w:top w:val="single" w:sz="4" w:space="0" w:color="auto"/>
              <w:left w:val="single" w:sz="4" w:space="0" w:color="auto"/>
              <w:bottom w:val="single" w:sz="4" w:space="0" w:color="auto"/>
              <w:right w:val="single" w:sz="4" w:space="0" w:color="auto"/>
            </w:tcBorders>
          </w:tcPr>
          <w:p w:rsidR="00FD54DB" w:rsidRPr="005D082B" w:rsidRDefault="00FD54DB" w:rsidP="005D082B">
            <w:pPr>
              <w:pStyle w:val="Betarp"/>
              <w:rPr>
                <w:rFonts w:ascii="Times New Roman" w:hAnsi="Times New Roman"/>
                <w:sz w:val="24"/>
                <w:szCs w:val="24"/>
              </w:rPr>
            </w:pPr>
            <w:r w:rsidRPr="005D082B">
              <w:rPr>
                <w:rFonts w:ascii="Times New Roman" w:hAnsi="Times New Roman"/>
                <w:sz w:val="24"/>
                <w:szCs w:val="24"/>
              </w:rPr>
              <w:t>Dalyvauja mokinių NVŠ veikloje</w:t>
            </w:r>
          </w:p>
        </w:tc>
        <w:tc>
          <w:tcPr>
            <w:tcW w:w="1260" w:type="dxa"/>
            <w:tcBorders>
              <w:top w:val="single" w:sz="4" w:space="0" w:color="auto"/>
              <w:left w:val="single" w:sz="4" w:space="0" w:color="auto"/>
              <w:bottom w:val="single" w:sz="4" w:space="0" w:color="auto"/>
              <w:right w:val="single" w:sz="4" w:space="0" w:color="auto"/>
            </w:tcBorders>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809</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25,1 proc.</w:t>
            </w:r>
          </w:p>
          <w:p w:rsidR="00FD54DB" w:rsidRPr="005D082B" w:rsidRDefault="00FD54DB" w:rsidP="005D082B">
            <w:pPr>
              <w:pStyle w:val="Betarp"/>
              <w:jc w:val="center"/>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637</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22 proc.</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811 mok.</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26,7 proc.</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785</w:t>
            </w:r>
          </w:p>
          <w:p w:rsidR="00FD54DB" w:rsidRPr="005D082B" w:rsidRDefault="00FD54DB" w:rsidP="005D082B">
            <w:pPr>
              <w:pStyle w:val="Betarp"/>
              <w:jc w:val="center"/>
              <w:rPr>
                <w:rFonts w:ascii="Times New Roman" w:hAnsi="Times New Roman"/>
                <w:sz w:val="24"/>
                <w:szCs w:val="24"/>
              </w:rPr>
            </w:pPr>
            <w:r w:rsidRPr="005D082B">
              <w:rPr>
                <w:rFonts w:ascii="Times New Roman" w:hAnsi="Times New Roman"/>
                <w:sz w:val="24"/>
                <w:szCs w:val="24"/>
              </w:rPr>
              <w:t>27,2 proc.</w:t>
            </w:r>
          </w:p>
        </w:tc>
        <w:tc>
          <w:tcPr>
            <w:tcW w:w="282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rPr>
                <w:rFonts w:ascii="Times New Roman" w:hAnsi="Times New Roman"/>
                <w:sz w:val="24"/>
                <w:szCs w:val="24"/>
              </w:rPr>
            </w:pPr>
            <w:r w:rsidRPr="005D082B">
              <w:rPr>
                <w:rFonts w:ascii="Times New Roman" w:hAnsi="Times New Roman"/>
                <w:sz w:val="24"/>
                <w:szCs w:val="24"/>
              </w:rPr>
              <w:t>NVŠ veiklose dalyvaujančių mokinių skaičius didėja</w:t>
            </w:r>
          </w:p>
        </w:tc>
      </w:tr>
      <w:tr w:rsidR="00FD54DB" w:rsidRPr="005D082B" w:rsidTr="00F1596E">
        <w:tc>
          <w:tcPr>
            <w:tcW w:w="333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rPr>
                <w:rFonts w:ascii="Times New Roman" w:hAnsi="Times New Roman"/>
                <w:sz w:val="24"/>
                <w:szCs w:val="24"/>
              </w:rPr>
            </w:pPr>
            <w:r w:rsidRPr="005D082B">
              <w:rPr>
                <w:rFonts w:ascii="Times New Roman" w:hAnsi="Times New Roman"/>
                <w:sz w:val="24"/>
                <w:szCs w:val="24"/>
              </w:rPr>
              <w:t xml:space="preserve">Savivaldybės biudžeto lėšos </w:t>
            </w:r>
            <w:r w:rsidR="00FD49CE">
              <w:rPr>
                <w:rFonts w:ascii="Times New Roman" w:hAnsi="Times New Roman"/>
                <w:sz w:val="24"/>
                <w:szCs w:val="24"/>
              </w:rPr>
              <w:lastRenderedPageBreak/>
              <w:t>NVŠ</w:t>
            </w:r>
          </w:p>
        </w:tc>
        <w:tc>
          <w:tcPr>
            <w:tcW w:w="1260" w:type="dxa"/>
            <w:tcBorders>
              <w:top w:val="single" w:sz="4" w:space="0" w:color="auto"/>
              <w:left w:val="single" w:sz="4" w:space="0" w:color="auto"/>
              <w:bottom w:val="single" w:sz="4" w:space="0" w:color="auto"/>
              <w:right w:val="single" w:sz="4" w:space="0" w:color="auto"/>
            </w:tcBorders>
          </w:tcPr>
          <w:p w:rsidR="00FD54DB" w:rsidRPr="005D082B" w:rsidRDefault="00FD54DB" w:rsidP="005D082B">
            <w:pPr>
              <w:pStyle w:val="Betarp"/>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51634A" w:rsidRPr="00373564" w:rsidRDefault="0051634A" w:rsidP="00DB6DCD">
            <w:pPr>
              <w:pStyle w:val="Betarp"/>
              <w:jc w:val="center"/>
              <w:rPr>
                <w:rFonts w:ascii="Times New Roman" w:hAnsi="Times New Roman"/>
                <w:sz w:val="24"/>
                <w:szCs w:val="24"/>
              </w:rPr>
            </w:pPr>
            <w:r w:rsidRPr="00373564">
              <w:rPr>
                <w:rFonts w:ascii="Times New Roman" w:hAnsi="Times New Roman"/>
                <w:sz w:val="24"/>
                <w:szCs w:val="24"/>
              </w:rPr>
              <w:t>219 val.</w:t>
            </w:r>
          </w:p>
          <w:p w:rsidR="0051634A" w:rsidRPr="00373564" w:rsidRDefault="0051634A" w:rsidP="00DB6DCD">
            <w:pPr>
              <w:pStyle w:val="Betarp"/>
              <w:jc w:val="center"/>
              <w:rPr>
                <w:rFonts w:ascii="Times New Roman" w:hAnsi="Times New Roman"/>
                <w:sz w:val="24"/>
                <w:szCs w:val="24"/>
              </w:rPr>
            </w:pPr>
            <w:r w:rsidRPr="00373564">
              <w:rPr>
                <w:rFonts w:ascii="Times New Roman" w:hAnsi="Times New Roman"/>
                <w:sz w:val="24"/>
                <w:szCs w:val="24"/>
              </w:rPr>
              <w:lastRenderedPageBreak/>
              <w:t>(91 būrelis)</w:t>
            </w:r>
          </w:p>
          <w:p w:rsidR="0051634A" w:rsidRPr="005D082B" w:rsidRDefault="0051634A" w:rsidP="00F8228D">
            <w:pPr>
              <w:pStyle w:val="Betarp"/>
              <w:jc w:val="center"/>
              <w:rPr>
                <w:rFonts w:ascii="Times New Roman" w:hAnsi="Times New Roman"/>
                <w:sz w:val="24"/>
                <w:szCs w:val="24"/>
              </w:rPr>
            </w:pPr>
            <w:r w:rsidRPr="00373564">
              <w:rPr>
                <w:rFonts w:ascii="Times New Roman" w:hAnsi="Times New Roman"/>
                <w:sz w:val="24"/>
                <w:szCs w:val="24"/>
              </w:rPr>
              <w:t xml:space="preserve">140,7 tūkst. </w:t>
            </w:r>
            <w:r w:rsidR="00FD49CE">
              <w:rPr>
                <w:rFonts w:ascii="Times New Roman" w:hAnsi="Times New Roman"/>
                <w:sz w:val="24"/>
                <w:szCs w:val="24"/>
              </w:rPr>
              <w:t>Eur</w:t>
            </w:r>
          </w:p>
        </w:tc>
        <w:tc>
          <w:tcPr>
            <w:tcW w:w="1890" w:type="dxa"/>
            <w:tcBorders>
              <w:top w:val="single" w:sz="4" w:space="0" w:color="auto"/>
              <w:left w:val="single" w:sz="4" w:space="0" w:color="auto"/>
              <w:bottom w:val="single" w:sz="4" w:space="0" w:color="auto"/>
              <w:right w:val="single" w:sz="4" w:space="0" w:color="auto"/>
            </w:tcBorders>
            <w:shd w:val="clear" w:color="auto" w:fill="FFFFFF"/>
            <w:hideMark/>
          </w:tcPr>
          <w:p w:rsidR="0051634A" w:rsidRPr="00373564" w:rsidRDefault="0051634A" w:rsidP="00DB6DCD">
            <w:pPr>
              <w:pStyle w:val="Betarp"/>
              <w:jc w:val="center"/>
              <w:rPr>
                <w:rFonts w:ascii="Times New Roman" w:hAnsi="Times New Roman"/>
                <w:sz w:val="24"/>
                <w:szCs w:val="24"/>
              </w:rPr>
            </w:pPr>
            <w:r w:rsidRPr="00373564">
              <w:rPr>
                <w:rFonts w:ascii="Times New Roman" w:hAnsi="Times New Roman"/>
                <w:sz w:val="24"/>
                <w:szCs w:val="24"/>
              </w:rPr>
              <w:lastRenderedPageBreak/>
              <w:t>230 val.</w:t>
            </w:r>
          </w:p>
          <w:p w:rsidR="0051634A" w:rsidRPr="00373564" w:rsidRDefault="0051634A" w:rsidP="00DB6DCD">
            <w:pPr>
              <w:pStyle w:val="Betarp"/>
              <w:jc w:val="center"/>
              <w:rPr>
                <w:rFonts w:ascii="Times New Roman" w:hAnsi="Times New Roman"/>
                <w:sz w:val="24"/>
                <w:szCs w:val="24"/>
              </w:rPr>
            </w:pPr>
            <w:r w:rsidRPr="00373564">
              <w:rPr>
                <w:rFonts w:ascii="Times New Roman" w:hAnsi="Times New Roman"/>
                <w:sz w:val="24"/>
                <w:szCs w:val="24"/>
              </w:rPr>
              <w:lastRenderedPageBreak/>
              <w:t>(76 būreliai)</w:t>
            </w:r>
          </w:p>
          <w:p w:rsidR="00FD54DB" w:rsidRPr="005D082B" w:rsidRDefault="0051634A" w:rsidP="00F8228D">
            <w:pPr>
              <w:pStyle w:val="Betarp"/>
              <w:jc w:val="center"/>
              <w:rPr>
                <w:rFonts w:ascii="Times New Roman" w:hAnsi="Times New Roman"/>
                <w:sz w:val="24"/>
                <w:szCs w:val="24"/>
              </w:rPr>
            </w:pPr>
            <w:r w:rsidRPr="00373564">
              <w:rPr>
                <w:rFonts w:ascii="Times New Roman" w:hAnsi="Times New Roman"/>
                <w:sz w:val="24"/>
                <w:szCs w:val="24"/>
              </w:rPr>
              <w:t xml:space="preserve">125,3 tūkst. </w:t>
            </w:r>
            <w:r w:rsidR="00FD49CE">
              <w:rPr>
                <w:rFonts w:ascii="Times New Roman" w:hAnsi="Times New Roman"/>
                <w:sz w:val="24"/>
                <w:szCs w:val="24"/>
              </w:rPr>
              <w:t>Eur</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51634A" w:rsidRPr="00373564" w:rsidRDefault="0051634A" w:rsidP="0051634A">
            <w:pPr>
              <w:jc w:val="center"/>
            </w:pPr>
            <w:r w:rsidRPr="00373564">
              <w:lastRenderedPageBreak/>
              <w:t>166 val.</w:t>
            </w:r>
          </w:p>
          <w:p w:rsidR="0051634A" w:rsidRPr="00373564" w:rsidRDefault="0051634A" w:rsidP="0051634A">
            <w:pPr>
              <w:jc w:val="center"/>
            </w:pPr>
            <w:r w:rsidRPr="00373564">
              <w:lastRenderedPageBreak/>
              <w:t>(67 būreliai)</w:t>
            </w:r>
          </w:p>
          <w:p w:rsidR="00FD54DB" w:rsidRPr="005D082B" w:rsidRDefault="0051634A" w:rsidP="0051634A">
            <w:pPr>
              <w:pStyle w:val="Betarp"/>
              <w:jc w:val="center"/>
              <w:rPr>
                <w:rFonts w:ascii="Times New Roman" w:hAnsi="Times New Roman"/>
                <w:sz w:val="24"/>
                <w:szCs w:val="24"/>
              </w:rPr>
            </w:pPr>
            <w:r w:rsidRPr="00373564">
              <w:rPr>
                <w:rFonts w:ascii="Times New Roman" w:hAnsi="Times New Roman"/>
                <w:sz w:val="24"/>
                <w:szCs w:val="24"/>
              </w:rPr>
              <w:t xml:space="preserve">123,2 tūkst. </w:t>
            </w:r>
            <w:r w:rsidR="00FD49CE">
              <w:rPr>
                <w:rFonts w:ascii="Times New Roman" w:hAnsi="Times New Roman"/>
                <w:sz w:val="24"/>
                <w:szCs w:val="24"/>
              </w:rPr>
              <w:t>Eur</w:t>
            </w:r>
          </w:p>
        </w:tc>
        <w:tc>
          <w:tcPr>
            <w:tcW w:w="2820" w:type="dxa"/>
            <w:tcBorders>
              <w:top w:val="single" w:sz="4" w:space="0" w:color="auto"/>
              <w:left w:val="single" w:sz="4" w:space="0" w:color="auto"/>
              <w:bottom w:val="single" w:sz="4" w:space="0" w:color="auto"/>
              <w:right w:val="single" w:sz="4" w:space="0" w:color="auto"/>
            </w:tcBorders>
            <w:hideMark/>
          </w:tcPr>
          <w:p w:rsidR="00FD54DB" w:rsidRPr="005D082B" w:rsidRDefault="00FD54DB" w:rsidP="005D082B">
            <w:pPr>
              <w:pStyle w:val="Betarp"/>
              <w:rPr>
                <w:rFonts w:ascii="Times New Roman" w:hAnsi="Times New Roman"/>
                <w:sz w:val="24"/>
                <w:szCs w:val="24"/>
              </w:rPr>
            </w:pPr>
            <w:r w:rsidRPr="005D082B">
              <w:rPr>
                <w:rFonts w:ascii="Times New Roman" w:hAnsi="Times New Roman"/>
                <w:sz w:val="24"/>
                <w:szCs w:val="24"/>
              </w:rPr>
              <w:lastRenderedPageBreak/>
              <w:t xml:space="preserve">Kasmet skiriamos </w:t>
            </w:r>
            <w:r w:rsidRPr="005D082B">
              <w:rPr>
                <w:rFonts w:ascii="Times New Roman" w:hAnsi="Times New Roman"/>
                <w:sz w:val="24"/>
                <w:szCs w:val="24"/>
              </w:rPr>
              <w:lastRenderedPageBreak/>
              <w:t>savivaldybės biudžeto lė</w:t>
            </w:r>
            <w:r w:rsidR="005D082B" w:rsidRPr="005D082B">
              <w:rPr>
                <w:rFonts w:ascii="Times New Roman" w:hAnsi="Times New Roman"/>
                <w:sz w:val="24"/>
                <w:szCs w:val="24"/>
              </w:rPr>
              <w:t>šos</w:t>
            </w:r>
          </w:p>
        </w:tc>
      </w:tr>
    </w:tbl>
    <w:p w:rsidR="00BD3DE9" w:rsidRPr="00734125" w:rsidRDefault="00BD3DE9" w:rsidP="00DB6DCD">
      <w:pPr>
        <w:pStyle w:val="Betarp"/>
        <w:ind w:firstLine="720"/>
        <w:jc w:val="both"/>
        <w:rPr>
          <w:rFonts w:ascii="Times New Roman" w:hAnsi="Times New Roman"/>
          <w:sz w:val="24"/>
          <w:szCs w:val="24"/>
        </w:rPr>
      </w:pPr>
    </w:p>
    <w:p w:rsidR="00FD54DB" w:rsidRPr="00981FB0" w:rsidRDefault="005C0FE8" w:rsidP="00DB6DCD">
      <w:pPr>
        <w:pStyle w:val="Betarp"/>
        <w:ind w:firstLine="720"/>
        <w:jc w:val="both"/>
      </w:pPr>
      <w:r w:rsidRPr="00DB6DCD">
        <w:rPr>
          <w:rFonts w:ascii="Times New Roman" w:hAnsi="Times New Roman"/>
          <w:sz w:val="24"/>
          <w:szCs w:val="24"/>
        </w:rPr>
        <w:t>Panevėžio rajon</w:t>
      </w:r>
      <w:r w:rsidR="00FD49CE">
        <w:rPr>
          <w:rFonts w:ascii="Times New Roman" w:hAnsi="Times New Roman"/>
          <w:sz w:val="24"/>
          <w:szCs w:val="24"/>
        </w:rPr>
        <w:t>o savivaldybėj</w:t>
      </w:r>
      <w:r w:rsidRPr="00DB6DCD">
        <w:rPr>
          <w:rFonts w:ascii="Times New Roman" w:hAnsi="Times New Roman"/>
          <w:sz w:val="24"/>
          <w:szCs w:val="24"/>
        </w:rPr>
        <w:t xml:space="preserve">e veikia viena </w:t>
      </w:r>
      <w:r w:rsidR="00FD54DB" w:rsidRPr="00DB6DCD">
        <w:rPr>
          <w:rFonts w:ascii="Times New Roman" w:hAnsi="Times New Roman"/>
          <w:sz w:val="24"/>
          <w:szCs w:val="24"/>
        </w:rPr>
        <w:t>formal</w:t>
      </w:r>
      <w:r w:rsidRPr="00DB6DCD">
        <w:rPr>
          <w:rFonts w:ascii="Times New Roman" w:hAnsi="Times New Roman"/>
          <w:sz w:val="24"/>
          <w:szCs w:val="24"/>
        </w:rPr>
        <w:t>ųjį švietimą papildančio</w:t>
      </w:r>
      <w:r w:rsidR="00FD54DB" w:rsidRPr="00DB6DCD">
        <w:rPr>
          <w:rFonts w:ascii="Times New Roman" w:hAnsi="Times New Roman"/>
          <w:sz w:val="24"/>
          <w:szCs w:val="24"/>
        </w:rPr>
        <w:t xml:space="preserve"> ugdymo įstaiga – Muzikos mokykla, kuri turi du skyrius Naujamies</w:t>
      </w:r>
      <w:r w:rsidR="00FD49CE">
        <w:rPr>
          <w:rFonts w:ascii="Times New Roman" w:hAnsi="Times New Roman"/>
          <w:sz w:val="24"/>
          <w:szCs w:val="24"/>
        </w:rPr>
        <w:t>čio mstl.</w:t>
      </w:r>
      <w:r w:rsidR="00FD54DB" w:rsidRPr="00DB6DCD">
        <w:rPr>
          <w:rFonts w:ascii="Times New Roman" w:hAnsi="Times New Roman"/>
          <w:sz w:val="24"/>
          <w:szCs w:val="24"/>
        </w:rPr>
        <w:t xml:space="preserve"> ir Ramygalo</w:t>
      </w:r>
      <w:r w:rsidR="00FD49CE">
        <w:rPr>
          <w:rFonts w:ascii="Times New Roman" w:hAnsi="Times New Roman"/>
          <w:sz w:val="24"/>
          <w:szCs w:val="24"/>
        </w:rPr>
        <w:t>s m</w:t>
      </w:r>
      <w:r w:rsidR="00FD54DB" w:rsidRPr="00DB6DCD">
        <w:rPr>
          <w:rFonts w:ascii="Times New Roman" w:hAnsi="Times New Roman"/>
          <w:sz w:val="24"/>
          <w:szCs w:val="24"/>
        </w:rPr>
        <w:t>. Nuo 2018 m. rugsėjo 1 d. Muzikos mokykloje įvesta nauja sritis – etnokultūra.</w:t>
      </w:r>
    </w:p>
    <w:p w:rsidR="00FD54DB" w:rsidRPr="00981FB0" w:rsidRDefault="00FD54DB" w:rsidP="00DB6DCD">
      <w:pPr>
        <w:pStyle w:val="Betarp"/>
        <w:ind w:firstLine="720"/>
        <w:jc w:val="both"/>
        <w:rPr>
          <w:strike/>
        </w:rPr>
      </w:pPr>
      <w:r w:rsidRPr="00DB6DCD">
        <w:rPr>
          <w:rFonts w:ascii="Times New Roman" w:hAnsi="Times New Roman"/>
          <w:sz w:val="24"/>
          <w:szCs w:val="24"/>
        </w:rPr>
        <w:t xml:space="preserve">Nuo 2016 m. </w:t>
      </w:r>
      <w:r w:rsidR="00462619">
        <w:rPr>
          <w:rFonts w:ascii="Times New Roman" w:hAnsi="Times New Roman"/>
          <w:sz w:val="24"/>
          <w:szCs w:val="24"/>
        </w:rPr>
        <w:t>partnerystė</w:t>
      </w:r>
      <w:r w:rsidRPr="00DB6DCD">
        <w:rPr>
          <w:rFonts w:ascii="Times New Roman" w:hAnsi="Times New Roman"/>
          <w:sz w:val="24"/>
          <w:szCs w:val="24"/>
        </w:rPr>
        <w:t xml:space="preserve"> NVŠ </w:t>
      </w:r>
      <w:r w:rsidR="00462619" w:rsidRPr="00DB6DCD">
        <w:rPr>
          <w:rFonts w:ascii="Times New Roman" w:hAnsi="Times New Roman"/>
          <w:sz w:val="24"/>
          <w:szCs w:val="24"/>
        </w:rPr>
        <w:t>Lietuvos mokinių neformaliojo švietimo centro</w:t>
      </w:r>
      <w:r w:rsidR="00462619" w:rsidRPr="00462619">
        <w:rPr>
          <w:rFonts w:ascii="Times New Roman" w:hAnsi="Times New Roman"/>
          <w:sz w:val="24"/>
          <w:szCs w:val="24"/>
        </w:rPr>
        <w:t xml:space="preserve"> </w:t>
      </w:r>
      <w:r w:rsidR="00462619">
        <w:rPr>
          <w:rFonts w:ascii="Times New Roman" w:hAnsi="Times New Roman"/>
          <w:sz w:val="24"/>
          <w:szCs w:val="24"/>
        </w:rPr>
        <w:t>projekte</w:t>
      </w:r>
      <w:r w:rsidR="00462619" w:rsidRPr="001F28BA">
        <w:rPr>
          <w:rFonts w:ascii="Times New Roman" w:hAnsi="Times New Roman"/>
          <w:sz w:val="24"/>
          <w:szCs w:val="24"/>
        </w:rPr>
        <w:t xml:space="preserve"> „Neformaliojo vaikų švietimo paslaugų plėtra“ Nr. 09.2.2-ESFA-V-729-01-0001</w:t>
      </w:r>
      <w:r w:rsidR="00462619" w:rsidRPr="00DB6DCD">
        <w:rPr>
          <w:rFonts w:ascii="Times New Roman" w:hAnsi="Times New Roman"/>
          <w:sz w:val="24"/>
          <w:szCs w:val="24"/>
        </w:rPr>
        <w:t>,</w:t>
      </w:r>
      <w:r w:rsidR="00462619">
        <w:rPr>
          <w:rFonts w:ascii="Times New Roman" w:hAnsi="Times New Roman"/>
          <w:sz w:val="24"/>
          <w:szCs w:val="24"/>
        </w:rPr>
        <w:t xml:space="preserve"> kuris vykdomas</w:t>
      </w:r>
      <w:r w:rsidR="00462619" w:rsidRPr="00462619">
        <w:rPr>
          <w:rFonts w:ascii="Times New Roman" w:hAnsi="Times New Roman"/>
          <w:sz w:val="24"/>
          <w:szCs w:val="24"/>
        </w:rPr>
        <w:t xml:space="preserve"> įgyvendinant</w:t>
      </w:r>
      <w:r w:rsidR="00462619" w:rsidRPr="00DB6DCD">
        <w:rPr>
          <w:rFonts w:ascii="Times New Roman" w:hAnsi="Times New Roman"/>
          <w:sz w:val="24"/>
          <w:szCs w:val="24"/>
        </w:rPr>
        <w:t xml:space="preserve"> 2014–2020 metų ES fondų investicijų veiksmų programos 9 prioriteto „Visuomenės švietimas ir žmogiškųjų išteklių potencialo didinimas“ 09.2.2-ESFA-V-729 priemonę „Neformaliojo vaikų švietimo įvairovės ir prieinamumo didinimas“</w:t>
      </w:r>
      <w:r w:rsidRPr="00DB6DCD">
        <w:rPr>
          <w:rFonts w:ascii="Times New Roman" w:hAnsi="Times New Roman"/>
          <w:sz w:val="24"/>
          <w:szCs w:val="24"/>
        </w:rPr>
        <w:t>. NVŠ veiklas vykdo Muzikos mokykla, kultūros cent</w:t>
      </w:r>
      <w:r w:rsidR="00FD49CE">
        <w:rPr>
          <w:rFonts w:ascii="Times New Roman" w:hAnsi="Times New Roman"/>
          <w:sz w:val="24"/>
          <w:szCs w:val="24"/>
        </w:rPr>
        <w:t>r</w:t>
      </w:r>
      <w:r w:rsidRPr="00DB6DCD">
        <w:rPr>
          <w:rFonts w:ascii="Times New Roman" w:hAnsi="Times New Roman"/>
          <w:sz w:val="24"/>
          <w:szCs w:val="24"/>
        </w:rPr>
        <w:t>ai, viešoji biblioteka, laisvieji mokytojai ir kiti teikėjai.</w:t>
      </w:r>
    </w:p>
    <w:p w:rsidR="00B404B7" w:rsidRPr="00FD49CE" w:rsidRDefault="00FD49CE" w:rsidP="00DB6DCD">
      <w:pPr>
        <w:pStyle w:val="Betarp"/>
        <w:ind w:firstLine="720"/>
        <w:jc w:val="both"/>
        <w:rPr>
          <w:rFonts w:ascii="Times New Roman" w:hAnsi="Times New Roman"/>
          <w:sz w:val="24"/>
          <w:szCs w:val="24"/>
        </w:rPr>
      </w:pPr>
      <w:r>
        <w:rPr>
          <w:rFonts w:ascii="Times New Roman" w:hAnsi="Times New Roman"/>
          <w:sz w:val="24"/>
          <w:szCs w:val="24"/>
        </w:rPr>
        <w:t>P</w:t>
      </w:r>
      <w:r w:rsidR="00FD54DB" w:rsidRPr="00FD49CE">
        <w:rPr>
          <w:rFonts w:ascii="Times New Roman" w:hAnsi="Times New Roman"/>
          <w:sz w:val="24"/>
          <w:szCs w:val="24"/>
        </w:rPr>
        <w:t xml:space="preserve">radėjus vykdyti NVŠ veiklas bei veiklas, kurios finansuojamos savivaldybės biudžeto lėšomis, </w:t>
      </w:r>
      <w:r>
        <w:rPr>
          <w:rFonts w:ascii="Times New Roman" w:hAnsi="Times New Roman"/>
          <w:sz w:val="24"/>
          <w:szCs w:val="24"/>
        </w:rPr>
        <w:t>NVŠ</w:t>
      </w:r>
      <w:r w:rsidR="005C0FE8" w:rsidRPr="00FD49CE">
        <w:rPr>
          <w:rFonts w:ascii="Times New Roman" w:hAnsi="Times New Roman"/>
          <w:sz w:val="24"/>
          <w:szCs w:val="24"/>
        </w:rPr>
        <w:t xml:space="preserve"> </w:t>
      </w:r>
      <w:r w:rsidR="00FD54DB" w:rsidRPr="00FD49CE">
        <w:rPr>
          <w:rFonts w:ascii="Times New Roman" w:hAnsi="Times New Roman"/>
          <w:sz w:val="24"/>
          <w:szCs w:val="24"/>
        </w:rPr>
        <w:t>veiklų pasiūla tapo įvairesnė. Neformalusis vaikų švietimas yra svarbus vaikų saviraiškai, savęs pažinimui, saviugdai bei socializacijai. Daroma pažanga.</w:t>
      </w:r>
    </w:p>
    <w:p w:rsidR="009D6A60" w:rsidRPr="00DB6DCD" w:rsidRDefault="009D6A60" w:rsidP="00DB6DCD">
      <w:pPr>
        <w:pStyle w:val="Betarp"/>
        <w:jc w:val="both"/>
        <w:rPr>
          <w:rFonts w:ascii="Times New Roman" w:hAnsi="Times New Roman"/>
          <w:sz w:val="24"/>
          <w:szCs w:val="24"/>
        </w:rPr>
      </w:pPr>
    </w:p>
    <w:p w:rsidR="00FD49CE" w:rsidRDefault="00CC0FD0" w:rsidP="009D6A60">
      <w:pPr>
        <w:pStyle w:val="Betarp1"/>
        <w:jc w:val="center"/>
        <w:rPr>
          <w:rFonts w:ascii="Times New Roman" w:hAnsi="Times New Roman"/>
          <w:b/>
          <w:sz w:val="24"/>
          <w:szCs w:val="24"/>
        </w:rPr>
      </w:pPr>
      <w:r w:rsidRPr="009D6A60">
        <w:rPr>
          <w:rFonts w:ascii="Times New Roman" w:hAnsi="Times New Roman"/>
          <w:b/>
          <w:sz w:val="24"/>
          <w:szCs w:val="24"/>
        </w:rPr>
        <w:t>I</w:t>
      </w:r>
      <w:r w:rsidR="00A524DC" w:rsidRPr="009D6A60">
        <w:rPr>
          <w:rFonts w:ascii="Times New Roman" w:hAnsi="Times New Roman"/>
          <w:b/>
          <w:sz w:val="24"/>
          <w:szCs w:val="24"/>
        </w:rPr>
        <w:t>II</w:t>
      </w:r>
      <w:r w:rsidR="00FD49CE">
        <w:rPr>
          <w:rFonts w:ascii="Times New Roman" w:hAnsi="Times New Roman"/>
          <w:b/>
          <w:sz w:val="24"/>
          <w:szCs w:val="24"/>
        </w:rPr>
        <w:t xml:space="preserve"> SKYRIUS</w:t>
      </w:r>
    </w:p>
    <w:p w:rsidR="006D0EAF" w:rsidRPr="009D6A60" w:rsidRDefault="009039F3" w:rsidP="009D6A60">
      <w:pPr>
        <w:pStyle w:val="Betarp1"/>
        <w:jc w:val="center"/>
        <w:rPr>
          <w:rFonts w:ascii="Times New Roman" w:hAnsi="Times New Roman"/>
          <w:b/>
          <w:sz w:val="24"/>
          <w:szCs w:val="24"/>
        </w:rPr>
      </w:pPr>
      <w:r w:rsidRPr="009D6A60">
        <w:rPr>
          <w:rFonts w:ascii="Times New Roman" w:hAnsi="Times New Roman"/>
          <w:b/>
          <w:sz w:val="24"/>
          <w:szCs w:val="24"/>
        </w:rPr>
        <w:t>BENDROJO UGDYMO MOKYKLŲ TINKLO</w:t>
      </w:r>
      <w:r w:rsidR="004F5FB2" w:rsidRPr="009D6A60">
        <w:rPr>
          <w:rFonts w:ascii="Times New Roman" w:hAnsi="Times New Roman"/>
          <w:b/>
          <w:sz w:val="24"/>
          <w:szCs w:val="24"/>
        </w:rPr>
        <w:t xml:space="preserve"> PERTVARKOS PAGRINDIMAS</w:t>
      </w:r>
    </w:p>
    <w:p w:rsidR="00F12638" w:rsidRPr="00DB6DCD" w:rsidRDefault="00F12638" w:rsidP="00D85C11">
      <w:pPr>
        <w:pStyle w:val="Betarp"/>
        <w:rPr>
          <w:rFonts w:ascii="Times New Roman" w:hAnsi="Times New Roman"/>
          <w:sz w:val="24"/>
          <w:szCs w:val="24"/>
        </w:rPr>
      </w:pPr>
    </w:p>
    <w:p w:rsidR="00B404B7" w:rsidRPr="00DB6DCD" w:rsidRDefault="005058D9" w:rsidP="00DB6DCD">
      <w:pPr>
        <w:pStyle w:val="Betarp"/>
        <w:ind w:firstLine="720"/>
        <w:jc w:val="both"/>
        <w:rPr>
          <w:rFonts w:ascii="Times New Roman" w:hAnsi="Times New Roman"/>
          <w:sz w:val="24"/>
          <w:szCs w:val="24"/>
        </w:rPr>
      </w:pPr>
      <w:r w:rsidRPr="00DB6DCD">
        <w:rPr>
          <w:rFonts w:ascii="Times New Roman" w:hAnsi="Times New Roman"/>
          <w:b/>
          <w:sz w:val="24"/>
          <w:szCs w:val="24"/>
        </w:rPr>
        <w:t>6</w:t>
      </w:r>
      <w:r w:rsidR="004F5FB2" w:rsidRPr="00DB6DCD">
        <w:rPr>
          <w:rFonts w:ascii="Times New Roman" w:hAnsi="Times New Roman"/>
          <w:b/>
          <w:sz w:val="24"/>
          <w:szCs w:val="24"/>
        </w:rPr>
        <w:t xml:space="preserve">. </w:t>
      </w:r>
      <w:r w:rsidR="00A524DC" w:rsidRPr="00DB6DCD">
        <w:rPr>
          <w:rFonts w:ascii="Times New Roman" w:hAnsi="Times New Roman"/>
          <w:b/>
          <w:sz w:val="24"/>
          <w:szCs w:val="24"/>
        </w:rPr>
        <w:t>Mokykl</w:t>
      </w:r>
      <w:r w:rsidR="004F5FB2" w:rsidRPr="00DB6DCD">
        <w:rPr>
          <w:rFonts w:ascii="Times New Roman" w:hAnsi="Times New Roman"/>
          <w:b/>
          <w:sz w:val="24"/>
          <w:szCs w:val="24"/>
        </w:rPr>
        <w:t>ų tinklo kaita 20</w:t>
      </w:r>
      <w:r w:rsidR="003E0246" w:rsidRPr="00DB6DCD">
        <w:rPr>
          <w:rFonts w:ascii="Times New Roman" w:hAnsi="Times New Roman"/>
          <w:b/>
          <w:sz w:val="24"/>
          <w:szCs w:val="24"/>
        </w:rPr>
        <w:t>21</w:t>
      </w:r>
      <w:r w:rsidR="00A524DC" w:rsidRPr="00DB6DCD">
        <w:rPr>
          <w:rFonts w:ascii="Times New Roman" w:hAnsi="Times New Roman"/>
          <w:b/>
          <w:sz w:val="24"/>
          <w:szCs w:val="24"/>
        </w:rPr>
        <w:t>–</w:t>
      </w:r>
      <w:r w:rsidR="004F5FB2" w:rsidRPr="00DB6DCD">
        <w:rPr>
          <w:rFonts w:ascii="Times New Roman" w:hAnsi="Times New Roman"/>
          <w:b/>
          <w:sz w:val="24"/>
          <w:szCs w:val="24"/>
        </w:rPr>
        <w:t>20</w:t>
      </w:r>
      <w:r w:rsidR="003E0246" w:rsidRPr="00DB6DCD">
        <w:rPr>
          <w:rFonts w:ascii="Times New Roman" w:hAnsi="Times New Roman"/>
          <w:b/>
          <w:sz w:val="24"/>
          <w:szCs w:val="24"/>
        </w:rPr>
        <w:t>25</w:t>
      </w:r>
      <w:r w:rsidR="00FD35C3" w:rsidRPr="00DB6DCD">
        <w:rPr>
          <w:rFonts w:ascii="Times New Roman" w:hAnsi="Times New Roman"/>
          <w:b/>
          <w:sz w:val="24"/>
          <w:szCs w:val="24"/>
        </w:rPr>
        <w:t xml:space="preserve"> </w:t>
      </w:r>
      <w:r w:rsidR="004F5FB2" w:rsidRPr="00DB6DCD">
        <w:rPr>
          <w:rFonts w:ascii="Times New Roman" w:hAnsi="Times New Roman"/>
          <w:b/>
          <w:sz w:val="24"/>
          <w:szCs w:val="24"/>
        </w:rPr>
        <w:t>m</w:t>
      </w:r>
      <w:r w:rsidR="00F36B50">
        <w:rPr>
          <w:rFonts w:ascii="Times New Roman" w:hAnsi="Times New Roman"/>
          <w:sz w:val="24"/>
          <w:szCs w:val="24"/>
        </w:rPr>
        <w:t>.</w:t>
      </w:r>
    </w:p>
    <w:p w:rsidR="00B404B7" w:rsidRPr="00981FB0" w:rsidRDefault="00B404B7" w:rsidP="00DB6DCD">
      <w:pPr>
        <w:pStyle w:val="Betarp"/>
        <w:ind w:firstLine="720"/>
        <w:jc w:val="both"/>
      </w:pPr>
      <w:r w:rsidRPr="00DB6DCD">
        <w:rPr>
          <w:rFonts w:ascii="Times New Roman" w:hAnsi="Times New Roman"/>
          <w:bCs/>
          <w:sz w:val="24"/>
          <w:szCs w:val="24"/>
        </w:rPr>
        <w:t>Įgyvendina</w:t>
      </w:r>
      <w:r w:rsidR="00FD49CE" w:rsidRPr="00DB6DCD">
        <w:rPr>
          <w:rFonts w:ascii="Times New Roman" w:hAnsi="Times New Roman"/>
          <w:bCs/>
          <w:sz w:val="24"/>
          <w:szCs w:val="24"/>
        </w:rPr>
        <w:t>n</w:t>
      </w:r>
      <w:r w:rsidRPr="00DB6DCD">
        <w:rPr>
          <w:rFonts w:ascii="Times New Roman" w:hAnsi="Times New Roman"/>
          <w:bCs/>
          <w:sz w:val="24"/>
          <w:szCs w:val="24"/>
        </w:rPr>
        <w:t xml:space="preserve">t Panevėžio rajono savivaldybės bendrojo ugdymo mokyklų tinklo pertvarkos 2016–2020 metais bendrąjį planą, </w:t>
      </w:r>
      <w:r w:rsidRPr="00DB6DCD">
        <w:rPr>
          <w:rFonts w:ascii="Times New Roman" w:hAnsi="Times New Roman"/>
          <w:sz w:val="24"/>
          <w:szCs w:val="24"/>
        </w:rPr>
        <w:t>įvyk</w:t>
      </w:r>
      <w:r w:rsidR="00FD49CE" w:rsidRPr="00DB6DCD">
        <w:rPr>
          <w:rFonts w:ascii="Times New Roman" w:hAnsi="Times New Roman"/>
          <w:sz w:val="24"/>
          <w:szCs w:val="24"/>
        </w:rPr>
        <w:t>o</w:t>
      </w:r>
      <w:r w:rsidRPr="00DB6DCD">
        <w:rPr>
          <w:rFonts w:ascii="Times New Roman" w:hAnsi="Times New Roman"/>
          <w:sz w:val="24"/>
          <w:szCs w:val="24"/>
        </w:rPr>
        <w:t xml:space="preserve"> daug pokyčių</w:t>
      </w:r>
      <w:r w:rsidR="00FD49CE" w:rsidRPr="00DB6DCD">
        <w:rPr>
          <w:rFonts w:ascii="Times New Roman" w:hAnsi="Times New Roman"/>
          <w:sz w:val="24"/>
          <w:szCs w:val="24"/>
        </w:rPr>
        <w:t>.</w:t>
      </w:r>
    </w:p>
    <w:p w:rsidR="00B404B7" w:rsidRPr="00981FB0" w:rsidRDefault="00B404B7" w:rsidP="00DB6DCD">
      <w:pPr>
        <w:pStyle w:val="Betarp"/>
        <w:ind w:firstLine="720"/>
        <w:jc w:val="both"/>
      </w:pPr>
      <w:r w:rsidRPr="00DB6DCD">
        <w:rPr>
          <w:rFonts w:ascii="Times New Roman" w:hAnsi="Times New Roman"/>
          <w:sz w:val="24"/>
          <w:szCs w:val="24"/>
        </w:rPr>
        <w:t>2016 m. akredituota Naujamiesčio vidurinės mokyklos vidurinio ugdymo programa</w:t>
      </w:r>
      <w:r w:rsidR="00FD49CE" w:rsidRPr="00DB6DCD">
        <w:rPr>
          <w:rFonts w:ascii="Times New Roman" w:hAnsi="Times New Roman"/>
          <w:sz w:val="24"/>
          <w:szCs w:val="24"/>
        </w:rPr>
        <w:t>, m</w:t>
      </w:r>
      <w:r w:rsidRPr="00DB6DCD">
        <w:rPr>
          <w:rFonts w:ascii="Times New Roman" w:hAnsi="Times New Roman"/>
          <w:sz w:val="24"/>
          <w:szCs w:val="24"/>
        </w:rPr>
        <w:t xml:space="preserve">okykla tapo Naujamiesčio gimnazija. Likviduoti Velžio gimnazijos Katinų </w:t>
      </w:r>
      <w:r w:rsidR="00FD49CE" w:rsidRPr="00DB6DCD">
        <w:rPr>
          <w:rFonts w:ascii="Times New Roman" w:hAnsi="Times New Roman"/>
          <w:sz w:val="24"/>
          <w:szCs w:val="24"/>
        </w:rPr>
        <w:t xml:space="preserve">pagrindinės mokyklos </w:t>
      </w:r>
      <w:r w:rsidRPr="00DB6DCD">
        <w:rPr>
          <w:rFonts w:ascii="Times New Roman" w:hAnsi="Times New Roman"/>
          <w:sz w:val="24"/>
          <w:szCs w:val="24"/>
        </w:rPr>
        <w:t>ir Miežiškių pagrindinės mokyklos Kurganavos skyriai. Įsteigtas Miežiškių pagrindinės mokyklos Trakiškio ikimokyklinio ir priešmokyklinio ugdymo skyrius. 2017 m. likviduota Geležių pagrindinė mokykla, Ramygalos gimnazijos Jotainių skyrius.</w:t>
      </w:r>
    </w:p>
    <w:p w:rsidR="00B404B7" w:rsidRPr="00981FB0" w:rsidRDefault="00B404B7" w:rsidP="00DB6DCD">
      <w:pPr>
        <w:pStyle w:val="Betarp"/>
        <w:ind w:firstLine="720"/>
        <w:jc w:val="both"/>
      </w:pPr>
      <w:r w:rsidRPr="00DB6DCD">
        <w:rPr>
          <w:rFonts w:ascii="Times New Roman" w:hAnsi="Times New Roman"/>
          <w:sz w:val="24"/>
          <w:szCs w:val="24"/>
        </w:rPr>
        <w:t>2019 m. likviduoti Paįstrio Juozo Zikaro gimnazijos Skaistgirių bei Raguvos gimnazijos Šilų skyriai. 2020 m. likviduota Berčiūnų pagrindinė mokykla, reorganizuotos Linkaučių ir Žibartonių pagrindinės mokyklos į Krekenavos lopšelio-darželio „Sigutė“ ikimokyklinio ugdymo skyrius, Karsakiškio Strazdelio pagrindinė mokykla likviduota Tiltagalių skyrių prijungiant prie Paliūniškio pagrindinės mokyklos, reorganizuotas Raguvos lopšelis-darželis „Skruzdėliukas“ prijungiant prie Raguvos gimnazijos.</w:t>
      </w:r>
    </w:p>
    <w:p w:rsidR="00B404B7" w:rsidRPr="00981FB0" w:rsidRDefault="00B404B7" w:rsidP="00DB6DCD">
      <w:pPr>
        <w:pStyle w:val="Betarp"/>
        <w:ind w:firstLine="720"/>
        <w:jc w:val="both"/>
      </w:pPr>
      <w:r w:rsidRPr="00DB6DCD">
        <w:rPr>
          <w:rFonts w:ascii="Times New Roman" w:hAnsi="Times New Roman"/>
          <w:bCs/>
          <w:sz w:val="24"/>
          <w:szCs w:val="24"/>
        </w:rPr>
        <w:t>2019–2020 m</w:t>
      </w:r>
      <w:r w:rsidR="00FD49CE" w:rsidRPr="00DB6DCD">
        <w:rPr>
          <w:rFonts w:ascii="Times New Roman" w:hAnsi="Times New Roman"/>
          <w:bCs/>
          <w:sz w:val="24"/>
          <w:szCs w:val="24"/>
        </w:rPr>
        <w:t>.</w:t>
      </w:r>
      <w:r w:rsidRPr="00DB6DCD">
        <w:rPr>
          <w:rFonts w:ascii="Times New Roman" w:hAnsi="Times New Roman"/>
          <w:bCs/>
          <w:sz w:val="24"/>
          <w:szCs w:val="24"/>
        </w:rPr>
        <w:t xml:space="preserve"> m</w:t>
      </w:r>
      <w:r w:rsidR="00FD49CE" w:rsidRPr="00DB6DCD">
        <w:rPr>
          <w:rFonts w:ascii="Times New Roman" w:hAnsi="Times New Roman"/>
          <w:bCs/>
          <w:sz w:val="24"/>
          <w:szCs w:val="24"/>
        </w:rPr>
        <w:t>.</w:t>
      </w:r>
      <w:r w:rsidRPr="00DB6DCD">
        <w:rPr>
          <w:rFonts w:ascii="Times New Roman" w:hAnsi="Times New Roman"/>
          <w:bCs/>
          <w:sz w:val="24"/>
          <w:szCs w:val="24"/>
        </w:rPr>
        <w:t xml:space="preserve"> veikė 19 bendrojo ugdymo mokyklų: 7 gimnazijos; 1 progimnazija; 8 pagrindinės mokyklos; 3 mokyklos-darželiai. Ikimokyklinis ir priešmokyklinis ugdymas buvo teikiamas 6 lopšeliuose-darželiuose; 4 ikimokyklinio ugdymo skyriuose; 3 mokyklose-darželiuose; 7 gimnazijos ir pagrindinės mokyklos vykdė ikimokyklinio ir priešmokyklinio ugdymo programas – buvo įsteigtos ikimokyklinio ugdymo grupės. </w:t>
      </w:r>
    </w:p>
    <w:p w:rsidR="00B404B7" w:rsidRDefault="00B404B7" w:rsidP="00DB6DCD">
      <w:pPr>
        <w:pStyle w:val="Betarp"/>
        <w:ind w:firstLine="720"/>
        <w:jc w:val="both"/>
      </w:pPr>
      <w:r w:rsidRPr="00DB6DCD">
        <w:rPr>
          <w:rFonts w:ascii="Times New Roman" w:hAnsi="Times New Roman"/>
          <w:sz w:val="24"/>
          <w:szCs w:val="24"/>
        </w:rPr>
        <w:t xml:space="preserve">Nuo 2020–2021 </w:t>
      </w:r>
      <w:r w:rsidR="00436308" w:rsidRPr="00DB6DCD">
        <w:rPr>
          <w:rFonts w:ascii="Times New Roman" w:hAnsi="Times New Roman"/>
          <w:sz w:val="24"/>
          <w:szCs w:val="24"/>
        </w:rPr>
        <w:t>m</w:t>
      </w:r>
      <w:r w:rsidR="00FD49CE" w:rsidRPr="00DB6DCD">
        <w:rPr>
          <w:rFonts w:ascii="Times New Roman" w:hAnsi="Times New Roman"/>
          <w:sz w:val="24"/>
          <w:szCs w:val="24"/>
        </w:rPr>
        <w:t>.</w:t>
      </w:r>
      <w:r w:rsidR="00436308" w:rsidRPr="00DB6DCD">
        <w:rPr>
          <w:rFonts w:ascii="Times New Roman" w:hAnsi="Times New Roman"/>
          <w:sz w:val="24"/>
          <w:szCs w:val="24"/>
        </w:rPr>
        <w:t xml:space="preserve"> m</w:t>
      </w:r>
      <w:r w:rsidR="00FD49CE" w:rsidRPr="00DB6DCD">
        <w:rPr>
          <w:rFonts w:ascii="Times New Roman" w:hAnsi="Times New Roman"/>
          <w:sz w:val="24"/>
          <w:szCs w:val="24"/>
        </w:rPr>
        <w:t>.</w:t>
      </w:r>
      <w:r w:rsidR="00436308" w:rsidRPr="00DB6DCD">
        <w:rPr>
          <w:rFonts w:ascii="Times New Roman" w:hAnsi="Times New Roman"/>
          <w:sz w:val="24"/>
          <w:szCs w:val="24"/>
        </w:rPr>
        <w:t xml:space="preserve"> rugsėjo 1 d. </w:t>
      </w:r>
      <w:r w:rsidRPr="00DB6DCD">
        <w:rPr>
          <w:rFonts w:ascii="Times New Roman" w:hAnsi="Times New Roman"/>
          <w:sz w:val="24"/>
          <w:szCs w:val="24"/>
        </w:rPr>
        <w:t>veikia 15 bendrojo ugdymo mokyklų: 7 gimnazijos; 1 progimnazija;</w:t>
      </w:r>
      <w:r w:rsidR="00FD49CE" w:rsidRPr="00DB6DCD">
        <w:rPr>
          <w:rFonts w:ascii="Times New Roman" w:hAnsi="Times New Roman"/>
          <w:sz w:val="24"/>
          <w:szCs w:val="24"/>
        </w:rPr>
        <w:t xml:space="preserve"> </w:t>
      </w:r>
      <w:r w:rsidRPr="00DB6DCD">
        <w:rPr>
          <w:rFonts w:ascii="Times New Roman" w:hAnsi="Times New Roman"/>
          <w:sz w:val="24"/>
          <w:szCs w:val="24"/>
        </w:rPr>
        <w:t>4 pagrindinės mokyklos; 3 mokyklos-darželiai. Ikimokyklinis ir priešmokyklinis ugdymas teikiamas 5 lopšeliuose-darželiuose;</w:t>
      </w:r>
      <w:r w:rsidR="00FD49CE" w:rsidRPr="00DB6DCD">
        <w:rPr>
          <w:rFonts w:ascii="Times New Roman" w:hAnsi="Times New Roman"/>
          <w:sz w:val="24"/>
          <w:szCs w:val="24"/>
        </w:rPr>
        <w:t xml:space="preserve"> </w:t>
      </w:r>
      <w:r w:rsidRPr="00DB6DCD">
        <w:rPr>
          <w:rFonts w:ascii="Times New Roman" w:hAnsi="Times New Roman"/>
          <w:sz w:val="24"/>
          <w:szCs w:val="24"/>
        </w:rPr>
        <w:t xml:space="preserve">8 skyriuose; </w:t>
      </w:r>
      <w:r w:rsidR="009553F0">
        <w:rPr>
          <w:rFonts w:ascii="Times New Roman" w:hAnsi="Times New Roman"/>
          <w:sz w:val="24"/>
          <w:szCs w:val="24"/>
        </w:rPr>
        <w:br/>
      </w:r>
      <w:r w:rsidRPr="00DB6DCD">
        <w:rPr>
          <w:rFonts w:ascii="Times New Roman" w:hAnsi="Times New Roman"/>
          <w:sz w:val="24"/>
          <w:szCs w:val="24"/>
        </w:rPr>
        <w:lastRenderedPageBreak/>
        <w:t xml:space="preserve">3 mokyklose-darželiuose; 1 gimnazija ir 2 pagrindinėse mokyklose vykdo ikimokyklinio ir priešmokyklinio ugdymo programas ikimokyklinio ugdymo grupėse. </w:t>
      </w:r>
    </w:p>
    <w:p w:rsidR="00BD3DE9" w:rsidRPr="009553F0" w:rsidRDefault="00BD3DE9" w:rsidP="00DB6DCD">
      <w:pPr>
        <w:pStyle w:val="Betarp"/>
        <w:ind w:firstLine="720"/>
        <w:jc w:val="both"/>
        <w:rPr>
          <w:rFonts w:ascii="Times New Roman" w:hAnsi="Times New Roman"/>
          <w:sz w:val="24"/>
          <w:szCs w:val="24"/>
        </w:rPr>
      </w:pPr>
    </w:p>
    <w:p w:rsidR="00B404B7" w:rsidRPr="00DB6DCD" w:rsidRDefault="00CC343A" w:rsidP="00DB6DCD">
      <w:pPr>
        <w:pStyle w:val="Betarp"/>
        <w:ind w:firstLine="720"/>
        <w:jc w:val="both"/>
      </w:pPr>
      <w:r>
        <w:rPr>
          <w:rFonts w:ascii="Times New Roman" w:hAnsi="Times New Roman"/>
          <w:sz w:val="24"/>
          <w:szCs w:val="24"/>
        </w:rPr>
        <w:t>11</w:t>
      </w:r>
      <w:r w:rsidR="00B404B7" w:rsidRPr="00DB6DCD">
        <w:rPr>
          <w:rFonts w:ascii="Times New Roman" w:hAnsi="Times New Roman"/>
          <w:sz w:val="24"/>
          <w:szCs w:val="24"/>
        </w:rPr>
        <w:t xml:space="preserve"> lentelė. </w:t>
      </w:r>
      <w:r w:rsidR="00B404B7" w:rsidRPr="00DB6DCD">
        <w:rPr>
          <w:rFonts w:ascii="Times New Roman" w:hAnsi="Times New Roman"/>
          <w:iCs/>
          <w:sz w:val="24"/>
          <w:szCs w:val="24"/>
        </w:rPr>
        <w:t>Mokyklų ir švietimo pagalbos įstaigų skaičiaus poky</w:t>
      </w:r>
      <w:r w:rsidR="00FD49CE" w:rsidRPr="00DB6DCD">
        <w:rPr>
          <w:rFonts w:ascii="Times New Roman" w:hAnsi="Times New Roman"/>
          <w:iCs/>
          <w:sz w:val="24"/>
          <w:szCs w:val="24"/>
        </w:rPr>
        <w:t>tis</w:t>
      </w:r>
      <w:r w:rsidR="00B404B7" w:rsidRPr="00DB6DCD">
        <w:rPr>
          <w:rFonts w:ascii="Times New Roman" w:hAnsi="Times New Roman"/>
          <w:iCs/>
          <w:sz w:val="24"/>
          <w:szCs w:val="24"/>
        </w:rPr>
        <w:t xml:space="preserve"> 2015–2020 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1274"/>
        <w:gridCol w:w="1274"/>
        <w:gridCol w:w="1274"/>
        <w:gridCol w:w="1274"/>
        <w:gridCol w:w="1274"/>
        <w:gridCol w:w="1274"/>
      </w:tblGrid>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Pr="009553F0" w:rsidRDefault="00B404B7" w:rsidP="00B17C3C">
            <w:pPr>
              <w:autoSpaceDE w:val="0"/>
              <w:autoSpaceDN w:val="0"/>
              <w:adjustRightInd w:val="0"/>
              <w:spacing w:line="256" w:lineRule="auto"/>
              <w:jc w:val="center"/>
              <w:rPr>
                <w:bCs/>
                <w:lang w:eastAsia="en-US"/>
              </w:rPr>
            </w:pPr>
            <w:r w:rsidRPr="009553F0">
              <w:rPr>
                <w:bCs/>
                <w:lang w:eastAsia="en-US"/>
              </w:rPr>
              <w:t>Įstaigos tipas</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Pr="009553F0" w:rsidRDefault="00B404B7" w:rsidP="00B17C3C">
            <w:pPr>
              <w:autoSpaceDE w:val="0"/>
              <w:autoSpaceDN w:val="0"/>
              <w:adjustRightInd w:val="0"/>
              <w:spacing w:line="256" w:lineRule="auto"/>
              <w:jc w:val="center"/>
              <w:rPr>
                <w:bCs/>
                <w:lang w:eastAsia="en-US"/>
              </w:rPr>
            </w:pPr>
            <w:r w:rsidRPr="009553F0">
              <w:rPr>
                <w:bCs/>
                <w:lang w:eastAsia="en-US"/>
              </w:rPr>
              <w:t>2015 m.</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Pr="009553F0" w:rsidRDefault="00B404B7" w:rsidP="00B17C3C">
            <w:pPr>
              <w:autoSpaceDE w:val="0"/>
              <w:autoSpaceDN w:val="0"/>
              <w:adjustRightInd w:val="0"/>
              <w:spacing w:line="256" w:lineRule="auto"/>
              <w:jc w:val="center"/>
              <w:rPr>
                <w:bCs/>
                <w:lang w:eastAsia="en-US"/>
              </w:rPr>
            </w:pPr>
            <w:r w:rsidRPr="009553F0">
              <w:rPr>
                <w:bCs/>
                <w:lang w:eastAsia="en-US"/>
              </w:rPr>
              <w:t>2016 m.</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Pr="009553F0" w:rsidRDefault="00B404B7" w:rsidP="00B17C3C">
            <w:pPr>
              <w:autoSpaceDE w:val="0"/>
              <w:autoSpaceDN w:val="0"/>
              <w:adjustRightInd w:val="0"/>
              <w:spacing w:line="256" w:lineRule="auto"/>
              <w:jc w:val="center"/>
              <w:rPr>
                <w:bCs/>
                <w:lang w:eastAsia="en-US"/>
              </w:rPr>
            </w:pPr>
            <w:r w:rsidRPr="009553F0">
              <w:rPr>
                <w:bCs/>
                <w:lang w:eastAsia="en-US"/>
              </w:rPr>
              <w:t>2017 m.</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Pr="009553F0" w:rsidRDefault="00B404B7" w:rsidP="00B17C3C">
            <w:pPr>
              <w:autoSpaceDE w:val="0"/>
              <w:autoSpaceDN w:val="0"/>
              <w:adjustRightInd w:val="0"/>
              <w:spacing w:line="256" w:lineRule="auto"/>
              <w:jc w:val="center"/>
              <w:rPr>
                <w:bCs/>
                <w:lang w:eastAsia="en-US"/>
              </w:rPr>
            </w:pPr>
            <w:r w:rsidRPr="009553F0">
              <w:rPr>
                <w:bCs/>
                <w:lang w:eastAsia="en-US"/>
              </w:rPr>
              <w:t>2018 m.</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Pr="009553F0" w:rsidRDefault="00B404B7" w:rsidP="00B17C3C">
            <w:pPr>
              <w:autoSpaceDE w:val="0"/>
              <w:autoSpaceDN w:val="0"/>
              <w:adjustRightInd w:val="0"/>
              <w:spacing w:line="256" w:lineRule="auto"/>
              <w:jc w:val="center"/>
              <w:rPr>
                <w:bCs/>
                <w:lang w:eastAsia="en-US"/>
              </w:rPr>
            </w:pPr>
            <w:r w:rsidRPr="009553F0">
              <w:rPr>
                <w:bCs/>
                <w:lang w:eastAsia="en-US"/>
              </w:rPr>
              <w:t>2019 m.</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Pr="009553F0" w:rsidRDefault="00B404B7" w:rsidP="00B17C3C">
            <w:pPr>
              <w:autoSpaceDE w:val="0"/>
              <w:autoSpaceDN w:val="0"/>
              <w:adjustRightInd w:val="0"/>
              <w:spacing w:line="256" w:lineRule="auto"/>
              <w:jc w:val="center"/>
              <w:rPr>
                <w:bCs/>
                <w:lang w:eastAsia="en-US"/>
              </w:rPr>
            </w:pPr>
            <w:r w:rsidRPr="009553F0">
              <w:rPr>
                <w:bCs/>
                <w:lang w:eastAsia="en-US"/>
              </w:rPr>
              <w:t>2020 m.</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Gimnazija</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6</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7</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7</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7</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7</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7</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Vidurinė mokykla</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0</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0</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0</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0</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0</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Pagrindinė mokykla</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9</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9</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8</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8</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8</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4</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Progimnazija</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Mokykla-darželis</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Lopšelis-darželis</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6</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6</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6</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6</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6</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5</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Bendrojo ugdymo skyrius</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6</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4</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2</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2</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Ikimokyklinio / priešmokyklinio ugdymo skyrius</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4</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4</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4</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4</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7</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Ikimokyklinio / priešmokyklinio ugdymo grupė</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14</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12</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10</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9</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7</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3</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Muzikos mokykla</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Švietimo centras</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r>
      <w:tr w:rsidR="00B404B7" w:rsidRPr="00A90281" w:rsidTr="00B17C3C">
        <w:trPr>
          <w:trHeight w:val="340"/>
        </w:trPr>
        <w:tc>
          <w:tcPr>
            <w:tcW w:w="5219"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rPr>
                <w:bCs/>
                <w:lang w:eastAsia="en-US"/>
              </w:rPr>
            </w:pPr>
            <w:r>
              <w:rPr>
                <w:bCs/>
                <w:lang w:eastAsia="en-US"/>
              </w:rPr>
              <w:t>Pedagoginė psichologinė tarnyba</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rsidR="00B404B7" w:rsidRDefault="00B404B7" w:rsidP="00B17C3C">
            <w:pPr>
              <w:autoSpaceDE w:val="0"/>
              <w:autoSpaceDN w:val="0"/>
              <w:adjustRightInd w:val="0"/>
              <w:spacing w:line="256" w:lineRule="auto"/>
              <w:jc w:val="center"/>
              <w:rPr>
                <w:bCs/>
                <w:lang w:eastAsia="en-US"/>
              </w:rPr>
            </w:pPr>
            <w:r>
              <w:rPr>
                <w:bCs/>
                <w:lang w:eastAsia="en-US"/>
              </w:rPr>
              <w:t>1</w:t>
            </w:r>
          </w:p>
        </w:tc>
      </w:tr>
    </w:tbl>
    <w:p w:rsidR="00CC343A" w:rsidRDefault="00CC343A" w:rsidP="00DB6DCD">
      <w:pPr>
        <w:ind w:firstLine="720"/>
      </w:pPr>
    </w:p>
    <w:p w:rsidR="00BD3DE9" w:rsidRPr="00F8228D" w:rsidRDefault="003A311C" w:rsidP="00306C07">
      <w:pPr>
        <w:ind w:firstLine="720"/>
      </w:pPr>
      <w:r w:rsidRPr="00F8228D">
        <w:t>1</w:t>
      </w:r>
      <w:r w:rsidR="00CC343A">
        <w:t>1</w:t>
      </w:r>
      <w:r w:rsidR="00B404B7" w:rsidRPr="00F8228D">
        <w:t xml:space="preserve"> lentelė</w:t>
      </w:r>
      <w:r w:rsidR="005C45D6" w:rsidRPr="00F8228D">
        <w:t>s diagrama</w:t>
      </w:r>
    </w:p>
    <w:p w:rsidR="007B51C9" w:rsidRDefault="00997C5F" w:rsidP="007B51C9">
      <w:pPr>
        <w:rPr>
          <w:noProof/>
        </w:rPr>
      </w:pPr>
      <w:r>
        <w:rPr>
          <w:noProof/>
        </w:rPr>
        <w:drawing>
          <wp:inline distT="0" distB="0" distL="0" distR="0">
            <wp:extent cx="8028929" cy="2366682"/>
            <wp:effectExtent l="19050" t="0" r="10171" b="0"/>
            <wp:docPr id="4" name="Paveikslėli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192E" w:rsidRPr="00DB6DCD" w:rsidRDefault="005058D9" w:rsidP="00DB6DCD">
      <w:pPr>
        <w:ind w:firstLine="720"/>
      </w:pPr>
      <w:r>
        <w:rPr>
          <w:b/>
        </w:rPr>
        <w:lastRenderedPageBreak/>
        <w:t>7</w:t>
      </w:r>
      <w:r w:rsidR="009555D3" w:rsidRPr="004604B2">
        <w:rPr>
          <w:b/>
        </w:rPr>
        <w:t xml:space="preserve">. Prognozuojama mokinių skaičiaus kaita </w:t>
      </w:r>
      <w:r w:rsidR="00D3300F">
        <w:rPr>
          <w:b/>
        </w:rPr>
        <w:t xml:space="preserve"> </w:t>
      </w:r>
    </w:p>
    <w:p w:rsidR="00E5192E" w:rsidRDefault="00E5192E" w:rsidP="00DB6DCD">
      <w:pPr>
        <w:pStyle w:val="Betarp"/>
        <w:ind w:firstLine="720"/>
        <w:jc w:val="both"/>
      </w:pPr>
      <w:r w:rsidRPr="00DB6DCD">
        <w:rPr>
          <w:rFonts w:ascii="Times New Roman" w:hAnsi="Times New Roman"/>
          <w:sz w:val="24"/>
          <w:szCs w:val="24"/>
        </w:rPr>
        <w:t>Analizuojant mokinių skaičiaus kaitą, paaiškėjo, kad prognozuota mokinių mažėjimo tendencija ne tik pasitvirtino, bet ir stipriai pranoko prognozes. Duomenys rodo akivaizdžią bendrojo ugdymo mokyklų mokinių mažėjimo tendenciją nuo</w:t>
      </w:r>
      <w:r w:rsidR="00183AD0">
        <w:rPr>
          <w:rFonts w:ascii="Times New Roman" w:hAnsi="Times New Roman"/>
          <w:sz w:val="24"/>
          <w:szCs w:val="24"/>
        </w:rPr>
        <w:t xml:space="preserve"> </w:t>
      </w:r>
      <w:r w:rsidRPr="00DB6DCD">
        <w:rPr>
          <w:rFonts w:ascii="Times New Roman" w:hAnsi="Times New Roman"/>
          <w:sz w:val="24"/>
          <w:szCs w:val="24"/>
        </w:rPr>
        <w:t>2016</w:t>
      </w:r>
      <w:r w:rsidR="00183AD0">
        <w:rPr>
          <w:rFonts w:ascii="Times New Roman" w:hAnsi="Times New Roman"/>
          <w:sz w:val="24"/>
          <w:szCs w:val="24"/>
        </w:rPr>
        <w:t xml:space="preserve"> m.</w:t>
      </w:r>
      <w:r w:rsidRPr="00DB6DCD">
        <w:rPr>
          <w:rFonts w:ascii="Times New Roman" w:hAnsi="Times New Roman"/>
          <w:sz w:val="24"/>
          <w:szCs w:val="24"/>
        </w:rPr>
        <w:t xml:space="preserve"> iki 2020 m.</w:t>
      </w:r>
    </w:p>
    <w:p w:rsidR="00BD3DE9" w:rsidRPr="00FC34DE" w:rsidRDefault="00BD3DE9" w:rsidP="00DB6DCD">
      <w:pPr>
        <w:pStyle w:val="Betarp"/>
        <w:ind w:firstLine="720"/>
        <w:jc w:val="both"/>
        <w:rPr>
          <w:rFonts w:ascii="Times New Roman" w:hAnsi="Times New Roman"/>
          <w:sz w:val="24"/>
          <w:szCs w:val="24"/>
        </w:rPr>
      </w:pPr>
    </w:p>
    <w:p w:rsidR="00E5192E" w:rsidRPr="00DB6DCD" w:rsidRDefault="00CC343A" w:rsidP="00DB6DCD">
      <w:pPr>
        <w:pStyle w:val="Betarp"/>
        <w:ind w:firstLine="720"/>
        <w:jc w:val="both"/>
      </w:pPr>
      <w:r>
        <w:rPr>
          <w:rFonts w:ascii="Times New Roman" w:hAnsi="Times New Roman"/>
          <w:sz w:val="24"/>
          <w:szCs w:val="24"/>
        </w:rPr>
        <w:t>12</w:t>
      </w:r>
      <w:r w:rsidR="00E5192E" w:rsidRPr="00DB6DCD">
        <w:rPr>
          <w:rFonts w:ascii="Times New Roman" w:hAnsi="Times New Roman"/>
          <w:sz w:val="24"/>
          <w:szCs w:val="24"/>
        </w:rPr>
        <w:t xml:space="preserve"> lentelė. Mokinių skaičiaus prognozė ir jų atitiktis</w:t>
      </w: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1985"/>
        <w:gridCol w:w="1984"/>
        <w:gridCol w:w="2126"/>
        <w:gridCol w:w="2127"/>
        <w:gridCol w:w="1874"/>
      </w:tblGrid>
      <w:tr w:rsidR="00E5192E" w:rsidRPr="007B42EC" w:rsidTr="00306C07">
        <w:trPr>
          <w:trHeight w:val="350"/>
        </w:trPr>
        <w:tc>
          <w:tcPr>
            <w:tcW w:w="2864" w:type="dxa"/>
          </w:tcPr>
          <w:p w:rsidR="00E5192E" w:rsidRPr="00FC34DE" w:rsidRDefault="00E5192E" w:rsidP="00F8228D">
            <w:pPr>
              <w:jc w:val="center"/>
            </w:pPr>
            <w:r w:rsidRPr="00FC34DE">
              <w:t>Mokinių</w:t>
            </w:r>
            <w:r w:rsidR="00F8228D">
              <w:t xml:space="preserve"> </w:t>
            </w:r>
            <w:r w:rsidRPr="00FC34DE">
              <w:t>skaičius</w:t>
            </w:r>
          </w:p>
        </w:tc>
        <w:tc>
          <w:tcPr>
            <w:tcW w:w="1985" w:type="dxa"/>
          </w:tcPr>
          <w:p w:rsidR="00E5192E" w:rsidRPr="00FC34DE" w:rsidRDefault="00E5192E" w:rsidP="004F4FD1">
            <w:pPr>
              <w:jc w:val="center"/>
            </w:pPr>
            <w:r w:rsidRPr="00FC34DE">
              <w:t>2015–2016 m. m.</w:t>
            </w:r>
          </w:p>
        </w:tc>
        <w:tc>
          <w:tcPr>
            <w:tcW w:w="1984" w:type="dxa"/>
          </w:tcPr>
          <w:p w:rsidR="00E5192E" w:rsidRPr="00FC34DE" w:rsidRDefault="00E5192E" w:rsidP="00F8228D">
            <w:pPr>
              <w:jc w:val="center"/>
            </w:pPr>
            <w:r w:rsidRPr="00FC34DE">
              <w:t>2016–2017 m. m.</w:t>
            </w:r>
          </w:p>
        </w:tc>
        <w:tc>
          <w:tcPr>
            <w:tcW w:w="2126" w:type="dxa"/>
          </w:tcPr>
          <w:p w:rsidR="00E5192E" w:rsidRPr="00FC34DE" w:rsidRDefault="00E5192E" w:rsidP="00F8228D">
            <w:pPr>
              <w:jc w:val="center"/>
            </w:pPr>
            <w:r w:rsidRPr="00FC34DE">
              <w:t>2017–2018 m. m.</w:t>
            </w:r>
          </w:p>
        </w:tc>
        <w:tc>
          <w:tcPr>
            <w:tcW w:w="2127" w:type="dxa"/>
          </w:tcPr>
          <w:p w:rsidR="00E5192E" w:rsidRPr="00FC34DE" w:rsidRDefault="00E5192E" w:rsidP="00F8228D">
            <w:pPr>
              <w:jc w:val="center"/>
            </w:pPr>
            <w:r w:rsidRPr="00FC34DE">
              <w:t>2018–2019 m. m.</w:t>
            </w:r>
          </w:p>
        </w:tc>
        <w:tc>
          <w:tcPr>
            <w:tcW w:w="1874" w:type="dxa"/>
          </w:tcPr>
          <w:p w:rsidR="00E5192E" w:rsidRPr="00FC34DE" w:rsidRDefault="00E5192E" w:rsidP="00F8228D">
            <w:pPr>
              <w:jc w:val="center"/>
            </w:pPr>
            <w:r w:rsidRPr="00FC34DE">
              <w:t>2019–2020 m. m.</w:t>
            </w:r>
          </w:p>
        </w:tc>
      </w:tr>
      <w:tr w:rsidR="00E5192E" w:rsidRPr="007B42EC" w:rsidTr="00306C07">
        <w:trPr>
          <w:trHeight w:val="235"/>
        </w:trPr>
        <w:tc>
          <w:tcPr>
            <w:tcW w:w="2864" w:type="dxa"/>
          </w:tcPr>
          <w:p w:rsidR="00E5192E" w:rsidRPr="007B42EC" w:rsidRDefault="00E5192E" w:rsidP="004F4FD1">
            <w:pPr>
              <w:jc w:val="center"/>
            </w:pPr>
            <w:r w:rsidRPr="007B42EC">
              <w:t>Prognozuotas</w:t>
            </w:r>
          </w:p>
        </w:tc>
        <w:tc>
          <w:tcPr>
            <w:tcW w:w="1985" w:type="dxa"/>
          </w:tcPr>
          <w:p w:rsidR="00E5192E" w:rsidRPr="007B42EC" w:rsidRDefault="00E5192E" w:rsidP="004F4FD1">
            <w:pPr>
              <w:jc w:val="center"/>
            </w:pPr>
            <w:r w:rsidRPr="007B42EC">
              <w:t>3</w:t>
            </w:r>
            <w:r w:rsidR="00183AD0">
              <w:t xml:space="preserve"> </w:t>
            </w:r>
            <w:r w:rsidRPr="007B42EC">
              <w:t>219</w:t>
            </w:r>
          </w:p>
        </w:tc>
        <w:tc>
          <w:tcPr>
            <w:tcW w:w="1984" w:type="dxa"/>
          </w:tcPr>
          <w:p w:rsidR="00E5192E" w:rsidRPr="007B42EC" w:rsidRDefault="00E5192E" w:rsidP="004F4FD1">
            <w:pPr>
              <w:jc w:val="center"/>
            </w:pPr>
            <w:r w:rsidRPr="007B42EC">
              <w:t>3</w:t>
            </w:r>
            <w:r w:rsidR="00183AD0">
              <w:t xml:space="preserve"> </w:t>
            </w:r>
            <w:r w:rsidRPr="007B42EC">
              <w:t>248</w:t>
            </w:r>
          </w:p>
        </w:tc>
        <w:tc>
          <w:tcPr>
            <w:tcW w:w="2126" w:type="dxa"/>
          </w:tcPr>
          <w:p w:rsidR="00E5192E" w:rsidRPr="007B42EC" w:rsidRDefault="00E5192E" w:rsidP="004F4FD1">
            <w:pPr>
              <w:jc w:val="center"/>
            </w:pPr>
            <w:r w:rsidRPr="007B42EC">
              <w:t>3</w:t>
            </w:r>
            <w:r w:rsidR="00183AD0">
              <w:t xml:space="preserve"> </w:t>
            </w:r>
            <w:r w:rsidRPr="007B42EC">
              <w:t>189</w:t>
            </w:r>
          </w:p>
        </w:tc>
        <w:tc>
          <w:tcPr>
            <w:tcW w:w="2127" w:type="dxa"/>
          </w:tcPr>
          <w:p w:rsidR="00E5192E" w:rsidRPr="007B42EC" w:rsidRDefault="00E5192E" w:rsidP="004F4FD1">
            <w:pPr>
              <w:jc w:val="center"/>
            </w:pPr>
            <w:r w:rsidRPr="007B42EC">
              <w:t>3</w:t>
            </w:r>
            <w:r w:rsidR="00183AD0">
              <w:t xml:space="preserve"> </w:t>
            </w:r>
            <w:r w:rsidRPr="007B42EC">
              <w:t>145</w:t>
            </w:r>
          </w:p>
        </w:tc>
        <w:tc>
          <w:tcPr>
            <w:tcW w:w="1874" w:type="dxa"/>
          </w:tcPr>
          <w:p w:rsidR="00E5192E" w:rsidRPr="007B42EC" w:rsidRDefault="00E5192E" w:rsidP="004F4FD1">
            <w:pPr>
              <w:jc w:val="center"/>
            </w:pPr>
            <w:r w:rsidRPr="007B42EC">
              <w:t>3</w:t>
            </w:r>
            <w:r w:rsidR="00183AD0">
              <w:t xml:space="preserve"> </w:t>
            </w:r>
            <w:r w:rsidRPr="007B42EC">
              <w:t>087</w:t>
            </w:r>
          </w:p>
        </w:tc>
      </w:tr>
      <w:tr w:rsidR="00E5192E" w:rsidRPr="007B42EC" w:rsidTr="00306C07">
        <w:trPr>
          <w:trHeight w:val="302"/>
        </w:trPr>
        <w:tc>
          <w:tcPr>
            <w:tcW w:w="2864" w:type="dxa"/>
            <w:tcBorders>
              <w:bottom w:val="single" w:sz="4" w:space="0" w:color="auto"/>
            </w:tcBorders>
          </w:tcPr>
          <w:p w:rsidR="00E5192E" w:rsidRPr="007B42EC" w:rsidRDefault="00E5192E" w:rsidP="004F4FD1">
            <w:pPr>
              <w:jc w:val="center"/>
            </w:pPr>
            <w:r w:rsidRPr="007B42EC">
              <w:t>Faktinis</w:t>
            </w:r>
          </w:p>
        </w:tc>
        <w:tc>
          <w:tcPr>
            <w:tcW w:w="1985" w:type="dxa"/>
            <w:tcBorders>
              <w:bottom w:val="single" w:sz="4" w:space="0" w:color="auto"/>
            </w:tcBorders>
          </w:tcPr>
          <w:p w:rsidR="00E5192E" w:rsidRPr="007B42EC" w:rsidRDefault="00E5192E" w:rsidP="004F4FD1">
            <w:pPr>
              <w:jc w:val="center"/>
            </w:pPr>
            <w:r w:rsidRPr="007B42EC">
              <w:t>3</w:t>
            </w:r>
            <w:r w:rsidR="00183AD0">
              <w:t xml:space="preserve"> </w:t>
            </w:r>
            <w:r w:rsidRPr="007B42EC">
              <w:t>219</w:t>
            </w:r>
          </w:p>
        </w:tc>
        <w:tc>
          <w:tcPr>
            <w:tcW w:w="1984" w:type="dxa"/>
            <w:tcBorders>
              <w:bottom w:val="single" w:sz="4" w:space="0" w:color="auto"/>
            </w:tcBorders>
          </w:tcPr>
          <w:p w:rsidR="00E5192E" w:rsidRPr="007B42EC" w:rsidRDefault="00E5192E" w:rsidP="004F4FD1">
            <w:pPr>
              <w:jc w:val="center"/>
            </w:pPr>
            <w:r w:rsidRPr="007B42EC">
              <w:t>3</w:t>
            </w:r>
            <w:r w:rsidR="00183AD0">
              <w:t xml:space="preserve"> </w:t>
            </w:r>
            <w:r w:rsidRPr="007B42EC">
              <w:t>154</w:t>
            </w:r>
          </w:p>
        </w:tc>
        <w:tc>
          <w:tcPr>
            <w:tcW w:w="2126" w:type="dxa"/>
            <w:tcBorders>
              <w:bottom w:val="single" w:sz="4" w:space="0" w:color="auto"/>
            </w:tcBorders>
          </w:tcPr>
          <w:p w:rsidR="00E5192E" w:rsidRPr="007B42EC" w:rsidRDefault="00E5192E" w:rsidP="004F4FD1">
            <w:pPr>
              <w:jc w:val="center"/>
            </w:pPr>
            <w:r w:rsidRPr="007B42EC">
              <w:t>3</w:t>
            </w:r>
            <w:r w:rsidR="00183AD0">
              <w:t xml:space="preserve"> </w:t>
            </w:r>
            <w:r w:rsidRPr="007B42EC">
              <w:t>043</w:t>
            </w:r>
          </w:p>
        </w:tc>
        <w:tc>
          <w:tcPr>
            <w:tcW w:w="2127" w:type="dxa"/>
            <w:tcBorders>
              <w:bottom w:val="single" w:sz="4" w:space="0" w:color="auto"/>
            </w:tcBorders>
          </w:tcPr>
          <w:p w:rsidR="00E5192E" w:rsidRPr="007B42EC" w:rsidRDefault="00E5192E" w:rsidP="004F4FD1">
            <w:pPr>
              <w:jc w:val="center"/>
            </w:pPr>
            <w:r w:rsidRPr="007B42EC">
              <w:t>2</w:t>
            </w:r>
            <w:r w:rsidR="00183AD0">
              <w:t xml:space="preserve"> </w:t>
            </w:r>
            <w:r w:rsidRPr="007B42EC">
              <w:t>926</w:t>
            </w:r>
          </w:p>
        </w:tc>
        <w:tc>
          <w:tcPr>
            <w:tcW w:w="1874" w:type="dxa"/>
            <w:tcBorders>
              <w:bottom w:val="single" w:sz="4" w:space="0" w:color="auto"/>
            </w:tcBorders>
          </w:tcPr>
          <w:p w:rsidR="00E5192E" w:rsidRPr="007B42EC" w:rsidRDefault="00E5192E" w:rsidP="004F4FD1">
            <w:pPr>
              <w:jc w:val="center"/>
            </w:pPr>
            <w:r w:rsidRPr="007B42EC">
              <w:t>2</w:t>
            </w:r>
            <w:r w:rsidR="00183AD0">
              <w:t xml:space="preserve"> </w:t>
            </w:r>
            <w:r w:rsidRPr="007B42EC">
              <w:t>882</w:t>
            </w:r>
          </w:p>
        </w:tc>
      </w:tr>
      <w:tr w:rsidR="00E5192E" w:rsidRPr="007B42EC" w:rsidTr="00306C07">
        <w:trPr>
          <w:trHeight w:val="282"/>
        </w:trPr>
        <w:tc>
          <w:tcPr>
            <w:tcW w:w="2864" w:type="dxa"/>
            <w:tcBorders>
              <w:bottom w:val="single" w:sz="4" w:space="0" w:color="auto"/>
            </w:tcBorders>
          </w:tcPr>
          <w:p w:rsidR="00E5192E" w:rsidRPr="007B42EC" w:rsidRDefault="00E5192E" w:rsidP="004F4FD1">
            <w:pPr>
              <w:jc w:val="center"/>
            </w:pPr>
            <w:r w:rsidRPr="007B42EC">
              <w:t>Pokytis</w:t>
            </w:r>
          </w:p>
        </w:tc>
        <w:tc>
          <w:tcPr>
            <w:tcW w:w="1985" w:type="dxa"/>
            <w:tcBorders>
              <w:bottom w:val="single" w:sz="4" w:space="0" w:color="auto"/>
            </w:tcBorders>
          </w:tcPr>
          <w:p w:rsidR="00E5192E" w:rsidRPr="007B42EC" w:rsidRDefault="00E5192E" w:rsidP="004F4FD1">
            <w:pPr>
              <w:jc w:val="center"/>
            </w:pPr>
            <w:r w:rsidRPr="007B42EC">
              <w:t>–</w:t>
            </w:r>
          </w:p>
        </w:tc>
        <w:tc>
          <w:tcPr>
            <w:tcW w:w="1984" w:type="dxa"/>
            <w:tcBorders>
              <w:bottom w:val="single" w:sz="4" w:space="0" w:color="auto"/>
            </w:tcBorders>
          </w:tcPr>
          <w:p w:rsidR="00E5192E" w:rsidRPr="007B42EC" w:rsidRDefault="00E5192E" w:rsidP="004F4FD1">
            <w:pPr>
              <w:jc w:val="center"/>
            </w:pPr>
            <w:r w:rsidRPr="007B42EC">
              <w:t>-94</w:t>
            </w:r>
          </w:p>
        </w:tc>
        <w:tc>
          <w:tcPr>
            <w:tcW w:w="2126" w:type="dxa"/>
            <w:tcBorders>
              <w:bottom w:val="single" w:sz="4" w:space="0" w:color="auto"/>
            </w:tcBorders>
          </w:tcPr>
          <w:p w:rsidR="00E5192E" w:rsidRPr="007B42EC" w:rsidRDefault="00E5192E" w:rsidP="004F4FD1">
            <w:pPr>
              <w:jc w:val="center"/>
            </w:pPr>
            <w:r w:rsidRPr="007B42EC">
              <w:t>-146</w:t>
            </w:r>
          </w:p>
        </w:tc>
        <w:tc>
          <w:tcPr>
            <w:tcW w:w="2127" w:type="dxa"/>
            <w:tcBorders>
              <w:bottom w:val="single" w:sz="4" w:space="0" w:color="auto"/>
            </w:tcBorders>
          </w:tcPr>
          <w:p w:rsidR="00E5192E" w:rsidRPr="007B42EC" w:rsidRDefault="00E5192E" w:rsidP="004F4FD1">
            <w:pPr>
              <w:jc w:val="center"/>
            </w:pPr>
            <w:r w:rsidRPr="007B42EC">
              <w:t>-219</w:t>
            </w:r>
          </w:p>
        </w:tc>
        <w:tc>
          <w:tcPr>
            <w:tcW w:w="1874" w:type="dxa"/>
            <w:tcBorders>
              <w:bottom w:val="single" w:sz="4" w:space="0" w:color="auto"/>
            </w:tcBorders>
          </w:tcPr>
          <w:p w:rsidR="00E5192E" w:rsidRPr="007B42EC" w:rsidRDefault="00E5192E" w:rsidP="004F4FD1">
            <w:pPr>
              <w:jc w:val="center"/>
            </w:pPr>
            <w:r w:rsidRPr="007B42EC">
              <w:t>-205</w:t>
            </w:r>
          </w:p>
        </w:tc>
      </w:tr>
    </w:tbl>
    <w:p w:rsidR="004309F2" w:rsidRDefault="004309F2" w:rsidP="006B05D5">
      <w:pPr>
        <w:pStyle w:val="Betarp"/>
        <w:rPr>
          <w:rFonts w:ascii="Times New Roman" w:hAnsi="Times New Roman"/>
          <w:i/>
          <w:sz w:val="24"/>
          <w:szCs w:val="24"/>
        </w:rPr>
      </w:pPr>
    </w:p>
    <w:p w:rsidR="00BD3DE9" w:rsidRPr="00DB6DCD" w:rsidRDefault="00CC343A" w:rsidP="00F8228D">
      <w:pPr>
        <w:pStyle w:val="Betarp"/>
        <w:ind w:firstLine="720"/>
        <w:rPr>
          <w:rFonts w:ascii="Times New Roman" w:hAnsi="Times New Roman"/>
          <w:sz w:val="24"/>
          <w:szCs w:val="24"/>
        </w:rPr>
      </w:pPr>
      <w:r>
        <w:rPr>
          <w:rFonts w:ascii="Times New Roman" w:hAnsi="Times New Roman"/>
          <w:sz w:val="24"/>
          <w:szCs w:val="24"/>
        </w:rPr>
        <w:t>13</w:t>
      </w:r>
      <w:r w:rsidR="00E5192E" w:rsidRPr="00DB6DCD">
        <w:rPr>
          <w:rFonts w:ascii="Times New Roman" w:hAnsi="Times New Roman"/>
          <w:sz w:val="24"/>
          <w:szCs w:val="24"/>
        </w:rPr>
        <w:t xml:space="preserve"> lentelė. Mokinių skaičiaus prognozė iki 2025 m</w:t>
      </w:r>
      <w:r w:rsidR="00183AD0">
        <w:rPr>
          <w:rFonts w:ascii="Times New Roman" w:hAnsi="Times New Roman"/>
          <w:sz w:val="24"/>
          <w:szCs w:val="24"/>
        </w:rPr>
        <w:t>.</w:t>
      </w: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5"/>
        <w:gridCol w:w="1984"/>
        <w:gridCol w:w="1985"/>
        <w:gridCol w:w="1984"/>
        <w:gridCol w:w="1985"/>
        <w:gridCol w:w="1903"/>
      </w:tblGrid>
      <w:tr w:rsidR="00E5192E" w:rsidRPr="007B42EC" w:rsidTr="00306C07">
        <w:trPr>
          <w:trHeight w:val="350"/>
        </w:trPr>
        <w:tc>
          <w:tcPr>
            <w:tcW w:w="1134" w:type="dxa"/>
            <w:tcBorders>
              <w:bottom w:val="single" w:sz="4" w:space="0" w:color="auto"/>
            </w:tcBorders>
          </w:tcPr>
          <w:p w:rsidR="00E5192E" w:rsidRPr="00DB6DCD" w:rsidRDefault="00F22786" w:rsidP="00F22786">
            <w:pPr>
              <w:jc w:val="center"/>
              <w:rPr>
                <w:color w:val="FF0000"/>
              </w:rPr>
            </w:pPr>
            <w:r w:rsidRPr="00F63E2D">
              <w:t>Mokslo metai</w:t>
            </w:r>
          </w:p>
        </w:tc>
        <w:tc>
          <w:tcPr>
            <w:tcW w:w="1985" w:type="dxa"/>
            <w:tcBorders>
              <w:bottom w:val="single" w:sz="4" w:space="0" w:color="auto"/>
            </w:tcBorders>
          </w:tcPr>
          <w:p w:rsidR="00E5192E" w:rsidRPr="00DB6DCD" w:rsidRDefault="00E5192E" w:rsidP="004F4FD1">
            <w:pPr>
              <w:jc w:val="center"/>
            </w:pPr>
            <w:r w:rsidRPr="00DB6DCD">
              <w:t>2020–2021 m. m.</w:t>
            </w:r>
          </w:p>
        </w:tc>
        <w:tc>
          <w:tcPr>
            <w:tcW w:w="1984" w:type="dxa"/>
            <w:tcBorders>
              <w:bottom w:val="single" w:sz="4" w:space="0" w:color="auto"/>
            </w:tcBorders>
          </w:tcPr>
          <w:p w:rsidR="00E5192E" w:rsidRPr="00DB6DCD" w:rsidRDefault="00E5192E" w:rsidP="004F4FD1">
            <w:pPr>
              <w:jc w:val="center"/>
            </w:pPr>
            <w:r w:rsidRPr="00DB6DCD">
              <w:t>2021–2022 m. m.</w:t>
            </w:r>
          </w:p>
        </w:tc>
        <w:tc>
          <w:tcPr>
            <w:tcW w:w="1985" w:type="dxa"/>
            <w:tcBorders>
              <w:bottom w:val="single" w:sz="4" w:space="0" w:color="auto"/>
            </w:tcBorders>
          </w:tcPr>
          <w:p w:rsidR="00E5192E" w:rsidRPr="00DB6DCD" w:rsidRDefault="00E5192E" w:rsidP="004F4FD1">
            <w:pPr>
              <w:jc w:val="center"/>
            </w:pPr>
            <w:r w:rsidRPr="00DB6DCD">
              <w:t>2022–2023 m. m.</w:t>
            </w:r>
          </w:p>
        </w:tc>
        <w:tc>
          <w:tcPr>
            <w:tcW w:w="1984" w:type="dxa"/>
            <w:tcBorders>
              <w:bottom w:val="single" w:sz="4" w:space="0" w:color="auto"/>
            </w:tcBorders>
          </w:tcPr>
          <w:p w:rsidR="00E5192E" w:rsidRPr="00DB6DCD" w:rsidRDefault="00E5192E" w:rsidP="004F4FD1">
            <w:pPr>
              <w:jc w:val="center"/>
            </w:pPr>
            <w:r w:rsidRPr="00DB6DCD">
              <w:t>2023–2024 m. m.</w:t>
            </w:r>
          </w:p>
        </w:tc>
        <w:tc>
          <w:tcPr>
            <w:tcW w:w="1985" w:type="dxa"/>
            <w:tcBorders>
              <w:bottom w:val="single" w:sz="4" w:space="0" w:color="auto"/>
            </w:tcBorders>
          </w:tcPr>
          <w:p w:rsidR="00E5192E" w:rsidRPr="00DB6DCD" w:rsidRDefault="00E5192E" w:rsidP="004F4FD1">
            <w:pPr>
              <w:jc w:val="center"/>
            </w:pPr>
            <w:r w:rsidRPr="00DB6DCD">
              <w:t>2024–2025 m. m.</w:t>
            </w:r>
          </w:p>
        </w:tc>
        <w:tc>
          <w:tcPr>
            <w:tcW w:w="1903" w:type="dxa"/>
            <w:tcBorders>
              <w:bottom w:val="single" w:sz="4" w:space="0" w:color="auto"/>
            </w:tcBorders>
          </w:tcPr>
          <w:p w:rsidR="00E5192E" w:rsidRPr="00DB6DCD" w:rsidRDefault="00E5192E" w:rsidP="004F4FD1">
            <w:pPr>
              <w:jc w:val="center"/>
            </w:pPr>
            <w:r w:rsidRPr="00DB6DCD">
              <w:t>2025–2026 m. m.</w:t>
            </w:r>
          </w:p>
        </w:tc>
      </w:tr>
      <w:tr w:rsidR="00E5192E" w:rsidRPr="007C44B0" w:rsidTr="00306C07">
        <w:trPr>
          <w:trHeight w:val="570"/>
        </w:trPr>
        <w:tc>
          <w:tcPr>
            <w:tcW w:w="1134" w:type="dxa"/>
            <w:tcBorders>
              <w:top w:val="single" w:sz="4" w:space="0" w:color="auto"/>
              <w:bottom w:val="single" w:sz="4" w:space="0" w:color="auto"/>
            </w:tcBorders>
          </w:tcPr>
          <w:p w:rsidR="00E5192E" w:rsidRPr="007B42EC" w:rsidRDefault="00E5192E" w:rsidP="004F4FD1">
            <w:pPr>
              <w:jc w:val="center"/>
            </w:pPr>
            <w:r w:rsidRPr="007B42EC">
              <w:t>Mokinių</w:t>
            </w:r>
          </w:p>
          <w:p w:rsidR="00E5192E" w:rsidRPr="007B42EC" w:rsidRDefault="00E5192E" w:rsidP="004F4FD1">
            <w:pPr>
              <w:jc w:val="center"/>
            </w:pPr>
            <w:r w:rsidRPr="007B42EC">
              <w:t>skaičius</w:t>
            </w:r>
          </w:p>
        </w:tc>
        <w:tc>
          <w:tcPr>
            <w:tcW w:w="1985" w:type="dxa"/>
            <w:tcBorders>
              <w:top w:val="single" w:sz="4" w:space="0" w:color="auto"/>
              <w:bottom w:val="single" w:sz="4" w:space="0" w:color="auto"/>
            </w:tcBorders>
          </w:tcPr>
          <w:p w:rsidR="00E5192E" w:rsidRPr="007B42EC" w:rsidRDefault="00E5192E" w:rsidP="004F4FD1">
            <w:pPr>
              <w:jc w:val="center"/>
            </w:pPr>
            <w:r w:rsidRPr="007B42EC">
              <w:t>2</w:t>
            </w:r>
            <w:r w:rsidR="00183AD0">
              <w:t xml:space="preserve"> </w:t>
            </w:r>
            <w:r w:rsidRPr="007B42EC">
              <w:t>809</w:t>
            </w:r>
          </w:p>
        </w:tc>
        <w:tc>
          <w:tcPr>
            <w:tcW w:w="1984" w:type="dxa"/>
            <w:tcBorders>
              <w:top w:val="single" w:sz="4" w:space="0" w:color="auto"/>
              <w:bottom w:val="single" w:sz="4" w:space="0" w:color="auto"/>
            </w:tcBorders>
          </w:tcPr>
          <w:p w:rsidR="00E5192E" w:rsidRPr="007B42EC" w:rsidRDefault="00E5192E" w:rsidP="004F4FD1">
            <w:pPr>
              <w:jc w:val="center"/>
            </w:pPr>
            <w:r w:rsidRPr="007B42EC">
              <w:t>2</w:t>
            </w:r>
            <w:r w:rsidR="00183AD0">
              <w:t xml:space="preserve"> </w:t>
            </w:r>
            <w:r w:rsidRPr="007B42EC">
              <w:t>884</w:t>
            </w:r>
          </w:p>
        </w:tc>
        <w:tc>
          <w:tcPr>
            <w:tcW w:w="1985" w:type="dxa"/>
            <w:tcBorders>
              <w:top w:val="single" w:sz="4" w:space="0" w:color="auto"/>
              <w:bottom w:val="single" w:sz="4" w:space="0" w:color="auto"/>
            </w:tcBorders>
          </w:tcPr>
          <w:p w:rsidR="00E5192E" w:rsidRPr="007B42EC" w:rsidRDefault="00E5192E" w:rsidP="004F4FD1">
            <w:pPr>
              <w:jc w:val="center"/>
            </w:pPr>
            <w:r w:rsidRPr="007B42EC">
              <w:t>2</w:t>
            </w:r>
            <w:r w:rsidR="00183AD0">
              <w:t xml:space="preserve"> </w:t>
            </w:r>
            <w:r w:rsidRPr="007B42EC">
              <w:t>843</w:t>
            </w:r>
          </w:p>
        </w:tc>
        <w:tc>
          <w:tcPr>
            <w:tcW w:w="1984" w:type="dxa"/>
            <w:tcBorders>
              <w:top w:val="single" w:sz="4" w:space="0" w:color="auto"/>
              <w:bottom w:val="single" w:sz="4" w:space="0" w:color="auto"/>
            </w:tcBorders>
          </w:tcPr>
          <w:p w:rsidR="00E5192E" w:rsidRPr="007B42EC" w:rsidRDefault="00E5192E" w:rsidP="004F4FD1">
            <w:pPr>
              <w:jc w:val="center"/>
            </w:pPr>
            <w:r w:rsidRPr="007B42EC">
              <w:t>2</w:t>
            </w:r>
            <w:r w:rsidR="00183AD0">
              <w:t xml:space="preserve"> </w:t>
            </w:r>
            <w:r w:rsidRPr="007B42EC">
              <w:t>816</w:t>
            </w:r>
          </w:p>
        </w:tc>
        <w:tc>
          <w:tcPr>
            <w:tcW w:w="1985" w:type="dxa"/>
            <w:tcBorders>
              <w:top w:val="single" w:sz="4" w:space="0" w:color="auto"/>
              <w:bottom w:val="single" w:sz="4" w:space="0" w:color="auto"/>
            </w:tcBorders>
          </w:tcPr>
          <w:p w:rsidR="00E5192E" w:rsidRPr="007B42EC" w:rsidRDefault="00E5192E" w:rsidP="004F4FD1">
            <w:pPr>
              <w:jc w:val="center"/>
            </w:pPr>
            <w:r w:rsidRPr="007B42EC">
              <w:t>2</w:t>
            </w:r>
            <w:r w:rsidR="00183AD0">
              <w:t xml:space="preserve"> </w:t>
            </w:r>
            <w:r w:rsidRPr="007B42EC">
              <w:t>767</w:t>
            </w:r>
          </w:p>
        </w:tc>
        <w:tc>
          <w:tcPr>
            <w:tcW w:w="1903" w:type="dxa"/>
            <w:tcBorders>
              <w:top w:val="single" w:sz="4" w:space="0" w:color="auto"/>
              <w:bottom w:val="single" w:sz="4" w:space="0" w:color="auto"/>
            </w:tcBorders>
          </w:tcPr>
          <w:p w:rsidR="00E5192E" w:rsidRDefault="00E5192E" w:rsidP="004F4FD1">
            <w:pPr>
              <w:jc w:val="center"/>
            </w:pPr>
            <w:r w:rsidRPr="007B42EC">
              <w:t>2</w:t>
            </w:r>
            <w:r w:rsidR="00183AD0">
              <w:t xml:space="preserve"> </w:t>
            </w:r>
            <w:r w:rsidRPr="007B42EC">
              <w:t>713</w:t>
            </w:r>
          </w:p>
        </w:tc>
      </w:tr>
    </w:tbl>
    <w:p w:rsidR="005B564C" w:rsidRDefault="005B564C" w:rsidP="00221217">
      <w:pPr>
        <w:pStyle w:val="Betarp"/>
        <w:rPr>
          <w:rFonts w:ascii="Times New Roman" w:hAnsi="Times New Roman"/>
          <w:i/>
          <w:sz w:val="24"/>
          <w:szCs w:val="24"/>
        </w:rPr>
      </w:pPr>
    </w:p>
    <w:p w:rsidR="004F3970" w:rsidRPr="00F8228D" w:rsidRDefault="00221217" w:rsidP="00DB6DCD">
      <w:pPr>
        <w:pStyle w:val="Betarp"/>
        <w:ind w:firstLine="720"/>
        <w:rPr>
          <w:rFonts w:ascii="Times New Roman" w:hAnsi="Times New Roman"/>
          <w:sz w:val="24"/>
          <w:szCs w:val="24"/>
        </w:rPr>
      </w:pPr>
      <w:r w:rsidRPr="00F8228D">
        <w:rPr>
          <w:rFonts w:ascii="Times New Roman" w:hAnsi="Times New Roman"/>
          <w:sz w:val="24"/>
          <w:szCs w:val="24"/>
        </w:rPr>
        <w:t>1</w:t>
      </w:r>
      <w:r w:rsidR="00CC343A">
        <w:rPr>
          <w:rFonts w:ascii="Times New Roman" w:hAnsi="Times New Roman"/>
          <w:sz w:val="24"/>
          <w:szCs w:val="24"/>
        </w:rPr>
        <w:t>3</w:t>
      </w:r>
      <w:r w:rsidRPr="00F8228D">
        <w:rPr>
          <w:rFonts w:ascii="Times New Roman" w:hAnsi="Times New Roman"/>
          <w:sz w:val="24"/>
          <w:szCs w:val="24"/>
        </w:rPr>
        <w:t xml:space="preserve"> lentelė</w:t>
      </w:r>
      <w:r w:rsidR="00511EDE" w:rsidRPr="00F8228D">
        <w:rPr>
          <w:rFonts w:ascii="Times New Roman" w:hAnsi="Times New Roman"/>
          <w:sz w:val="24"/>
          <w:szCs w:val="24"/>
        </w:rPr>
        <w:t>s diagrama</w:t>
      </w:r>
    </w:p>
    <w:p w:rsidR="00BD3DE9" w:rsidRPr="00F8228D" w:rsidRDefault="00BD3DE9" w:rsidP="00DB6DCD">
      <w:pPr>
        <w:pStyle w:val="Betarp"/>
        <w:ind w:firstLine="720"/>
        <w:rPr>
          <w:rFonts w:ascii="Times New Roman" w:hAnsi="Times New Roman"/>
          <w:sz w:val="24"/>
          <w:szCs w:val="24"/>
        </w:rPr>
      </w:pPr>
    </w:p>
    <w:p w:rsidR="004F3970" w:rsidRDefault="00997C5F" w:rsidP="00FC056C">
      <w:pPr>
        <w:ind w:firstLine="142"/>
        <w:jc w:val="both"/>
        <w:rPr>
          <w:b/>
          <w:noProof/>
        </w:rPr>
      </w:pPr>
      <w:r>
        <w:rPr>
          <w:b/>
          <w:noProof/>
        </w:rPr>
        <w:drawing>
          <wp:inline distT="0" distB="0" distL="0" distR="0">
            <wp:extent cx="8075295" cy="2380615"/>
            <wp:effectExtent l="0" t="0" r="1905" b="635"/>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A311C" w:rsidRDefault="00FB5ECA" w:rsidP="004F3970">
      <w:pPr>
        <w:tabs>
          <w:tab w:val="left" w:pos="567"/>
          <w:tab w:val="left" w:pos="1276"/>
        </w:tabs>
        <w:rPr>
          <w:i/>
        </w:rPr>
      </w:pPr>
      <w:r>
        <w:rPr>
          <w:i/>
        </w:rPr>
        <w:t xml:space="preserve">   </w:t>
      </w:r>
    </w:p>
    <w:p w:rsidR="00416789" w:rsidRDefault="00F36B50" w:rsidP="004F3970">
      <w:pPr>
        <w:tabs>
          <w:tab w:val="left" w:pos="567"/>
          <w:tab w:val="left" w:pos="1276"/>
        </w:tabs>
      </w:pPr>
      <w:r>
        <w:tab/>
      </w:r>
    </w:p>
    <w:p w:rsidR="00BD3DE9" w:rsidRDefault="00C21801" w:rsidP="004F3970">
      <w:pPr>
        <w:tabs>
          <w:tab w:val="left" w:pos="567"/>
          <w:tab w:val="left" w:pos="1276"/>
        </w:tabs>
      </w:pPr>
      <w:r>
        <w:lastRenderedPageBreak/>
        <w:tab/>
      </w:r>
      <w:r w:rsidR="00CC343A">
        <w:t>14</w:t>
      </w:r>
      <w:r w:rsidR="00CF4B9F" w:rsidRPr="00DB6DCD">
        <w:t xml:space="preserve"> lentelė. </w:t>
      </w:r>
      <w:r w:rsidR="004F3970" w:rsidRPr="00DB6DCD">
        <w:t>Mokinių skaičiaus prognozė 2021–2025 m.</w:t>
      </w:r>
      <w:r w:rsidR="00183AD0">
        <w:t xml:space="preserve"> mokyklose</w:t>
      </w:r>
    </w:p>
    <w:tbl>
      <w:tblPr>
        <w:tblStyle w:val="Lentelstinklelis"/>
        <w:tblW w:w="0" w:type="auto"/>
        <w:tblLook w:val="04A0" w:firstRow="1" w:lastRow="0" w:firstColumn="1" w:lastColumn="0" w:noHBand="0" w:noVBand="1"/>
      </w:tblPr>
      <w:tblGrid>
        <w:gridCol w:w="918"/>
        <w:gridCol w:w="3330"/>
        <w:gridCol w:w="1890"/>
        <w:gridCol w:w="1800"/>
        <w:gridCol w:w="1710"/>
        <w:gridCol w:w="1350"/>
        <w:gridCol w:w="1834"/>
      </w:tblGrid>
      <w:tr w:rsidR="002074C5" w:rsidTr="002074C5">
        <w:tc>
          <w:tcPr>
            <w:tcW w:w="918" w:type="dxa"/>
            <w:vAlign w:val="center"/>
          </w:tcPr>
          <w:p w:rsidR="002074C5" w:rsidRPr="00DB6DCD" w:rsidRDefault="002074C5" w:rsidP="009244A9">
            <w:pPr>
              <w:pStyle w:val="Betarp"/>
              <w:jc w:val="center"/>
              <w:rPr>
                <w:rFonts w:ascii="Times New Roman" w:hAnsi="Times New Roman"/>
                <w:sz w:val="24"/>
                <w:szCs w:val="24"/>
              </w:rPr>
            </w:pPr>
            <w:r w:rsidRPr="00DB6DCD">
              <w:rPr>
                <w:rFonts w:ascii="Times New Roman" w:hAnsi="Times New Roman"/>
                <w:sz w:val="24"/>
                <w:szCs w:val="24"/>
              </w:rPr>
              <w:t>Eil.</w:t>
            </w:r>
            <w:r w:rsidRPr="00580248">
              <w:rPr>
                <w:rFonts w:ascii="Times New Roman" w:hAnsi="Times New Roman"/>
                <w:sz w:val="24"/>
                <w:szCs w:val="24"/>
              </w:rPr>
              <w:t>Nr.</w:t>
            </w:r>
          </w:p>
        </w:tc>
        <w:tc>
          <w:tcPr>
            <w:tcW w:w="3330" w:type="dxa"/>
            <w:vAlign w:val="center"/>
          </w:tcPr>
          <w:p w:rsidR="002074C5" w:rsidRPr="00DB6DCD" w:rsidRDefault="002074C5" w:rsidP="009244A9">
            <w:pPr>
              <w:pStyle w:val="Betarp"/>
              <w:jc w:val="center"/>
              <w:rPr>
                <w:rFonts w:ascii="Times New Roman" w:hAnsi="Times New Roman"/>
                <w:sz w:val="24"/>
                <w:szCs w:val="24"/>
              </w:rPr>
            </w:pPr>
            <w:r w:rsidRPr="00DB6DCD">
              <w:rPr>
                <w:rFonts w:ascii="Times New Roman" w:hAnsi="Times New Roman"/>
                <w:sz w:val="24"/>
                <w:szCs w:val="24"/>
              </w:rPr>
              <w:t>Mokykla</w:t>
            </w:r>
          </w:p>
        </w:tc>
        <w:tc>
          <w:tcPr>
            <w:tcW w:w="1890" w:type="dxa"/>
            <w:vAlign w:val="center"/>
          </w:tcPr>
          <w:p w:rsidR="002074C5" w:rsidRPr="00DB6DCD" w:rsidRDefault="002074C5" w:rsidP="009244A9">
            <w:pPr>
              <w:pStyle w:val="Betarp"/>
              <w:jc w:val="center"/>
              <w:rPr>
                <w:rFonts w:ascii="Times New Roman" w:hAnsi="Times New Roman"/>
                <w:sz w:val="24"/>
                <w:szCs w:val="24"/>
              </w:rPr>
            </w:pPr>
            <w:r w:rsidRPr="00DB6DCD">
              <w:rPr>
                <w:rFonts w:ascii="Times New Roman" w:hAnsi="Times New Roman"/>
                <w:sz w:val="24"/>
                <w:szCs w:val="24"/>
              </w:rPr>
              <w:t>2021-09-01</w:t>
            </w:r>
          </w:p>
        </w:tc>
        <w:tc>
          <w:tcPr>
            <w:tcW w:w="1800" w:type="dxa"/>
            <w:vAlign w:val="center"/>
          </w:tcPr>
          <w:p w:rsidR="002074C5" w:rsidRPr="00DB6DCD" w:rsidRDefault="002074C5" w:rsidP="009244A9">
            <w:pPr>
              <w:pStyle w:val="Betarp"/>
              <w:jc w:val="center"/>
              <w:rPr>
                <w:rFonts w:ascii="Times New Roman" w:hAnsi="Times New Roman"/>
                <w:sz w:val="24"/>
                <w:szCs w:val="24"/>
              </w:rPr>
            </w:pPr>
            <w:r w:rsidRPr="00DB6DCD">
              <w:rPr>
                <w:rFonts w:ascii="Times New Roman" w:hAnsi="Times New Roman"/>
                <w:sz w:val="24"/>
                <w:szCs w:val="24"/>
              </w:rPr>
              <w:t>2022-09-01</w:t>
            </w:r>
          </w:p>
        </w:tc>
        <w:tc>
          <w:tcPr>
            <w:tcW w:w="1710" w:type="dxa"/>
            <w:vAlign w:val="center"/>
          </w:tcPr>
          <w:p w:rsidR="002074C5" w:rsidRPr="00DB6DCD" w:rsidRDefault="002074C5" w:rsidP="009244A9">
            <w:pPr>
              <w:pStyle w:val="Betarp"/>
              <w:jc w:val="center"/>
              <w:rPr>
                <w:rFonts w:ascii="Times New Roman" w:hAnsi="Times New Roman"/>
                <w:sz w:val="24"/>
                <w:szCs w:val="24"/>
              </w:rPr>
            </w:pPr>
            <w:r w:rsidRPr="00DB6DCD">
              <w:rPr>
                <w:rFonts w:ascii="Times New Roman" w:hAnsi="Times New Roman"/>
                <w:sz w:val="24"/>
                <w:szCs w:val="24"/>
              </w:rPr>
              <w:t>2023-09-01</w:t>
            </w:r>
          </w:p>
        </w:tc>
        <w:tc>
          <w:tcPr>
            <w:tcW w:w="1350" w:type="dxa"/>
            <w:vAlign w:val="center"/>
          </w:tcPr>
          <w:p w:rsidR="002074C5" w:rsidRPr="00DB6DCD" w:rsidRDefault="002074C5" w:rsidP="009244A9">
            <w:pPr>
              <w:pStyle w:val="Betarp"/>
              <w:jc w:val="center"/>
              <w:rPr>
                <w:rFonts w:ascii="Times New Roman" w:hAnsi="Times New Roman"/>
                <w:sz w:val="24"/>
                <w:szCs w:val="24"/>
              </w:rPr>
            </w:pPr>
            <w:r w:rsidRPr="00DB6DCD">
              <w:rPr>
                <w:rFonts w:ascii="Times New Roman" w:hAnsi="Times New Roman"/>
                <w:sz w:val="24"/>
                <w:szCs w:val="24"/>
              </w:rPr>
              <w:t>2024-09-01</w:t>
            </w:r>
          </w:p>
        </w:tc>
        <w:tc>
          <w:tcPr>
            <w:tcW w:w="1834" w:type="dxa"/>
            <w:vAlign w:val="center"/>
          </w:tcPr>
          <w:p w:rsidR="002074C5" w:rsidRPr="00DB6DCD" w:rsidRDefault="002074C5" w:rsidP="009244A9">
            <w:pPr>
              <w:pStyle w:val="Betarp"/>
              <w:jc w:val="center"/>
              <w:rPr>
                <w:rFonts w:ascii="Times New Roman" w:hAnsi="Times New Roman"/>
                <w:sz w:val="24"/>
                <w:szCs w:val="24"/>
              </w:rPr>
            </w:pPr>
            <w:r w:rsidRPr="00DB6DCD">
              <w:rPr>
                <w:rFonts w:ascii="Times New Roman" w:hAnsi="Times New Roman"/>
                <w:sz w:val="24"/>
                <w:szCs w:val="24"/>
              </w:rPr>
              <w:t>2025-09-01</w:t>
            </w:r>
          </w:p>
        </w:tc>
      </w:tr>
      <w:tr w:rsidR="002074C5" w:rsidTr="002074C5">
        <w:tc>
          <w:tcPr>
            <w:tcW w:w="918" w:type="dxa"/>
            <w:vAlign w:val="center"/>
          </w:tcPr>
          <w:p w:rsidR="002074C5" w:rsidRPr="004F3970" w:rsidRDefault="002074C5" w:rsidP="009B3775">
            <w:pPr>
              <w:pStyle w:val="Betarp"/>
              <w:jc w:val="center"/>
              <w:rPr>
                <w:rFonts w:ascii="Times New Roman" w:hAnsi="Times New Roman"/>
                <w:sz w:val="24"/>
                <w:szCs w:val="24"/>
              </w:rPr>
            </w:pPr>
            <w:r w:rsidRPr="004F3970">
              <w:rPr>
                <w:rFonts w:ascii="Times New Roman" w:hAnsi="Times New Roman"/>
                <w:sz w:val="24"/>
                <w:szCs w:val="24"/>
              </w:rPr>
              <w:t>1</w:t>
            </w:r>
            <w:r>
              <w:rPr>
                <w:rFonts w:ascii="Times New Roman" w:hAnsi="Times New Roman"/>
                <w:sz w:val="24"/>
                <w:szCs w:val="24"/>
              </w:rPr>
              <w:t>.</w:t>
            </w:r>
          </w:p>
        </w:tc>
        <w:tc>
          <w:tcPr>
            <w:tcW w:w="3330" w:type="dxa"/>
            <w:vAlign w:val="center"/>
          </w:tcPr>
          <w:p w:rsidR="002074C5" w:rsidRPr="002074C5" w:rsidRDefault="002074C5" w:rsidP="009B3775">
            <w:pPr>
              <w:pStyle w:val="Betarp1"/>
              <w:rPr>
                <w:rFonts w:ascii="Times New Roman" w:hAnsi="Times New Roman"/>
                <w:sz w:val="24"/>
                <w:szCs w:val="24"/>
              </w:rPr>
            </w:pPr>
            <w:r w:rsidRPr="002074C5">
              <w:rPr>
                <w:rFonts w:ascii="Times New Roman" w:hAnsi="Times New Roman"/>
                <w:sz w:val="24"/>
                <w:szCs w:val="24"/>
              </w:rPr>
              <w:t>Krekenavos Mykolo Antanaičio gimnazija</w:t>
            </w:r>
          </w:p>
        </w:tc>
        <w:tc>
          <w:tcPr>
            <w:tcW w:w="1890" w:type="dxa"/>
            <w:vAlign w:val="center"/>
          </w:tcPr>
          <w:p w:rsidR="002074C5" w:rsidRPr="002074C5" w:rsidRDefault="002074C5" w:rsidP="009B3775">
            <w:pPr>
              <w:pStyle w:val="Betarp1"/>
              <w:jc w:val="center"/>
              <w:rPr>
                <w:rFonts w:ascii="Times New Roman" w:hAnsi="Times New Roman"/>
                <w:sz w:val="24"/>
                <w:szCs w:val="24"/>
              </w:rPr>
            </w:pPr>
            <w:r w:rsidRPr="002074C5">
              <w:rPr>
                <w:rFonts w:ascii="Times New Roman" w:hAnsi="Times New Roman"/>
                <w:sz w:val="24"/>
                <w:szCs w:val="24"/>
              </w:rPr>
              <w:t>315</w:t>
            </w:r>
          </w:p>
        </w:tc>
        <w:tc>
          <w:tcPr>
            <w:tcW w:w="1800" w:type="dxa"/>
            <w:vAlign w:val="center"/>
          </w:tcPr>
          <w:p w:rsidR="002074C5" w:rsidRPr="002074C5" w:rsidRDefault="002074C5" w:rsidP="009B3775">
            <w:pPr>
              <w:pStyle w:val="Betarp1"/>
              <w:jc w:val="center"/>
              <w:rPr>
                <w:rFonts w:ascii="Times New Roman" w:hAnsi="Times New Roman"/>
                <w:sz w:val="24"/>
                <w:szCs w:val="24"/>
              </w:rPr>
            </w:pPr>
            <w:r w:rsidRPr="002074C5">
              <w:rPr>
                <w:rFonts w:ascii="Times New Roman" w:hAnsi="Times New Roman"/>
                <w:sz w:val="24"/>
                <w:szCs w:val="24"/>
              </w:rPr>
              <w:t>304</w:t>
            </w:r>
          </w:p>
        </w:tc>
        <w:tc>
          <w:tcPr>
            <w:tcW w:w="1710" w:type="dxa"/>
            <w:vAlign w:val="center"/>
          </w:tcPr>
          <w:p w:rsidR="002074C5" w:rsidRPr="002074C5" w:rsidRDefault="002074C5" w:rsidP="009B3775">
            <w:pPr>
              <w:pStyle w:val="Betarp1"/>
              <w:jc w:val="center"/>
              <w:rPr>
                <w:rFonts w:ascii="Times New Roman" w:hAnsi="Times New Roman"/>
                <w:sz w:val="24"/>
                <w:szCs w:val="24"/>
              </w:rPr>
            </w:pPr>
            <w:r w:rsidRPr="002074C5">
              <w:rPr>
                <w:rFonts w:ascii="Times New Roman" w:hAnsi="Times New Roman"/>
                <w:sz w:val="24"/>
                <w:szCs w:val="24"/>
              </w:rPr>
              <w:t>292</w:t>
            </w:r>
          </w:p>
        </w:tc>
        <w:tc>
          <w:tcPr>
            <w:tcW w:w="1350" w:type="dxa"/>
            <w:vAlign w:val="center"/>
          </w:tcPr>
          <w:p w:rsidR="002074C5" w:rsidRPr="002074C5" w:rsidRDefault="002074C5" w:rsidP="009B3775">
            <w:pPr>
              <w:pStyle w:val="Betarp1"/>
              <w:jc w:val="center"/>
              <w:rPr>
                <w:rFonts w:ascii="Times New Roman" w:hAnsi="Times New Roman"/>
                <w:sz w:val="24"/>
                <w:szCs w:val="24"/>
              </w:rPr>
            </w:pPr>
            <w:r w:rsidRPr="002074C5">
              <w:rPr>
                <w:rFonts w:ascii="Times New Roman" w:hAnsi="Times New Roman"/>
                <w:sz w:val="24"/>
                <w:szCs w:val="24"/>
              </w:rPr>
              <w:t>286</w:t>
            </w:r>
          </w:p>
        </w:tc>
        <w:tc>
          <w:tcPr>
            <w:tcW w:w="1834" w:type="dxa"/>
            <w:vAlign w:val="center"/>
          </w:tcPr>
          <w:p w:rsidR="002074C5" w:rsidRPr="002074C5" w:rsidRDefault="002074C5" w:rsidP="009B3775">
            <w:pPr>
              <w:pStyle w:val="Betarp1"/>
              <w:jc w:val="center"/>
              <w:rPr>
                <w:rFonts w:ascii="Times New Roman" w:hAnsi="Times New Roman"/>
                <w:sz w:val="24"/>
                <w:szCs w:val="24"/>
              </w:rPr>
            </w:pPr>
            <w:r w:rsidRPr="002074C5">
              <w:rPr>
                <w:rFonts w:ascii="Times New Roman" w:hAnsi="Times New Roman"/>
                <w:sz w:val="24"/>
                <w:szCs w:val="24"/>
              </w:rPr>
              <w:t>280</w:t>
            </w:r>
          </w:p>
        </w:tc>
      </w:tr>
      <w:tr w:rsidR="002074C5" w:rsidTr="002074C5">
        <w:tc>
          <w:tcPr>
            <w:tcW w:w="918" w:type="dxa"/>
            <w:vAlign w:val="center"/>
          </w:tcPr>
          <w:p w:rsidR="002074C5" w:rsidRPr="004F3970" w:rsidRDefault="002074C5" w:rsidP="00544440">
            <w:pPr>
              <w:pStyle w:val="Betarp"/>
              <w:jc w:val="center"/>
              <w:rPr>
                <w:rFonts w:ascii="Times New Roman" w:hAnsi="Times New Roman"/>
                <w:sz w:val="24"/>
                <w:szCs w:val="24"/>
              </w:rPr>
            </w:pPr>
            <w:r w:rsidRPr="004F3970">
              <w:rPr>
                <w:rFonts w:ascii="Times New Roman" w:hAnsi="Times New Roman"/>
                <w:sz w:val="24"/>
                <w:szCs w:val="24"/>
              </w:rPr>
              <w:t>2</w:t>
            </w:r>
            <w:r>
              <w:rPr>
                <w:rFonts w:ascii="Times New Roman" w:hAnsi="Times New Roman"/>
                <w:sz w:val="24"/>
                <w:szCs w:val="24"/>
              </w:rPr>
              <w:t>.</w:t>
            </w:r>
          </w:p>
        </w:tc>
        <w:tc>
          <w:tcPr>
            <w:tcW w:w="3330" w:type="dxa"/>
            <w:vAlign w:val="center"/>
          </w:tcPr>
          <w:p w:rsidR="002074C5" w:rsidRPr="002074C5" w:rsidRDefault="002074C5" w:rsidP="00544440">
            <w:pPr>
              <w:pStyle w:val="Betarp1"/>
              <w:rPr>
                <w:rFonts w:ascii="Times New Roman" w:hAnsi="Times New Roman"/>
                <w:sz w:val="24"/>
                <w:szCs w:val="24"/>
              </w:rPr>
            </w:pPr>
            <w:r w:rsidRPr="002074C5">
              <w:rPr>
                <w:rFonts w:ascii="Times New Roman" w:hAnsi="Times New Roman"/>
                <w:sz w:val="24"/>
                <w:szCs w:val="24"/>
              </w:rPr>
              <w:t>Naujamiesčio gimnazija</w:t>
            </w:r>
          </w:p>
        </w:tc>
        <w:tc>
          <w:tcPr>
            <w:tcW w:w="1890" w:type="dxa"/>
            <w:vAlign w:val="center"/>
          </w:tcPr>
          <w:p w:rsidR="002074C5" w:rsidRPr="002074C5" w:rsidRDefault="002074C5" w:rsidP="00544440">
            <w:pPr>
              <w:pStyle w:val="Betarp1"/>
              <w:jc w:val="center"/>
              <w:rPr>
                <w:rFonts w:ascii="Times New Roman" w:hAnsi="Times New Roman"/>
                <w:sz w:val="24"/>
                <w:szCs w:val="24"/>
              </w:rPr>
            </w:pPr>
            <w:r w:rsidRPr="002074C5">
              <w:rPr>
                <w:rFonts w:ascii="Times New Roman" w:hAnsi="Times New Roman"/>
                <w:sz w:val="24"/>
                <w:szCs w:val="24"/>
              </w:rPr>
              <w:t>165</w:t>
            </w:r>
          </w:p>
        </w:tc>
        <w:tc>
          <w:tcPr>
            <w:tcW w:w="1800" w:type="dxa"/>
            <w:vAlign w:val="center"/>
          </w:tcPr>
          <w:p w:rsidR="002074C5" w:rsidRPr="002074C5" w:rsidRDefault="002074C5" w:rsidP="00544440">
            <w:pPr>
              <w:pStyle w:val="Betarp1"/>
              <w:jc w:val="center"/>
              <w:rPr>
                <w:rFonts w:ascii="Times New Roman" w:hAnsi="Times New Roman"/>
                <w:sz w:val="24"/>
                <w:szCs w:val="24"/>
              </w:rPr>
            </w:pPr>
            <w:r w:rsidRPr="002074C5">
              <w:rPr>
                <w:rFonts w:ascii="Times New Roman" w:hAnsi="Times New Roman"/>
                <w:sz w:val="24"/>
                <w:szCs w:val="24"/>
              </w:rPr>
              <w:t>158</w:t>
            </w:r>
          </w:p>
        </w:tc>
        <w:tc>
          <w:tcPr>
            <w:tcW w:w="1710" w:type="dxa"/>
            <w:vAlign w:val="center"/>
          </w:tcPr>
          <w:p w:rsidR="002074C5" w:rsidRPr="002074C5" w:rsidRDefault="002074C5" w:rsidP="00544440">
            <w:pPr>
              <w:pStyle w:val="Betarp1"/>
              <w:jc w:val="center"/>
              <w:rPr>
                <w:rFonts w:ascii="Times New Roman" w:hAnsi="Times New Roman"/>
                <w:sz w:val="24"/>
                <w:szCs w:val="24"/>
              </w:rPr>
            </w:pPr>
            <w:r w:rsidRPr="002074C5">
              <w:rPr>
                <w:rFonts w:ascii="Times New Roman" w:hAnsi="Times New Roman"/>
                <w:sz w:val="24"/>
                <w:szCs w:val="24"/>
              </w:rPr>
              <w:t>165</w:t>
            </w:r>
          </w:p>
        </w:tc>
        <w:tc>
          <w:tcPr>
            <w:tcW w:w="1350" w:type="dxa"/>
            <w:vAlign w:val="center"/>
          </w:tcPr>
          <w:p w:rsidR="002074C5" w:rsidRPr="002074C5" w:rsidRDefault="002074C5" w:rsidP="00544440">
            <w:pPr>
              <w:pStyle w:val="Betarp1"/>
              <w:jc w:val="center"/>
              <w:rPr>
                <w:rFonts w:ascii="Times New Roman" w:hAnsi="Times New Roman"/>
                <w:sz w:val="24"/>
                <w:szCs w:val="24"/>
              </w:rPr>
            </w:pPr>
            <w:r w:rsidRPr="002074C5">
              <w:rPr>
                <w:rFonts w:ascii="Times New Roman" w:hAnsi="Times New Roman"/>
                <w:sz w:val="24"/>
                <w:szCs w:val="24"/>
              </w:rPr>
              <w:t>160</w:t>
            </w:r>
          </w:p>
        </w:tc>
        <w:tc>
          <w:tcPr>
            <w:tcW w:w="1834" w:type="dxa"/>
            <w:vAlign w:val="center"/>
          </w:tcPr>
          <w:p w:rsidR="002074C5" w:rsidRPr="002074C5" w:rsidRDefault="002074C5" w:rsidP="00544440">
            <w:pPr>
              <w:pStyle w:val="Betarp1"/>
              <w:jc w:val="center"/>
              <w:rPr>
                <w:rFonts w:ascii="Times New Roman" w:hAnsi="Times New Roman"/>
                <w:sz w:val="24"/>
                <w:szCs w:val="24"/>
              </w:rPr>
            </w:pPr>
            <w:r w:rsidRPr="002074C5">
              <w:rPr>
                <w:rFonts w:ascii="Times New Roman" w:hAnsi="Times New Roman"/>
                <w:sz w:val="24"/>
                <w:szCs w:val="24"/>
              </w:rPr>
              <w:t>159</w:t>
            </w:r>
          </w:p>
        </w:tc>
      </w:tr>
      <w:tr w:rsidR="002074C5" w:rsidTr="002074C5">
        <w:tc>
          <w:tcPr>
            <w:tcW w:w="918" w:type="dxa"/>
            <w:vAlign w:val="center"/>
          </w:tcPr>
          <w:p w:rsidR="002074C5" w:rsidRPr="004F3970" w:rsidRDefault="002074C5" w:rsidP="00BF03FC">
            <w:pPr>
              <w:pStyle w:val="Betarp"/>
              <w:jc w:val="center"/>
              <w:rPr>
                <w:rFonts w:ascii="Times New Roman" w:hAnsi="Times New Roman"/>
                <w:sz w:val="24"/>
                <w:szCs w:val="24"/>
              </w:rPr>
            </w:pPr>
            <w:r w:rsidRPr="004F3970">
              <w:rPr>
                <w:rFonts w:ascii="Times New Roman" w:hAnsi="Times New Roman"/>
                <w:sz w:val="24"/>
                <w:szCs w:val="24"/>
              </w:rPr>
              <w:t>3</w:t>
            </w:r>
            <w:r>
              <w:rPr>
                <w:rFonts w:ascii="Times New Roman" w:hAnsi="Times New Roman"/>
                <w:sz w:val="24"/>
                <w:szCs w:val="24"/>
              </w:rPr>
              <w:t>.</w:t>
            </w:r>
          </w:p>
        </w:tc>
        <w:tc>
          <w:tcPr>
            <w:tcW w:w="3330" w:type="dxa"/>
            <w:vAlign w:val="center"/>
          </w:tcPr>
          <w:p w:rsidR="002074C5" w:rsidRPr="002074C5" w:rsidRDefault="002074C5" w:rsidP="00BF03FC">
            <w:pPr>
              <w:pStyle w:val="Betarp1"/>
              <w:rPr>
                <w:rFonts w:ascii="Times New Roman" w:hAnsi="Times New Roman"/>
                <w:sz w:val="24"/>
                <w:szCs w:val="24"/>
              </w:rPr>
            </w:pPr>
            <w:r w:rsidRPr="002074C5">
              <w:rPr>
                <w:rFonts w:ascii="Times New Roman" w:hAnsi="Times New Roman"/>
                <w:sz w:val="24"/>
                <w:szCs w:val="24"/>
              </w:rPr>
              <w:t>Paįstrio Juozo Zikaro gimnazija</w:t>
            </w:r>
          </w:p>
        </w:tc>
        <w:tc>
          <w:tcPr>
            <w:tcW w:w="189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249</w:t>
            </w:r>
          </w:p>
        </w:tc>
        <w:tc>
          <w:tcPr>
            <w:tcW w:w="180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239</w:t>
            </w:r>
          </w:p>
        </w:tc>
        <w:tc>
          <w:tcPr>
            <w:tcW w:w="171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230</w:t>
            </w:r>
          </w:p>
        </w:tc>
        <w:tc>
          <w:tcPr>
            <w:tcW w:w="135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223</w:t>
            </w:r>
          </w:p>
        </w:tc>
        <w:tc>
          <w:tcPr>
            <w:tcW w:w="1834"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217</w:t>
            </w:r>
          </w:p>
        </w:tc>
      </w:tr>
      <w:tr w:rsidR="002074C5" w:rsidTr="002074C5">
        <w:tc>
          <w:tcPr>
            <w:tcW w:w="918" w:type="dxa"/>
            <w:vAlign w:val="center"/>
          </w:tcPr>
          <w:p w:rsidR="002074C5" w:rsidRPr="004F3970" w:rsidRDefault="002074C5" w:rsidP="00BF03FC">
            <w:pPr>
              <w:pStyle w:val="Betarp"/>
              <w:jc w:val="center"/>
              <w:rPr>
                <w:rFonts w:ascii="Times New Roman" w:hAnsi="Times New Roman"/>
                <w:sz w:val="24"/>
                <w:szCs w:val="24"/>
              </w:rPr>
            </w:pPr>
            <w:r w:rsidRPr="004F3970">
              <w:rPr>
                <w:rFonts w:ascii="Times New Roman" w:hAnsi="Times New Roman"/>
                <w:sz w:val="24"/>
                <w:szCs w:val="24"/>
              </w:rPr>
              <w:t>4</w:t>
            </w:r>
            <w:r>
              <w:rPr>
                <w:rFonts w:ascii="Times New Roman" w:hAnsi="Times New Roman"/>
                <w:sz w:val="24"/>
                <w:szCs w:val="24"/>
              </w:rPr>
              <w:t>.</w:t>
            </w:r>
          </w:p>
        </w:tc>
        <w:tc>
          <w:tcPr>
            <w:tcW w:w="3330" w:type="dxa"/>
            <w:vAlign w:val="center"/>
          </w:tcPr>
          <w:p w:rsidR="002074C5" w:rsidRPr="002074C5" w:rsidRDefault="002074C5" w:rsidP="00BF03FC">
            <w:pPr>
              <w:pStyle w:val="Betarp1"/>
              <w:rPr>
                <w:rFonts w:ascii="Times New Roman" w:hAnsi="Times New Roman"/>
                <w:sz w:val="24"/>
                <w:szCs w:val="24"/>
              </w:rPr>
            </w:pPr>
            <w:r w:rsidRPr="002074C5">
              <w:rPr>
                <w:rFonts w:ascii="Times New Roman" w:hAnsi="Times New Roman"/>
                <w:sz w:val="24"/>
                <w:szCs w:val="24"/>
              </w:rPr>
              <w:t>Ramygalos gimnazija</w:t>
            </w:r>
          </w:p>
        </w:tc>
        <w:tc>
          <w:tcPr>
            <w:tcW w:w="189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354</w:t>
            </w:r>
          </w:p>
        </w:tc>
        <w:tc>
          <w:tcPr>
            <w:tcW w:w="180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339</w:t>
            </w:r>
          </w:p>
        </w:tc>
        <w:tc>
          <w:tcPr>
            <w:tcW w:w="171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340</w:t>
            </w:r>
          </w:p>
        </w:tc>
        <w:tc>
          <w:tcPr>
            <w:tcW w:w="135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328</w:t>
            </w:r>
          </w:p>
        </w:tc>
        <w:tc>
          <w:tcPr>
            <w:tcW w:w="1834"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306</w:t>
            </w:r>
          </w:p>
        </w:tc>
      </w:tr>
      <w:tr w:rsidR="002074C5" w:rsidTr="002074C5">
        <w:tc>
          <w:tcPr>
            <w:tcW w:w="918" w:type="dxa"/>
            <w:vAlign w:val="center"/>
          </w:tcPr>
          <w:p w:rsidR="002074C5" w:rsidRPr="004F3970" w:rsidRDefault="002074C5" w:rsidP="00BF03FC">
            <w:pPr>
              <w:pStyle w:val="Betarp"/>
              <w:jc w:val="center"/>
              <w:rPr>
                <w:rFonts w:ascii="Times New Roman" w:hAnsi="Times New Roman"/>
                <w:sz w:val="24"/>
                <w:szCs w:val="24"/>
              </w:rPr>
            </w:pPr>
            <w:r w:rsidRPr="004F3970">
              <w:rPr>
                <w:rFonts w:ascii="Times New Roman" w:hAnsi="Times New Roman"/>
                <w:sz w:val="24"/>
                <w:szCs w:val="24"/>
              </w:rPr>
              <w:t>5</w:t>
            </w:r>
            <w:r>
              <w:rPr>
                <w:rFonts w:ascii="Times New Roman" w:hAnsi="Times New Roman"/>
                <w:sz w:val="24"/>
                <w:szCs w:val="24"/>
              </w:rPr>
              <w:t>.</w:t>
            </w:r>
          </w:p>
        </w:tc>
        <w:tc>
          <w:tcPr>
            <w:tcW w:w="3330" w:type="dxa"/>
            <w:vAlign w:val="center"/>
          </w:tcPr>
          <w:p w:rsidR="002074C5" w:rsidRPr="002074C5" w:rsidRDefault="002074C5" w:rsidP="00BF03FC">
            <w:pPr>
              <w:pStyle w:val="Betarp1"/>
              <w:rPr>
                <w:rFonts w:ascii="Times New Roman" w:hAnsi="Times New Roman"/>
                <w:sz w:val="24"/>
                <w:szCs w:val="24"/>
              </w:rPr>
            </w:pPr>
            <w:r w:rsidRPr="002074C5">
              <w:rPr>
                <w:rFonts w:ascii="Times New Roman" w:hAnsi="Times New Roman"/>
                <w:sz w:val="24"/>
                <w:szCs w:val="24"/>
              </w:rPr>
              <w:t>Raguvos gimnazija</w:t>
            </w:r>
          </w:p>
        </w:tc>
        <w:tc>
          <w:tcPr>
            <w:tcW w:w="189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240</w:t>
            </w:r>
          </w:p>
        </w:tc>
        <w:tc>
          <w:tcPr>
            <w:tcW w:w="180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239</w:t>
            </w:r>
          </w:p>
        </w:tc>
        <w:tc>
          <w:tcPr>
            <w:tcW w:w="171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240</w:t>
            </w:r>
          </w:p>
        </w:tc>
        <w:tc>
          <w:tcPr>
            <w:tcW w:w="135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235</w:t>
            </w:r>
          </w:p>
        </w:tc>
        <w:tc>
          <w:tcPr>
            <w:tcW w:w="1834"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235</w:t>
            </w:r>
          </w:p>
        </w:tc>
      </w:tr>
      <w:tr w:rsidR="002074C5" w:rsidTr="002074C5">
        <w:tc>
          <w:tcPr>
            <w:tcW w:w="918" w:type="dxa"/>
            <w:vAlign w:val="center"/>
          </w:tcPr>
          <w:p w:rsidR="002074C5" w:rsidRPr="004F3970" w:rsidRDefault="002074C5" w:rsidP="00BF03FC">
            <w:pPr>
              <w:pStyle w:val="Betarp"/>
              <w:jc w:val="center"/>
              <w:rPr>
                <w:rFonts w:ascii="Times New Roman" w:hAnsi="Times New Roman"/>
                <w:sz w:val="24"/>
                <w:szCs w:val="24"/>
              </w:rPr>
            </w:pPr>
            <w:r w:rsidRPr="004F3970">
              <w:rPr>
                <w:rFonts w:ascii="Times New Roman" w:hAnsi="Times New Roman"/>
                <w:sz w:val="24"/>
                <w:szCs w:val="24"/>
              </w:rPr>
              <w:t>6</w:t>
            </w:r>
            <w:r>
              <w:rPr>
                <w:rFonts w:ascii="Times New Roman" w:hAnsi="Times New Roman"/>
                <w:sz w:val="24"/>
                <w:szCs w:val="24"/>
              </w:rPr>
              <w:t>.</w:t>
            </w:r>
          </w:p>
        </w:tc>
        <w:tc>
          <w:tcPr>
            <w:tcW w:w="3330" w:type="dxa"/>
            <w:vAlign w:val="center"/>
          </w:tcPr>
          <w:p w:rsidR="002074C5" w:rsidRPr="002074C5" w:rsidRDefault="002074C5" w:rsidP="00BF03FC">
            <w:pPr>
              <w:pStyle w:val="Betarp1"/>
              <w:rPr>
                <w:rFonts w:ascii="Times New Roman" w:hAnsi="Times New Roman"/>
                <w:sz w:val="24"/>
                <w:szCs w:val="24"/>
              </w:rPr>
            </w:pPr>
            <w:r w:rsidRPr="002074C5">
              <w:rPr>
                <w:rFonts w:ascii="Times New Roman" w:hAnsi="Times New Roman"/>
                <w:sz w:val="24"/>
                <w:szCs w:val="24"/>
              </w:rPr>
              <w:t xml:space="preserve">Smilgių gimnazija                 </w:t>
            </w:r>
          </w:p>
        </w:tc>
        <w:tc>
          <w:tcPr>
            <w:tcW w:w="189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238</w:t>
            </w:r>
          </w:p>
        </w:tc>
        <w:tc>
          <w:tcPr>
            <w:tcW w:w="180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242</w:t>
            </w:r>
          </w:p>
        </w:tc>
        <w:tc>
          <w:tcPr>
            <w:tcW w:w="171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237</w:t>
            </w:r>
          </w:p>
        </w:tc>
        <w:tc>
          <w:tcPr>
            <w:tcW w:w="135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231</w:t>
            </w:r>
          </w:p>
        </w:tc>
        <w:tc>
          <w:tcPr>
            <w:tcW w:w="1834"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224</w:t>
            </w:r>
          </w:p>
        </w:tc>
      </w:tr>
      <w:tr w:rsidR="002074C5" w:rsidTr="002074C5">
        <w:tc>
          <w:tcPr>
            <w:tcW w:w="918" w:type="dxa"/>
            <w:vAlign w:val="center"/>
          </w:tcPr>
          <w:p w:rsidR="002074C5" w:rsidRPr="004F3970" w:rsidRDefault="002074C5" w:rsidP="00BF03FC">
            <w:pPr>
              <w:pStyle w:val="Betarp"/>
              <w:jc w:val="center"/>
              <w:rPr>
                <w:rFonts w:ascii="Times New Roman" w:hAnsi="Times New Roman"/>
                <w:sz w:val="24"/>
                <w:szCs w:val="24"/>
              </w:rPr>
            </w:pPr>
            <w:r w:rsidRPr="004F3970">
              <w:rPr>
                <w:rFonts w:ascii="Times New Roman" w:hAnsi="Times New Roman"/>
                <w:sz w:val="24"/>
                <w:szCs w:val="24"/>
              </w:rPr>
              <w:t>7</w:t>
            </w:r>
            <w:r>
              <w:rPr>
                <w:rFonts w:ascii="Times New Roman" w:hAnsi="Times New Roman"/>
                <w:sz w:val="24"/>
                <w:szCs w:val="24"/>
              </w:rPr>
              <w:t>.</w:t>
            </w:r>
          </w:p>
        </w:tc>
        <w:tc>
          <w:tcPr>
            <w:tcW w:w="3330" w:type="dxa"/>
            <w:vAlign w:val="center"/>
          </w:tcPr>
          <w:p w:rsidR="002074C5" w:rsidRPr="002074C5" w:rsidRDefault="002074C5" w:rsidP="00BF03FC">
            <w:pPr>
              <w:pStyle w:val="Betarp1"/>
              <w:rPr>
                <w:rFonts w:ascii="Times New Roman" w:hAnsi="Times New Roman"/>
                <w:sz w:val="24"/>
                <w:szCs w:val="24"/>
              </w:rPr>
            </w:pPr>
            <w:r w:rsidRPr="002074C5">
              <w:rPr>
                <w:rFonts w:ascii="Times New Roman" w:hAnsi="Times New Roman"/>
                <w:sz w:val="24"/>
                <w:szCs w:val="24"/>
              </w:rPr>
              <w:t>Velžio gimnazija   </w:t>
            </w:r>
          </w:p>
        </w:tc>
        <w:tc>
          <w:tcPr>
            <w:tcW w:w="189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650</w:t>
            </w:r>
          </w:p>
        </w:tc>
        <w:tc>
          <w:tcPr>
            <w:tcW w:w="180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650</w:t>
            </w:r>
          </w:p>
        </w:tc>
        <w:tc>
          <w:tcPr>
            <w:tcW w:w="171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650</w:t>
            </w:r>
          </w:p>
        </w:tc>
        <w:tc>
          <w:tcPr>
            <w:tcW w:w="135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650</w:t>
            </w:r>
          </w:p>
        </w:tc>
        <w:tc>
          <w:tcPr>
            <w:tcW w:w="1834"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650</w:t>
            </w:r>
          </w:p>
        </w:tc>
      </w:tr>
      <w:tr w:rsidR="002074C5" w:rsidTr="002074C5">
        <w:tc>
          <w:tcPr>
            <w:tcW w:w="918" w:type="dxa"/>
            <w:vAlign w:val="center"/>
          </w:tcPr>
          <w:p w:rsidR="002074C5" w:rsidRPr="004F3970" w:rsidRDefault="002074C5" w:rsidP="00BF03FC">
            <w:pPr>
              <w:pStyle w:val="Betarp"/>
              <w:jc w:val="center"/>
              <w:rPr>
                <w:rFonts w:ascii="Times New Roman" w:hAnsi="Times New Roman"/>
                <w:sz w:val="24"/>
                <w:szCs w:val="24"/>
              </w:rPr>
            </w:pPr>
            <w:r w:rsidRPr="004F3970">
              <w:rPr>
                <w:rFonts w:ascii="Times New Roman" w:hAnsi="Times New Roman"/>
                <w:sz w:val="24"/>
                <w:szCs w:val="24"/>
              </w:rPr>
              <w:t>8</w:t>
            </w:r>
            <w:r>
              <w:rPr>
                <w:rFonts w:ascii="Times New Roman" w:hAnsi="Times New Roman"/>
                <w:sz w:val="24"/>
                <w:szCs w:val="24"/>
              </w:rPr>
              <w:t>.</w:t>
            </w:r>
          </w:p>
        </w:tc>
        <w:tc>
          <w:tcPr>
            <w:tcW w:w="3330" w:type="dxa"/>
            <w:vAlign w:val="center"/>
          </w:tcPr>
          <w:p w:rsidR="002074C5" w:rsidRPr="002074C5" w:rsidRDefault="002074C5" w:rsidP="00BF03FC">
            <w:pPr>
              <w:pStyle w:val="Betarp1"/>
              <w:rPr>
                <w:rFonts w:ascii="Times New Roman" w:hAnsi="Times New Roman"/>
                <w:sz w:val="24"/>
                <w:szCs w:val="24"/>
              </w:rPr>
            </w:pPr>
            <w:r w:rsidRPr="002074C5">
              <w:rPr>
                <w:rFonts w:ascii="Times New Roman" w:hAnsi="Times New Roman"/>
                <w:sz w:val="24"/>
                <w:szCs w:val="24"/>
              </w:rPr>
              <w:t xml:space="preserve">Dembavos progimnazija                </w:t>
            </w:r>
          </w:p>
        </w:tc>
        <w:tc>
          <w:tcPr>
            <w:tcW w:w="189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118</w:t>
            </w:r>
          </w:p>
        </w:tc>
        <w:tc>
          <w:tcPr>
            <w:tcW w:w="180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120</w:t>
            </w:r>
          </w:p>
        </w:tc>
        <w:tc>
          <w:tcPr>
            <w:tcW w:w="171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121</w:t>
            </w:r>
          </w:p>
        </w:tc>
        <w:tc>
          <w:tcPr>
            <w:tcW w:w="135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122</w:t>
            </w:r>
          </w:p>
        </w:tc>
        <w:tc>
          <w:tcPr>
            <w:tcW w:w="1834"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122</w:t>
            </w:r>
          </w:p>
        </w:tc>
      </w:tr>
      <w:tr w:rsidR="002074C5" w:rsidTr="002074C5">
        <w:tc>
          <w:tcPr>
            <w:tcW w:w="918" w:type="dxa"/>
            <w:vAlign w:val="center"/>
          </w:tcPr>
          <w:p w:rsidR="002074C5" w:rsidRPr="004F3970" w:rsidRDefault="002074C5" w:rsidP="00BF03FC">
            <w:pPr>
              <w:pStyle w:val="Betarp"/>
              <w:jc w:val="center"/>
              <w:rPr>
                <w:rFonts w:ascii="Times New Roman" w:hAnsi="Times New Roman"/>
                <w:sz w:val="24"/>
                <w:szCs w:val="24"/>
              </w:rPr>
            </w:pPr>
            <w:r w:rsidRPr="004F3970">
              <w:rPr>
                <w:rFonts w:ascii="Times New Roman" w:hAnsi="Times New Roman"/>
                <w:sz w:val="24"/>
                <w:szCs w:val="24"/>
              </w:rPr>
              <w:t>9</w:t>
            </w:r>
            <w:r>
              <w:rPr>
                <w:rFonts w:ascii="Times New Roman" w:hAnsi="Times New Roman"/>
                <w:sz w:val="24"/>
                <w:szCs w:val="24"/>
              </w:rPr>
              <w:t>.</w:t>
            </w:r>
          </w:p>
        </w:tc>
        <w:tc>
          <w:tcPr>
            <w:tcW w:w="3330" w:type="dxa"/>
            <w:vAlign w:val="center"/>
          </w:tcPr>
          <w:p w:rsidR="002074C5" w:rsidRPr="002074C5" w:rsidRDefault="002074C5" w:rsidP="00BF03FC">
            <w:pPr>
              <w:pStyle w:val="Betarp1"/>
              <w:rPr>
                <w:rFonts w:ascii="Times New Roman" w:hAnsi="Times New Roman"/>
                <w:sz w:val="24"/>
                <w:szCs w:val="24"/>
              </w:rPr>
            </w:pPr>
            <w:r w:rsidRPr="002074C5">
              <w:rPr>
                <w:rFonts w:ascii="Times New Roman" w:hAnsi="Times New Roman"/>
                <w:sz w:val="24"/>
                <w:szCs w:val="24"/>
              </w:rPr>
              <w:t xml:space="preserve">Miežiškių pagrindinė mokykla                         </w:t>
            </w:r>
          </w:p>
        </w:tc>
        <w:tc>
          <w:tcPr>
            <w:tcW w:w="189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62</w:t>
            </w:r>
          </w:p>
        </w:tc>
        <w:tc>
          <w:tcPr>
            <w:tcW w:w="180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66</w:t>
            </w:r>
          </w:p>
        </w:tc>
        <w:tc>
          <w:tcPr>
            <w:tcW w:w="171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69</w:t>
            </w:r>
          </w:p>
        </w:tc>
        <w:tc>
          <w:tcPr>
            <w:tcW w:w="1350"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74</w:t>
            </w:r>
          </w:p>
        </w:tc>
        <w:tc>
          <w:tcPr>
            <w:tcW w:w="1834" w:type="dxa"/>
            <w:vAlign w:val="center"/>
          </w:tcPr>
          <w:p w:rsidR="002074C5" w:rsidRPr="002074C5" w:rsidRDefault="002074C5" w:rsidP="00BF03FC">
            <w:pPr>
              <w:pStyle w:val="Betarp1"/>
              <w:jc w:val="center"/>
              <w:rPr>
                <w:rFonts w:ascii="Times New Roman" w:hAnsi="Times New Roman"/>
                <w:sz w:val="24"/>
                <w:szCs w:val="24"/>
              </w:rPr>
            </w:pPr>
            <w:r w:rsidRPr="002074C5">
              <w:rPr>
                <w:rFonts w:ascii="Times New Roman" w:hAnsi="Times New Roman"/>
                <w:sz w:val="24"/>
                <w:szCs w:val="24"/>
              </w:rPr>
              <w:t>78</w:t>
            </w:r>
          </w:p>
        </w:tc>
      </w:tr>
      <w:tr w:rsidR="002074C5" w:rsidTr="002074C5">
        <w:tc>
          <w:tcPr>
            <w:tcW w:w="918" w:type="dxa"/>
            <w:vAlign w:val="center"/>
          </w:tcPr>
          <w:p w:rsidR="002074C5" w:rsidRPr="004F3970" w:rsidRDefault="002074C5" w:rsidP="00132B4D">
            <w:pPr>
              <w:pStyle w:val="Betarp"/>
              <w:jc w:val="center"/>
              <w:rPr>
                <w:rFonts w:ascii="Times New Roman" w:hAnsi="Times New Roman"/>
                <w:sz w:val="24"/>
                <w:szCs w:val="24"/>
              </w:rPr>
            </w:pPr>
            <w:r w:rsidRPr="004F3970">
              <w:rPr>
                <w:rFonts w:ascii="Times New Roman" w:hAnsi="Times New Roman"/>
                <w:sz w:val="24"/>
                <w:szCs w:val="24"/>
              </w:rPr>
              <w:t>10</w:t>
            </w:r>
            <w:r>
              <w:rPr>
                <w:rFonts w:ascii="Times New Roman" w:hAnsi="Times New Roman"/>
                <w:sz w:val="24"/>
                <w:szCs w:val="24"/>
              </w:rPr>
              <w:t>.</w:t>
            </w:r>
          </w:p>
        </w:tc>
        <w:tc>
          <w:tcPr>
            <w:tcW w:w="3330" w:type="dxa"/>
            <w:vAlign w:val="center"/>
          </w:tcPr>
          <w:p w:rsidR="002074C5" w:rsidRPr="002074C5" w:rsidRDefault="002074C5" w:rsidP="00132B4D">
            <w:pPr>
              <w:pStyle w:val="Betarp1"/>
              <w:rPr>
                <w:rFonts w:ascii="Times New Roman" w:hAnsi="Times New Roman"/>
                <w:sz w:val="24"/>
                <w:szCs w:val="24"/>
              </w:rPr>
            </w:pPr>
            <w:r w:rsidRPr="002074C5">
              <w:rPr>
                <w:rFonts w:ascii="Times New Roman" w:hAnsi="Times New Roman"/>
                <w:sz w:val="24"/>
                <w:szCs w:val="24"/>
              </w:rPr>
              <w:t>Paliūniškio pagrindinė mokykla</w:t>
            </w:r>
          </w:p>
        </w:tc>
        <w:tc>
          <w:tcPr>
            <w:tcW w:w="189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164</w:t>
            </w:r>
          </w:p>
        </w:tc>
        <w:tc>
          <w:tcPr>
            <w:tcW w:w="180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151</w:t>
            </w:r>
          </w:p>
        </w:tc>
        <w:tc>
          <w:tcPr>
            <w:tcW w:w="171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142</w:t>
            </w:r>
          </w:p>
        </w:tc>
        <w:tc>
          <w:tcPr>
            <w:tcW w:w="135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135</w:t>
            </w:r>
          </w:p>
        </w:tc>
        <w:tc>
          <w:tcPr>
            <w:tcW w:w="1834"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123</w:t>
            </w:r>
          </w:p>
        </w:tc>
      </w:tr>
      <w:tr w:rsidR="002074C5" w:rsidTr="002074C5">
        <w:tc>
          <w:tcPr>
            <w:tcW w:w="918" w:type="dxa"/>
            <w:vAlign w:val="center"/>
          </w:tcPr>
          <w:p w:rsidR="002074C5" w:rsidRPr="004F3970" w:rsidRDefault="002074C5" w:rsidP="00132B4D">
            <w:pPr>
              <w:pStyle w:val="Betarp"/>
              <w:jc w:val="center"/>
              <w:rPr>
                <w:rFonts w:ascii="Times New Roman" w:hAnsi="Times New Roman"/>
                <w:sz w:val="24"/>
                <w:szCs w:val="24"/>
              </w:rPr>
            </w:pPr>
            <w:r w:rsidRPr="004F3970">
              <w:rPr>
                <w:rFonts w:ascii="Times New Roman" w:hAnsi="Times New Roman"/>
                <w:sz w:val="24"/>
                <w:szCs w:val="24"/>
              </w:rPr>
              <w:t>11</w:t>
            </w:r>
            <w:r>
              <w:rPr>
                <w:rFonts w:ascii="Times New Roman" w:hAnsi="Times New Roman"/>
                <w:sz w:val="24"/>
                <w:szCs w:val="24"/>
              </w:rPr>
              <w:t>.</w:t>
            </w:r>
          </w:p>
        </w:tc>
        <w:tc>
          <w:tcPr>
            <w:tcW w:w="3330" w:type="dxa"/>
            <w:vAlign w:val="center"/>
          </w:tcPr>
          <w:p w:rsidR="002074C5" w:rsidRPr="002074C5" w:rsidRDefault="002074C5" w:rsidP="00132B4D">
            <w:pPr>
              <w:pStyle w:val="Betarp1"/>
              <w:rPr>
                <w:rFonts w:ascii="Times New Roman" w:hAnsi="Times New Roman"/>
                <w:sz w:val="24"/>
                <w:szCs w:val="24"/>
              </w:rPr>
            </w:pPr>
            <w:r w:rsidRPr="002074C5">
              <w:rPr>
                <w:rFonts w:ascii="Times New Roman" w:hAnsi="Times New Roman"/>
                <w:sz w:val="24"/>
                <w:szCs w:val="24"/>
              </w:rPr>
              <w:t xml:space="preserve">Upytės Antano Belazaro pagrindinė mokykla                     </w:t>
            </w:r>
          </w:p>
        </w:tc>
        <w:tc>
          <w:tcPr>
            <w:tcW w:w="189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95</w:t>
            </w:r>
          </w:p>
        </w:tc>
        <w:tc>
          <w:tcPr>
            <w:tcW w:w="180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93</w:t>
            </w:r>
          </w:p>
        </w:tc>
        <w:tc>
          <w:tcPr>
            <w:tcW w:w="171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91</w:t>
            </w:r>
          </w:p>
        </w:tc>
        <w:tc>
          <w:tcPr>
            <w:tcW w:w="135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83</w:t>
            </w:r>
          </w:p>
        </w:tc>
        <w:tc>
          <w:tcPr>
            <w:tcW w:w="1834"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80</w:t>
            </w:r>
          </w:p>
        </w:tc>
      </w:tr>
      <w:tr w:rsidR="002074C5" w:rsidTr="002074C5">
        <w:tc>
          <w:tcPr>
            <w:tcW w:w="918" w:type="dxa"/>
            <w:vAlign w:val="center"/>
          </w:tcPr>
          <w:p w:rsidR="002074C5" w:rsidRPr="004F3970" w:rsidRDefault="002074C5" w:rsidP="00132B4D">
            <w:pPr>
              <w:pStyle w:val="Betarp"/>
              <w:jc w:val="center"/>
              <w:rPr>
                <w:rFonts w:ascii="Times New Roman" w:hAnsi="Times New Roman"/>
                <w:sz w:val="24"/>
                <w:szCs w:val="24"/>
              </w:rPr>
            </w:pPr>
            <w:r w:rsidRPr="004F3970">
              <w:rPr>
                <w:rFonts w:ascii="Times New Roman" w:hAnsi="Times New Roman"/>
                <w:sz w:val="24"/>
                <w:szCs w:val="24"/>
              </w:rPr>
              <w:t>12</w:t>
            </w:r>
            <w:r>
              <w:rPr>
                <w:rFonts w:ascii="Times New Roman" w:hAnsi="Times New Roman"/>
                <w:sz w:val="24"/>
                <w:szCs w:val="24"/>
              </w:rPr>
              <w:t>.</w:t>
            </w:r>
          </w:p>
        </w:tc>
        <w:tc>
          <w:tcPr>
            <w:tcW w:w="3330" w:type="dxa"/>
            <w:vAlign w:val="center"/>
          </w:tcPr>
          <w:p w:rsidR="002074C5" w:rsidRPr="002074C5" w:rsidRDefault="002074C5" w:rsidP="00132B4D">
            <w:pPr>
              <w:pStyle w:val="Betarp1"/>
              <w:rPr>
                <w:rFonts w:ascii="Times New Roman" w:hAnsi="Times New Roman"/>
                <w:sz w:val="24"/>
                <w:szCs w:val="24"/>
              </w:rPr>
            </w:pPr>
            <w:r w:rsidRPr="002074C5">
              <w:rPr>
                <w:rFonts w:ascii="Times New Roman" w:hAnsi="Times New Roman"/>
                <w:sz w:val="24"/>
                <w:szCs w:val="24"/>
              </w:rPr>
              <w:t xml:space="preserve">Vadoklių pagrindinė mokykla                     </w:t>
            </w:r>
          </w:p>
        </w:tc>
        <w:tc>
          <w:tcPr>
            <w:tcW w:w="189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88</w:t>
            </w:r>
          </w:p>
        </w:tc>
        <w:tc>
          <w:tcPr>
            <w:tcW w:w="180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89</w:t>
            </w:r>
          </w:p>
        </w:tc>
        <w:tc>
          <w:tcPr>
            <w:tcW w:w="171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84</w:t>
            </w:r>
          </w:p>
        </w:tc>
        <w:tc>
          <w:tcPr>
            <w:tcW w:w="135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82</w:t>
            </w:r>
          </w:p>
        </w:tc>
        <w:tc>
          <w:tcPr>
            <w:tcW w:w="1834"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82</w:t>
            </w:r>
          </w:p>
        </w:tc>
      </w:tr>
      <w:tr w:rsidR="002074C5" w:rsidTr="002074C5">
        <w:tc>
          <w:tcPr>
            <w:tcW w:w="918" w:type="dxa"/>
            <w:vAlign w:val="center"/>
          </w:tcPr>
          <w:p w:rsidR="002074C5" w:rsidRPr="004F3970" w:rsidRDefault="002074C5" w:rsidP="00132B4D">
            <w:pPr>
              <w:pStyle w:val="Betarp"/>
              <w:jc w:val="center"/>
              <w:rPr>
                <w:rFonts w:ascii="Times New Roman" w:hAnsi="Times New Roman"/>
                <w:sz w:val="24"/>
                <w:szCs w:val="24"/>
              </w:rPr>
            </w:pPr>
            <w:r w:rsidRPr="004F3970">
              <w:rPr>
                <w:rFonts w:ascii="Times New Roman" w:hAnsi="Times New Roman"/>
                <w:sz w:val="24"/>
                <w:szCs w:val="24"/>
              </w:rPr>
              <w:t>13</w:t>
            </w:r>
            <w:r>
              <w:rPr>
                <w:rFonts w:ascii="Times New Roman" w:hAnsi="Times New Roman"/>
                <w:sz w:val="24"/>
                <w:szCs w:val="24"/>
              </w:rPr>
              <w:t>.</w:t>
            </w:r>
          </w:p>
        </w:tc>
        <w:tc>
          <w:tcPr>
            <w:tcW w:w="3330" w:type="dxa"/>
            <w:vAlign w:val="center"/>
          </w:tcPr>
          <w:p w:rsidR="002074C5" w:rsidRPr="002074C5" w:rsidRDefault="002074C5" w:rsidP="00132B4D">
            <w:pPr>
              <w:pStyle w:val="Betarp1"/>
              <w:rPr>
                <w:rFonts w:ascii="Times New Roman" w:hAnsi="Times New Roman"/>
                <w:sz w:val="24"/>
                <w:szCs w:val="24"/>
              </w:rPr>
            </w:pPr>
            <w:r w:rsidRPr="002074C5">
              <w:rPr>
                <w:rFonts w:ascii="Times New Roman" w:hAnsi="Times New Roman"/>
                <w:sz w:val="24"/>
                <w:szCs w:val="24"/>
              </w:rPr>
              <w:t>Piniavos mokykla-darželis</w:t>
            </w:r>
          </w:p>
        </w:tc>
        <w:tc>
          <w:tcPr>
            <w:tcW w:w="189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74</w:t>
            </w:r>
          </w:p>
        </w:tc>
        <w:tc>
          <w:tcPr>
            <w:tcW w:w="180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80</w:t>
            </w:r>
          </w:p>
        </w:tc>
        <w:tc>
          <w:tcPr>
            <w:tcW w:w="171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82</w:t>
            </w:r>
          </w:p>
        </w:tc>
        <w:tc>
          <w:tcPr>
            <w:tcW w:w="135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85</w:t>
            </w:r>
          </w:p>
        </w:tc>
        <w:tc>
          <w:tcPr>
            <w:tcW w:w="1834"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85</w:t>
            </w:r>
          </w:p>
        </w:tc>
      </w:tr>
      <w:tr w:rsidR="002074C5" w:rsidTr="002074C5">
        <w:tc>
          <w:tcPr>
            <w:tcW w:w="918" w:type="dxa"/>
            <w:vAlign w:val="center"/>
          </w:tcPr>
          <w:p w:rsidR="002074C5" w:rsidRPr="004F3970" w:rsidRDefault="002074C5" w:rsidP="00132B4D">
            <w:pPr>
              <w:pStyle w:val="Betarp"/>
              <w:jc w:val="center"/>
              <w:rPr>
                <w:rFonts w:ascii="Times New Roman" w:hAnsi="Times New Roman"/>
                <w:sz w:val="24"/>
                <w:szCs w:val="24"/>
              </w:rPr>
            </w:pPr>
            <w:r w:rsidRPr="004F3970">
              <w:rPr>
                <w:rFonts w:ascii="Times New Roman" w:hAnsi="Times New Roman"/>
                <w:sz w:val="24"/>
                <w:szCs w:val="24"/>
              </w:rPr>
              <w:t>14</w:t>
            </w:r>
            <w:r>
              <w:rPr>
                <w:rFonts w:ascii="Times New Roman" w:hAnsi="Times New Roman"/>
                <w:sz w:val="24"/>
                <w:szCs w:val="24"/>
              </w:rPr>
              <w:t>.</w:t>
            </w:r>
          </w:p>
        </w:tc>
        <w:tc>
          <w:tcPr>
            <w:tcW w:w="3330" w:type="dxa"/>
            <w:vAlign w:val="center"/>
          </w:tcPr>
          <w:p w:rsidR="002074C5" w:rsidRPr="002074C5" w:rsidRDefault="002074C5" w:rsidP="00132B4D">
            <w:pPr>
              <w:pStyle w:val="Betarp1"/>
              <w:rPr>
                <w:rFonts w:ascii="Times New Roman" w:hAnsi="Times New Roman"/>
                <w:sz w:val="24"/>
                <w:szCs w:val="24"/>
              </w:rPr>
            </w:pPr>
            <w:r w:rsidRPr="002074C5">
              <w:rPr>
                <w:rFonts w:ascii="Times New Roman" w:hAnsi="Times New Roman"/>
                <w:sz w:val="24"/>
                <w:szCs w:val="24"/>
              </w:rPr>
              <w:t xml:space="preserve">Pažagienių mokykla-darželis                    </w:t>
            </w:r>
          </w:p>
        </w:tc>
        <w:tc>
          <w:tcPr>
            <w:tcW w:w="189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50</w:t>
            </w:r>
          </w:p>
        </w:tc>
        <w:tc>
          <w:tcPr>
            <w:tcW w:w="180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50</w:t>
            </w:r>
          </w:p>
        </w:tc>
        <w:tc>
          <w:tcPr>
            <w:tcW w:w="171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50</w:t>
            </w:r>
          </w:p>
        </w:tc>
        <w:tc>
          <w:tcPr>
            <w:tcW w:w="135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50</w:t>
            </w:r>
          </w:p>
        </w:tc>
        <w:tc>
          <w:tcPr>
            <w:tcW w:w="1834"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50</w:t>
            </w:r>
          </w:p>
        </w:tc>
      </w:tr>
      <w:tr w:rsidR="002074C5" w:rsidTr="002074C5">
        <w:tc>
          <w:tcPr>
            <w:tcW w:w="918" w:type="dxa"/>
            <w:vAlign w:val="center"/>
          </w:tcPr>
          <w:p w:rsidR="002074C5" w:rsidRPr="004F3970" w:rsidRDefault="002074C5" w:rsidP="00132B4D">
            <w:pPr>
              <w:pStyle w:val="Betarp"/>
              <w:jc w:val="center"/>
              <w:rPr>
                <w:rFonts w:ascii="Times New Roman" w:hAnsi="Times New Roman"/>
                <w:sz w:val="24"/>
                <w:szCs w:val="24"/>
              </w:rPr>
            </w:pPr>
            <w:r w:rsidRPr="004F3970">
              <w:rPr>
                <w:rFonts w:ascii="Times New Roman" w:hAnsi="Times New Roman"/>
                <w:sz w:val="24"/>
                <w:szCs w:val="24"/>
              </w:rPr>
              <w:t>15</w:t>
            </w:r>
            <w:r>
              <w:rPr>
                <w:rFonts w:ascii="Times New Roman" w:hAnsi="Times New Roman"/>
                <w:sz w:val="24"/>
                <w:szCs w:val="24"/>
              </w:rPr>
              <w:t>.</w:t>
            </w:r>
          </w:p>
        </w:tc>
        <w:tc>
          <w:tcPr>
            <w:tcW w:w="3330" w:type="dxa"/>
            <w:vAlign w:val="center"/>
          </w:tcPr>
          <w:p w:rsidR="002074C5" w:rsidRPr="002074C5" w:rsidRDefault="002074C5" w:rsidP="00132B4D">
            <w:pPr>
              <w:pStyle w:val="Betarp1"/>
              <w:rPr>
                <w:rFonts w:ascii="Times New Roman" w:hAnsi="Times New Roman"/>
                <w:sz w:val="24"/>
                <w:szCs w:val="24"/>
              </w:rPr>
            </w:pPr>
            <w:r w:rsidRPr="002074C5">
              <w:rPr>
                <w:rFonts w:ascii="Times New Roman" w:hAnsi="Times New Roman"/>
                <w:sz w:val="24"/>
                <w:szCs w:val="24"/>
              </w:rPr>
              <w:t>Bernatonių mokykla-darželis</w:t>
            </w:r>
          </w:p>
        </w:tc>
        <w:tc>
          <w:tcPr>
            <w:tcW w:w="189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22</w:t>
            </w:r>
          </w:p>
        </w:tc>
        <w:tc>
          <w:tcPr>
            <w:tcW w:w="180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23</w:t>
            </w:r>
          </w:p>
        </w:tc>
        <w:tc>
          <w:tcPr>
            <w:tcW w:w="171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23</w:t>
            </w:r>
          </w:p>
        </w:tc>
        <w:tc>
          <w:tcPr>
            <w:tcW w:w="135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23</w:t>
            </w:r>
          </w:p>
        </w:tc>
        <w:tc>
          <w:tcPr>
            <w:tcW w:w="1834"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22</w:t>
            </w:r>
          </w:p>
        </w:tc>
      </w:tr>
      <w:tr w:rsidR="002074C5" w:rsidTr="002074C5">
        <w:tc>
          <w:tcPr>
            <w:tcW w:w="918" w:type="dxa"/>
            <w:vAlign w:val="center"/>
          </w:tcPr>
          <w:p w:rsidR="002074C5" w:rsidRPr="004F3970" w:rsidRDefault="002074C5" w:rsidP="00132B4D">
            <w:pPr>
              <w:pStyle w:val="Betarp"/>
              <w:jc w:val="center"/>
              <w:rPr>
                <w:rFonts w:ascii="Times New Roman" w:hAnsi="Times New Roman"/>
                <w:sz w:val="24"/>
                <w:szCs w:val="24"/>
              </w:rPr>
            </w:pPr>
          </w:p>
        </w:tc>
        <w:tc>
          <w:tcPr>
            <w:tcW w:w="3330" w:type="dxa"/>
            <w:vAlign w:val="center"/>
          </w:tcPr>
          <w:p w:rsidR="002074C5" w:rsidRPr="002074C5" w:rsidRDefault="002074C5" w:rsidP="00132B4D">
            <w:pPr>
              <w:pStyle w:val="Betarp1"/>
              <w:rPr>
                <w:rFonts w:ascii="Times New Roman" w:hAnsi="Times New Roman"/>
                <w:sz w:val="24"/>
                <w:szCs w:val="24"/>
              </w:rPr>
            </w:pPr>
            <w:r w:rsidRPr="002074C5">
              <w:rPr>
                <w:rFonts w:ascii="Times New Roman" w:hAnsi="Times New Roman"/>
                <w:sz w:val="24"/>
                <w:szCs w:val="24"/>
              </w:rPr>
              <w:t>Iš viso</w:t>
            </w:r>
          </w:p>
        </w:tc>
        <w:tc>
          <w:tcPr>
            <w:tcW w:w="189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2 884</w:t>
            </w:r>
          </w:p>
        </w:tc>
        <w:tc>
          <w:tcPr>
            <w:tcW w:w="180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2 843</w:t>
            </w:r>
          </w:p>
        </w:tc>
        <w:tc>
          <w:tcPr>
            <w:tcW w:w="171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2 816</w:t>
            </w:r>
          </w:p>
        </w:tc>
        <w:tc>
          <w:tcPr>
            <w:tcW w:w="1350"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2 767</w:t>
            </w:r>
          </w:p>
        </w:tc>
        <w:tc>
          <w:tcPr>
            <w:tcW w:w="1834" w:type="dxa"/>
            <w:vAlign w:val="center"/>
          </w:tcPr>
          <w:p w:rsidR="002074C5" w:rsidRPr="002074C5" w:rsidRDefault="002074C5" w:rsidP="00132B4D">
            <w:pPr>
              <w:pStyle w:val="Betarp1"/>
              <w:jc w:val="center"/>
              <w:rPr>
                <w:rFonts w:ascii="Times New Roman" w:hAnsi="Times New Roman"/>
                <w:sz w:val="24"/>
                <w:szCs w:val="24"/>
              </w:rPr>
            </w:pPr>
            <w:r w:rsidRPr="002074C5">
              <w:rPr>
                <w:rFonts w:ascii="Times New Roman" w:hAnsi="Times New Roman"/>
                <w:sz w:val="24"/>
                <w:szCs w:val="24"/>
              </w:rPr>
              <w:t>2 713</w:t>
            </w:r>
          </w:p>
        </w:tc>
      </w:tr>
    </w:tbl>
    <w:p w:rsidR="00003A8F" w:rsidRPr="00DB6DCD" w:rsidRDefault="00003A8F" w:rsidP="00574E95">
      <w:pPr>
        <w:pStyle w:val="Betarp"/>
        <w:rPr>
          <w:rFonts w:ascii="Times New Roman" w:hAnsi="Times New Roman"/>
          <w:sz w:val="24"/>
          <w:szCs w:val="24"/>
        </w:rPr>
      </w:pPr>
    </w:p>
    <w:p w:rsidR="00B54918" w:rsidRPr="00DB6DCD" w:rsidRDefault="005058D9" w:rsidP="00DB6DCD">
      <w:pPr>
        <w:pStyle w:val="Betarp"/>
        <w:ind w:firstLine="426"/>
      </w:pPr>
      <w:r>
        <w:rPr>
          <w:rFonts w:ascii="Times New Roman" w:hAnsi="Times New Roman"/>
          <w:b/>
          <w:sz w:val="24"/>
          <w:szCs w:val="24"/>
        </w:rPr>
        <w:t>8</w:t>
      </w:r>
      <w:r w:rsidR="003C1389" w:rsidRPr="004604B2">
        <w:rPr>
          <w:rFonts w:ascii="Times New Roman" w:hAnsi="Times New Roman"/>
          <w:b/>
          <w:sz w:val="24"/>
          <w:szCs w:val="24"/>
        </w:rPr>
        <w:t>. Ugdymo</w:t>
      </w:r>
      <w:r w:rsidR="006C725F" w:rsidRPr="004604B2">
        <w:rPr>
          <w:rFonts w:ascii="Times New Roman" w:hAnsi="Times New Roman"/>
          <w:b/>
          <w:sz w:val="24"/>
          <w:szCs w:val="24"/>
        </w:rPr>
        <w:t xml:space="preserve"> </w:t>
      </w:r>
      <w:r w:rsidR="003C1389" w:rsidRPr="004604B2">
        <w:rPr>
          <w:rFonts w:ascii="Times New Roman" w:hAnsi="Times New Roman"/>
          <w:b/>
          <w:sz w:val="24"/>
          <w:szCs w:val="24"/>
        </w:rPr>
        <w:t>kokybė ir prieinamumas</w:t>
      </w:r>
      <w:r w:rsidR="008646E9" w:rsidRPr="004604B2">
        <w:rPr>
          <w:rFonts w:ascii="Times New Roman" w:hAnsi="Times New Roman"/>
          <w:b/>
          <w:sz w:val="24"/>
          <w:szCs w:val="24"/>
        </w:rPr>
        <w:t xml:space="preserve">   </w:t>
      </w:r>
    </w:p>
    <w:p w:rsidR="00B54918" w:rsidRDefault="00B54918" w:rsidP="00DB6DCD">
      <w:pPr>
        <w:pStyle w:val="Betarp"/>
        <w:ind w:firstLine="426"/>
        <w:jc w:val="both"/>
        <w:rPr>
          <w:bCs/>
        </w:rPr>
      </w:pPr>
      <w:r w:rsidRPr="00DB6DCD">
        <w:rPr>
          <w:rFonts w:ascii="Times New Roman" w:hAnsi="Times New Roman"/>
          <w:sz w:val="24"/>
          <w:szCs w:val="24"/>
        </w:rPr>
        <w:t xml:space="preserve">Savivaldybės švietimo sistema siekia geros ugdymo kokybės rezultatų sumaniai ir taupiai naudodama turimus išteklius, kiekvienam asmeniui laiduoja švietimo prieinamumą. </w:t>
      </w:r>
      <w:r w:rsidRPr="00DB6DCD">
        <w:rPr>
          <w:rFonts w:ascii="Times New Roman" w:hAnsi="Times New Roman"/>
          <w:bCs/>
          <w:sz w:val="24"/>
          <w:szCs w:val="24"/>
        </w:rPr>
        <w:t>Švietimo kokybei gerinti vykdoma švietimo stebėsena, mokyklų veiklos kokybės įsivertinimas ir išorinis vertinimas, mokytojų ir švietimo pagalbos specialistų atestacija, mokymosi pasiekimų vertinimas, švietimo įstaig</w:t>
      </w:r>
      <w:r w:rsidR="00183AD0">
        <w:rPr>
          <w:rFonts w:ascii="Times New Roman" w:hAnsi="Times New Roman"/>
          <w:bCs/>
          <w:sz w:val="24"/>
          <w:szCs w:val="24"/>
        </w:rPr>
        <w:t>ų</w:t>
      </w:r>
      <w:r w:rsidRPr="00DB6DCD">
        <w:rPr>
          <w:rFonts w:ascii="Times New Roman" w:hAnsi="Times New Roman"/>
          <w:bCs/>
          <w:sz w:val="24"/>
          <w:szCs w:val="24"/>
        </w:rPr>
        <w:t xml:space="preserve"> </w:t>
      </w:r>
      <w:r w:rsidR="00183AD0">
        <w:rPr>
          <w:rFonts w:ascii="Times New Roman" w:hAnsi="Times New Roman"/>
          <w:bCs/>
          <w:sz w:val="24"/>
          <w:szCs w:val="24"/>
        </w:rPr>
        <w:t>direktori</w:t>
      </w:r>
      <w:r w:rsidRPr="00DB6DCD">
        <w:rPr>
          <w:rFonts w:ascii="Times New Roman" w:hAnsi="Times New Roman"/>
          <w:bCs/>
          <w:sz w:val="24"/>
          <w:szCs w:val="24"/>
        </w:rPr>
        <w:t xml:space="preserve">ai teikia mokyklos bendruomenei ir </w:t>
      </w:r>
      <w:r w:rsidR="00183AD0">
        <w:rPr>
          <w:rFonts w:ascii="Times New Roman" w:hAnsi="Times New Roman"/>
          <w:bCs/>
          <w:sz w:val="24"/>
          <w:szCs w:val="24"/>
        </w:rPr>
        <w:t xml:space="preserve">mokyklos </w:t>
      </w:r>
      <w:r w:rsidRPr="00DB6DCD">
        <w:rPr>
          <w:rFonts w:ascii="Times New Roman" w:hAnsi="Times New Roman"/>
          <w:bCs/>
          <w:sz w:val="24"/>
          <w:szCs w:val="24"/>
        </w:rPr>
        <w:t>tarybai svarstyti metų veiklos ataskait</w:t>
      </w:r>
      <w:r w:rsidR="00183AD0">
        <w:rPr>
          <w:rFonts w:ascii="Times New Roman" w:hAnsi="Times New Roman"/>
          <w:bCs/>
          <w:sz w:val="24"/>
          <w:szCs w:val="24"/>
        </w:rPr>
        <w:t>as</w:t>
      </w:r>
      <w:r w:rsidRPr="00DB6DCD">
        <w:rPr>
          <w:rFonts w:ascii="Times New Roman" w:hAnsi="Times New Roman"/>
          <w:bCs/>
          <w:sz w:val="24"/>
          <w:szCs w:val="24"/>
        </w:rPr>
        <w:t>.</w:t>
      </w:r>
    </w:p>
    <w:p w:rsidR="00183AD0" w:rsidRPr="00580248" w:rsidRDefault="00183AD0" w:rsidP="00DB6DCD">
      <w:pPr>
        <w:pStyle w:val="Betarp"/>
        <w:ind w:firstLine="426"/>
        <w:jc w:val="both"/>
        <w:rPr>
          <w:rFonts w:ascii="Times New Roman" w:hAnsi="Times New Roman"/>
          <w:bCs/>
          <w:sz w:val="24"/>
          <w:szCs w:val="24"/>
        </w:rPr>
      </w:pPr>
    </w:p>
    <w:p w:rsidR="002216F6" w:rsidRPr="00D23C9A" w:rsidRDefault="005058D9" w:rsidP="00DB6DCD">
      <w:pPr>
        <w:pStyle w:val="Default"/>
        <w:spacing w:line="360" w:lineRule="auto"/>
        <w:ind w:firstLine="426"/>
        <w:jc w:val="both"/>
        <w:rPr>
          <w:color w:val="auto"/>
          <w:lang w:val="lt-LT"/>
        </w:rPr>
      </w:pPr>
      <w:r>
        <w:rPr>
          <w:b/>
          <w:lang w:val="lt-LT"/>
        </w:rPr>
        <w:t>8</w:t>
      </w:r>
      <w:r w:rsidR="000E5581" w:rsidRPr="009013D8">
        <w:rPr>
          <w:b/>
          <w:lang w:val="lt-LT"/>
        </w:rPr>
        <w:t xml:space="preserve">.1. </w:t>
      </w:r>
      <w:r w:rsidR="00F4469F" w:rsidRPr="009013D8">
        <w:rPr>
          <w:b/>
          <w:lang w:val="lt-LT"/>
        </w:rPr>
        <w:t>Ikimokyklinis ir priešmokyklinis ugdymas</w:t>
      </w:r>
      <w:r w:rsidR="008646E9">
        <w:rPr>
          <w:b/>
          <w:lang w:val="lt-LT"/>
        </w:rPr>
        <w:t xml:space="preserve"> </w:t>
      </w:r>
    </w:p>
    <w:p w:rsidR="002216F6" w:rsidRPr="00F1596E" w:rsidRDefault="002216F6" w:rsidP="00F1596E">
      <w:pPr>
        <w:pStyle w:val="Betarp"/>
        <w:ind w:firstLine="426"/>
        <w:jc w:val="both"/>
        <w:rPr>
          <w:rFonts w:ascii="Times New Roman" w:hAnsi="Times New Roman"/>
          <w:sz w:val="24"/>
          <w:szCs w:val="24"/>
        </w:rPr>
      </w:pPr>
      <w:r w:rsidRPr="00DB6DCD">
        <w:rPr>
          <w:rFonts w:ascii="Times New Roman" w:hAnsi="Times New Roman"/>
          <w:sz w:val="24"/>
          <w:szCs w:val="24"/>
        </w:rPr>
        <w:t xml:space="preserve">Ikimokyklinio ugdymo paskirtis – padėti vaikui tenkinti prigimtinius, kultūros, taip pat ir etninius, socialinius, pažintinius poreikius. Ikimokyklinis ugdymas teikiamas vaikui nuo vienerių metų iki jam pradedamas teikti priešmokyklinis ugdymas. Institucinis ikimokyklinis ugdymas yra neprivalomas ir teikiamas tėvams (globėjams) pageidaujant. Atskirais atvejais, Lietuvos Respublikos švietimo, mokslo ir sporto ministro ir Lietuvos Respublikos socialinės apsaugos ir darbo ministro nustatyta tvarka, jis gali būti privalomas. Veiksmingas ikimokyklinis ugdymas yra orientuotas į svarbiausią vaiko pasiekimą – jo asmenybės brandinimą, taip pat į sėkmingą jo ugdymosi pažangą ir gerus pasiekimus visose 18 pasiekimų sričių. Ikimokyklinis ugdymas ypač </w:t>
      </w:r>
      <w:r w:rsidRPr="00DB6DCD">
        <w:rPr>
          <w:rFonts w:ascii="Times New Roman" w:hAnsi="Times New Roman"/>
          <w:sz w:val="24"/>
          <w:szCs w:val="24"/>
        </w:rPr>
        <w:lastRenderedPageBreak/>
        <w:t>svarbus tiems vaikams, kuriems stinga kokybiško ugdymo namuose. Nuo 2020 m. rugsėjo 1 d. ikimokyklinio ugdymo paslaugas teikia 5 lopšeliai-darželiai, 3 mokyklos-darželiai – savarankiški asignavimų valdytojai, 7 ikimokyklinio ugdymo skyriai, taip pat ikimokyklinio ugdymo grupės steigiamos pagrindinėse mokyklose ir gimnazijose. Iš viso 2020–2021 m. m. ugdomi</w:t>
      </w:r>
      <w:r w:rsidR="00F1596E">
        <w:rPr>
          <w:rFonts w:ascii="Times New Roman" w:hAnsi="Times New Roman"/>
          <w:sz w:val="24"/>
          <w:szCs w:val="24"/>
        </w:rPr>
        <w:t xml:space="preserve"> </w:t>
      </w:r>
      <w:r w:rsidRPr="00DB6DCD">
        <w:rPr>
          <w:rFonts w:ascii="Times New Roman" w:hAnsi="Times New Roman"/>
          <w:sz w:val="24"/>
          <w:szCs w:val="24"/>
        </w:rPr>
        <w:t>752 ikimokyklinio amžiaus vaikai, tai sudaro 19,9 proc. visų Panevėžio rajono mokinių.</w:t>
      </w:r>
    </w:p>
    <w:p w:rsidR="00BD3DE9" w:rsidRPr="00580248" w:rsidRDefault="00BD3DE9" w:rsidP="00DB6DCD">
      <w:pPr>
        <w:pStyle w:val="Betarp"/>
        <w:ind w:firstLine="426"/>
        <w:jc w:val="both"/>
        <w:rPr>
          <w:rFonts w:ascii="Times New Roman" w:hAnsi="Times New Roman"/>
          <w:sz w:val="24"/>
          <w:szCs w:val="24"/>
        </w:rPr>
      </w:pPr>
    </w:p>
    <w:p w:rsidR="002216F6" w:rsidRPr="00DB6DCD" w:rsidRDefault="00AD1D5E" w:rsidP="00DB6DCD">
      <w:pPr>
        <w:pStyle w:val="Betarp"/>
        <w:ind w:firstLine="426"/>
        <w:jc w:val="both"/>
      </w:pPr>
      <w:r>
        <w:rPr>
          <w:rFonts w:ascii="Times New Roman" w:hAnsi="Times New Roman"/>
          <w:sz w:val="24"/>
          <w:szCs w:val="24"/>
        </w:rPr>
        <w:t>15</w:t>
      </w:r>
      <w:r w:rsidR="002216F6" w:rsidRPr="00DB6DCD">
        <w:rPr>
          <w:rFonts w:ascii="Times New Roman" w:hAnsi="Times New Roman"/>
          <w:sz w:val="24"/>
          <w:szCs w:val="24"/>
        </w:rPr>
        <w:t xml:space="preserve"> lentelė. </w:t>
      </w:r>
      <w:r w:rsidR="002216F6" w:rsidRPr="00580248">
        <w:rPr>
          <w:rFonts w:ascii="Times New Roman" w:hAnsi="Times New Roman"/>
          <w:sz w:val="24"/>
          <w:szCs w:val="24"/>
        </w:rPr>
        <w:t xml:space="preserve">Ikimokyklinio amžiaus </w:t>
      </w:r>
      <w:r w:rsidR="002216F6" w:rsidRPr="00DB6DCD">
        <w:rPr>
          <w:rFonts w:ascii="Times New Roman" w:hAnsi="Times New Roman"/>
          <w:sz w:val="24"/>
          <w:szCs w:val="24"/>
        </w:rPr>
        <w:t>vaikų skaičiaus pokytis 2016–2020 m.</w:t>
      </w:r>
    </w:p>
    <w:tbl>
      <w:tblPr>
        <w:tblW w:w="12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160"/>
        <w:gridCol w:w="2160"/>
        <w:gridCol w:w="1890"/>
        <w:gridCol w:w="1980"/>
        <w:gridCol w:w="2430"/>
      </w:tblGrid>
      <w:tr w:rsidR="002216F6" w:rsidRPr="00372433" w:rsidTr="00C21801">
        <w:tc>
          <w:tcPr>
            <w:tcW w:w="1890" w:type="dxa"/>
            <w:shd w:val="clear" w:color="auto" w:fill="D9D9D9"/>
          </w:tcPr>
          <w:p w:rsidR="002216F6" w:rsidRPr="00372433" w:rsidRDefault="002216F6" w:rsidP="002216F6">
            <w:pPr>
              <w:spacing w:line="276" w:lineRule="auto"/>
              <w:jc w:val="center"/>
              <w:rPr>
                <w:color w:val="FFFFFF"/>
              </w:rPr>
            </w:pPr>
          </w:p>
        </w:tc>
        <w:tc>
          <w:tcPr>
            <w:tcW w:w="2160" w:type="dxa"/>
            <w:shd w:val="clear" w:color="auto" w:fill="auto"/>
          </w:tcPr>
          <w:p w:rsidR="002216F6" w:rsidRPr="00580248" w:rsidRDefault="002216F6" w:rsidP="002216F6">
            <w:pPr>
              <w:spacing w:line="276" w:lineRule="auto"/>
              <w:jc w:val="center"/>
            </w:pPr>
            <w:r w:rsidRPr="00580248">
              <w:t>2016 m.</w:t>
            </w:r>
          </w:p>
        </w:tc>
        <w:tc>
          <w:tcPr>
            <w:tcW w:w="2160" w:type="dxa"/>
            <w:shd w:val="clear" w:color="auto" w:fill="auto"/>
          </w:tcPr>
          <w:p w:rsidR="002216F6" w:rsidRPr="00580248" w:rsidRDefault="002216F6" w:rsidP="002216F6">
            <w:pPr>
              <w:spacing w:line="276" w:lineRule="auto"/>
              <w:jc w:val="center"/>
            </w:pPr>
            <w:r w:rsidRPr="00580248">
              <w:t>2017 m.</w:t>
            </w:r>
          </w:p>
        </w:tc>
        <w:tc>
          <w:tcPr>
            <w:tcW w:w="1890" w:type="dxa"/>
            <w:shd w:val="clear" w:color="auto" w:fill="auto"/>
          </w:tcPr>
          <w:p w:rsidR="002216F6" w:rsidRPr="00580248" w:rsidRDefault="002216F6" w:rsidP="002216F6">
            <w:pPr>
              <w:spacing w:line="276" w:lineRule="auto"/>
              <w:jc w:val="center"/>
            </w:pPr>
            <w:r w:rsidRPr="00580248">
              <w:t>2018 m.</w:t>
            </w:r>
          </w:p>
        </w:tc>
        <w:tc>
          <w:tcPr>
            <w:tcW w:w="1980" w:type="dxa"/>
            <w:shd w:val="clear" w:color="auto" w:fill="auto"/>
          </w:tcPr>
          <w:p w:rsidR="002216F6" w:rsidRPr="00580248" w:rsidRDefault="002216F6" w:rsidP="002216F6">
            <w:pPr>
              <w:spacing w:line="276" w:lineRule="auto"/>
              <w:jc w:val="center"/>
            </w:pPr>
            <w:r w:rsidRPr="00580248">
              <w:t>2019 m.</w:t>
            </w:r>
          </w:p>
        </w:tc>
        <w:tc>
          <w:tcPr>
            <w:tcW w:w="2430" w:type="dxa"/>
            <w:shd w:val="clear" w:color="auto" w:fill="auto"/>
          </w:tcPr>
          <w:p w:rsidR="002216F6" w:rsidRPr="00580248" w:rsidRDefault="002216F6" w:rsidP="002216F6">
            <w:pPr>
              <w:spacing w:line="276" w:lineRule="auto"/>
              <w:jc w:val="center"/>
            </w:pPr>
            <w:r w:rsidRPr="00580248">
              <w:t>2020 m.</w:t>
            </w:r>
          </w:p>
        </w:tc>
      </w:tr>
      <w:tr w:rsidR="002216F6" w:rsidRPr="00372433" w:rsidTr="00C21801">
        <w:tc>
          <w:tcPr>
            <w:tcW w:w="1890" w:type="dxa"/>
            <w:shd w:val="clear" w:color="auto" w:fill="auto"/>
          </w:tcPr>
          <w:p w:rsidR="002216F6" w:rsidRPr="00372433" w:rsidRDefault="00424818" w:rsidP="002216F6">
            <w:pPr>
              <w:spacing w:line="276" w:lineRule="auto"/>
              <w:jc w:val="center"/>
            </w:pPr>
            <w:r>
              <w:t>V</w:t>
            </w:r>
            <w:r w:rsidR="002216F6" w:rsidRPr="00372433">
              <w:t>aikų skaičius</w:t>
            </w:r>
          </w:p>
        </w:tc>
        <w:tc>
          <w:tcPr>
            <w:tcW w:w="2160" w:type="dxa"/>
            <w:shd w:val="clear" w:color="auto" w:fill="auto"/>
          </w:tcPr>
          <w:p w:rsidR="002216F6" w:rsidRPr="00372433" w:rsidRDefault="002216F6" w:rsidP="002216F6">
            <w:pPr>
              <w:spacing w:line="276" w:lineRule="auto"/>
              <w:jc w:val="center"/>
            </w:pPr>
            <w:r w:rsidRPr="00372433">
              <w:t>744</w:t>
            </w:r>
          </w:p>
        </w:tc>
        <w:tc>
          <w:tcPr>
            <w:tcW w:w="2160" w:type="dxa"/>
            <w:shd w:val="clear" w:color="auto" w:fill="auto"/>
          </w:tcPr>
          <w:p w:rsidR="002216F6" w:rsidRPr="00372433" w:rsidRDefault="002216F6" w:rsidP="002216F6">
            <w:pPr>
              <w:spacing w:line="276" w:lineRule="auto"/>
              <w:jc w:val="center"/>
            </w:pPr>
            <w:r w:rsidRPr="00372433">
              <w:t>769</w:t>
            </w:r>
          </w:p>
        </w:tc>
        <w:tc>
          <w:tcPr>
            <w:tcW w:w="1890" w:type="dxa"/>
            <w:shd w:val="clear" w:color="auto" w:fill="auto"/>
          </w:tcPr>
          <w:p w:rsidR="002216F6" w:rsidRPr="00372433" w:rsidRDefault="002216F6" w:rsidP="002216F6">
            <w:pPr>
              <w:spacing w:line="276" w:lineRule="auto"/>
              <w:jc w:val="center"/>
            </w:pPr>
            <w:r w:rsidRPr="00372433">
              <w:t>756</w:t>
            </w:r>
          </w:p>
        </w:tc>
        <w:tc>
          <w:tcPr>
            <w:tcW w:w="1980" w:type="dxa"/>
            <w:shd w:val="clear" w:color="auto" w:fill="auto"/>
          </w:tcPr>
          <w:p w:rsidR="002216F6" w:rsidRPr="00372433" w:rsidRDefault="002216F6" w:rsidP="002216F6">
            <w:pPr>
              <w:spacing w:line="276" w:lineRule="auto"/>
              <w:jc w:val="center"/>
            </w:pPr>
            <w:r w:rsidRPr="00372433">
              <w:t>769</w:t>
            </w:r>
          </w:p>
        </w:tc>
        <w:tc>
          <w:tcPr>
            <w:tcW w:w="2430" w:type="dxa"/>
            <w:shd w:val="clear" w:color="auto" w:fill="auto"/>
          </w:tcPr>
          <w:p w:rsidR="002216F6" w:rsidRPr="00372433" w:rsidRDefault="002216F6" w:rsidP="002216F6">
            <w:pPr>
              <w:spacing w:line="276" w:lineRule="auto"/>
              <w:jc w:val="center"/>
            </w:pPr>
            <w:r w:rsidRPr="00372433">
              <w:t>752</w:t>
            </w:r>
          </w:p>
        </w:tc>
      </w:tr>
    </w:tbl>
    <w:p w:rsidR="006E3C41" w:rsidRPr="00580248" w:rsidRDefault="006E3C41" w:rsidP="00DB6DCD">
      <w:pPr>
        <w:pStyle w:val="Betarp"/>
        <w:jc w:val="both"/>
        <w:rPr>
          <w:rFonts w:ascii="Times New Roman" w:hAnsi="Times New Roman"/>
          <w:sz w:val="24"/>
          <w:szCs w:val="24"/>
        </w:rPr>
      </w:pPr>
    </w:p>
    <w:p w:rsidR="007B51C9" w:rsidRDefault="002216F6" w:rsidP="00DB6DCD">
      <w:pPr>
        <w:pStyle w:val="Betarp"/>
        <w:ind w:firstLine="720"/>
        <w:jc w:val="both"/>
        <w:rPr>
          <w:rFonts w:ascii="Times New Roman" w:hAnsi="Times New Roman"/>
          <w:sz w:val="24"/>
          <w:szCs w:val="24"/>
        </w:rPr>
      </w:pPr>
      <w:r w:rsidRPr="00DB6DCD">
        <w:rPr>
          <w:rFonts w:ascii="Times New Roman" w:hAnsi="Times New Roman"/>
          <w:sz w:val="24"/>
          <w:szCs w:val="24"/>
        </w:rPr>
        <w:t>Priešmokyklinis ugdymas pradedamas teikti vaikui, kai tais kalendoriniais metais jam sueina 6 metai, taip pat gali būti teikiamas anksčiau tėvų (globėjų) sprendimu, bet ne anksčiau, negu vaikui sueina 5 metai. Ugdoma pagal Priešmokyklinio ugdymo bendrąją programą ir trunka vienerius metus. Priešmokyklinis ugdymas užtikrina optimalią vaiko raidą ir padeda pasirengti mokytis pagal pradinio ugdymo programą. Jis teikiamas ikimokyklinio ugdymo įstaigose ir bendrojo ugdymo mokyklose. Iš viso 2020–2021 m. m. Panevėžio rajone ugdomi 223 priešmokyklinio amžiaus vaikai, tai sudaro 5,9 proc. visų mokinių.</w:t>
      </w:r>
    </w:p>
    <w:p w:rsidR="00580248" w:rsidRPr="00F8228D" w:rsidRDefault="00580248" w:rsidP="00DB6DCD">
      <w:pPr>
        <w:pStyle w:val="Betarp"/>
        <w:ind w:firstLine="720"/>
        <w:jc w:val="both"/>
        <w:rPr>
          <w:rFonts w:ascii="Times New Roman" w:hAnsi="Times New Roman"/>
          <w:sz w:val="24"/>
          <w:szCs w:val="24"/>
        </w:rPr>
      </w:pPr>
    </w:p>
    <w:p w:rsidR="00BD3DE9" w:rsidRPr="00F8228D" w:rsidRDefault="00AD1D5E" w:rsidP="00F8228D">
      <w:pPr>
        <w:pStyle w:val="Betarp"/>
        <w:ind w:firstLine="720"/>
        <w:jc w:val="both"/>
      </w:pPr>
      <w:r>
        <w:rPr>
          <w:rFonts w:ascii="Times New Roman" w:hAnsi="Times New Roman"/>
          <w:sz w:val="24"/>
          <w:szCs w:val="24"/>
        </w:rPr>
        <w:t>16</w:t>
      </w:r>
      <w:r w:rsidR="002216F6" w:rsidRPr="00DB6DCD">
        <w:rPr>
          <w:rFonts w:ascii="Times New Roman" w:hAnsi="Times New Roman"/>
          <w:sz w:val="24"/>
          <w:szCs w:val="24"/>
        </w:rPr>
        <w:t xml:space="preserve"> lentelė. </w:t>
      </w:r>
      <w:r w:rsidR="002216F6" w:rsidRPr="00580248">
        <w:rPr>
          <w:rFonts w:ascii="Times New Roman" w:hAnsi="Times New Roman"/>
          <w:sz w:val="24"/>
          <w:szCs w:val="24"/>
        </w:rPr>
        <w:t>Priešmokyklinio</w:t>
      </w:r>
      <w:r w:rsidR="002216F6" w:rsidRPr="00DB6DCD">
        <w:rPr>
          <w:rFonts w:ascii="Times New Roman" w:hAnsi="Times New Roman"/>
          <w:sz w:val="24"/>
          <w:szCs w:val="24"/>
        </w:rPr>
        <w:t xml:space="preserve"> amžiaus vaikų skaičiaus pokytis 2016–2020 m.</w:t>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805"/>
        <w:gridCol w:w="2070"/>
        <w:gridCol w:w="1980"/>
        <w:gridCol w:w="1890"/>
        <w:gridCol w:w="2520"/>
      </w:tblGrid>
      <w:tr w:rsidR="002216F6" w:rsidRPr="00372433" w:rsidTr="00C21801">
        <w:tc>
          <w:tcPr>
            <w:tcW w:w="2155" w:type="dxa"/>
            <w:shd w:val="clear" w:color="auto" w:fill="D9D9D9"/>
          </w:tcPr>
          <w:p w:rsidR="002216F6" w:rsidRPr="00372433" w:rsidRDefault="002216F6" w:rsidP="002216F6">
            <w:pPr>
              <w:spacing w:line="276" w:lineRule="auto"/>
              <w:rPr>
                <w:rFonts w:eastAsia="Calibri"/>
                <w:color w:val="FFFFFF"/>
              </w:rPr>
            </w:pPr>
          </w:p>
        </w:tc>
        <w:tc>
          <w:tcPr>
            <w:tcW w:w="1805" w:type="dxa"/>
            <w:shd w:val="clear" w:color="auto" w:fill="auto"/>
          </w:tcPr>
          <w:p w:rsidR="002216F6" w:rsidRPr="00580248" w:rsidRDefault="002216F6" w:rsidP="002216F6">
            <w:pPr>
              <w:spacing w:line="276" w:lineRule="auto"/>
              <w:jc w:val="center"/>
              <w:rPr>
                <w:rFonts w:eastAsia="Calibri"/>
              </w:rPr>
            </w:pPr>
            <w:r w:rsidRPr="00580248">
              <w:rPr>
                <w:rFonts w:eastAsia="Calibri"/>
              </w:rPr>
              <w:t>2016 m.</w:t>
            </w:r>
          </w:p>
        </w:tc>
        <w:tc>
          <w:tcPr>
            <w:tcW w:w="2070" w:type="dxa"/>
            <w:shd w:val="clear" w:color="auto" w:fill="auto"/>
          </w:tcPr>
          <w:p w:rsidR="002216F6" w:rsidRPr="00580248" w:rsidRDefault="002216F6" w:rsidP="002216F6">
            <w:pPr>
              <w:spacing w:line="276" w:lineRule="auto"/>
              <w:jc w:val="center"/>
              <w:rPr>
                <w:rFonts w:eastAsia="Calibri"/>
              </w:rPr>
            </w:pPr>
            <w:r w:rsidRPr="00580248">
              <w:rPr>
                <w:rFonts w:eastAsia="Calibri"/>
              </w:rPr>
              <w:t>2017 m.</w:t>
            </w:r>
          </w:p>
        </w:tc>
        <w:tc>
          <w:tcPr>
            <w:tcW w:w="1980" w:type="dxa"/>
            <w:shd w:val="clear" w:color="auto" w:fill="auto"/>
          </w:tcPr>
          <w:p w:rsidR="002216F6" w:rsidRPr="00580248" w:rsidRDefault="002216F6" w:rsidP="002216F6">
            <w:pPr>
              <w:spacing w:line="276" w:lineRule="auto"/>
              <w:jc w:val="center"/>
              <w:rPr>
                <w:rFonts w:eastAsia="Calibri"/>
              </w:rPr>
            </w:pPr>
            <w:r w:rsidRPr="00580248">
              <w:rPr>
                <w:rFonts w:eastAsia="Calibri"/>
              </w:rPr>
              <w:t>2018 m.</w:t>
            </w:r>
          </w:p>
        </w:tc>
        <w:tc>
          <w:tcPr>
            <w:tcW w:w="1890" w:type="dxa"/>
            <w:shd w:val="clear" w:color="auto" w:fill="auto"/>
          </w:tcPr>
          <w:p w:rsidR="002216F6" w:rsidRPr="00580248" w:rsidRDefault="002216F6" w:rsidP="002216F6">
            <w:pPr>
              <w:spacing w:line="276" w:lineRule="auto"/>
              <w:jc w:val="center"/>
              <w:rPr>
                <w:rFonts w:eastAsia="Calibri"/>
              </w:rPr>
            </w:pPr>
            <w:r w:rsidRPr="00580248">
              <w:rPr>
                <w:rFonts w:eastAsia="Calibri"/>
              </w:rPr>
              <w:t>2019 m.</w:t>
            </w:r>
          </w:p>
        </w:tc>
        <w:tc>
          <w:tcPr>
            <w:tcW w:w="2520" w:type="dxa"/>
            <w:shd w:val="clear" w:color="auto" w:fill="auto"/>
          </w:tcPr>
          <w:p w:rsidR="002216F6" w:rsidRPr="00580248" w:rsidRDefault="002216F6" w:rsidP="002216F6">
            <w:pPr>
              <w:spacing w:line="276" w:lineRule="auto"/>
              <w:jc w:val="center"/>
              <w:rPr>
                <w:rFonts w:eastAsia="Calibri"/>
              </w:rPr>
            </w:pPr>
            <w:r w:rsidRPr="00580248">
              <w:rPr>
                <w:rFonts w:eastAsia="Calibri"/>
              </w:rPr>
              <w:t>2020 m.</w:t>
            </w:r>
          </w:p>
        </w:tc>
      </w:tr>
      <w:tr w:rsidR="002216F6" w:rsidRPr="00372433" w:rsidTr="00C21801">
        <w:tc>
          <w:tcPr>
            <w:tcW w:w="2155" w:type="dxa"/>
            <w:shd w:val="clear" w:color="auto" w:fill="auto"/>
          </w:tcPr>
          <w:p w:rsidR="002216F6" w:rsidRPr="00372433" w:rsidRDefault="00424818" w:rsidP="002216F6">
            <w:pPr>
              <w:spacing w:line="276" w:lineRule="auto"/>
              <w:jc w:val="center"/>
              <w:rPr>
                <w:rFonts w:eastAsia="Calibri"/>
              </w:rPr>
            </w:pPr>
            <w:r>
              <w:rPr>
                <w:rFonts w:eastAsia="Calibri"/>
              </w:rPr>
              <w:t>V</w:t>
            </w:r>
            <w:r w:rsidR="002216F6" w:rsidRPr="00372433">
              <w:rPr>
                <w:rFonts w:eastAsia="Calibri"/>
              </w:rPr>
              <w:t>aikų skaičius</w:t>
            </w:r>
          </w:p>
        </w:tc>
        <w:tc>
          <w:tcPr>
            <w:tcW w:w="1805" w:type="dxa"/>
            <w:shd w:val="clear" w:color="auto" w:fill="auto"/>
          </w:tcPr>
          <w:p w:rsidR="002216F6" w:rsidRPr="00372433" w:rsidRDefault="002216F6" w:rsidP="002216F6">
            <w:pPr>
              <w:spacing w:line="276" w:lineRule="auto"/>
              <w:jc w:val="center"/>
              <w:rPr>
                <w:rFonts w:eastAsia="Calibri"/>
              </w:rPr>
            </w:pPr>
            <w:r w:rsidRPr="00372433">
              <w:rPr>
                <w:rFonts w:eastAsia="Calibri"/>
              </w:rPr>
              <w:t>241</w:t>
            </w:r>
          </w:p>
        </w:tc>
        <w:tc>
          <w:tcPr>
            <w:tcW w:w="2070" w:type="dxa"/>
            <w:shd w:val="clear" w:color="auto" w:fill="auto"/>
          </w:tcPr>
          <w:p w:rsidR="002216F6" w:rsidRPr="00372433" w:rsidRDefault="002216F6" w:rsidP="002216F6">
            <w:pPr>
              <w:spacing w:line="276" w:lineRule="auto"/>
              <w:jc w:val="center"/>
              <w:rPr>
                <w:rFonts w:eastAsia="Calibri"/>
              </w:rPr>
            </w:pPr>
            <w:r w:rsidRPr="00372433">
              <w:rPr>
                <w:rFonts w:eastAsia="Calibri"/>
              </w:rPr>
              <w:t>216</w:t>
            </w:r>
          </w:p>
        </w:tc>
        <w:tc>
          <w:tcPr>
            <w:tcW w:w="1980" w:type="dxa"/>
            <w:shd w:val="clear" w:color="auto" w:fill="auto"/>
          </w:tcPr>
          <w:p w:rsidR="002216F6" w:rsidRPr="00372433" w:rsidRDefault="002216F6" w:rsidP="002216F6">
            <w:pPr>
              <w:spacing w:line="276" w:lineRule="auto"/>
              <w:jc w:val="center"/>
              <w:rPr>
                <w:rFonts w:eastAsia="Calibri"/>
              </w:rPr>
            </w:pPr>
            <w:r w:rsidRPr="00372433">
              <w:rPr>
                <w:rFonts w:eastAsia="Calibri"/>
              </w:rPr>
              <w:t>226</w:t>
            </w:r>
          </w:p>
        </w:tc>
        <w:tc>
          <w:tcPr>
            <w:tcW w:w="1890" w:type="dxa"/>
            <w:shd w:val="clear" w:color="auto" w:fill="auto"/>
          </w:tcPr>
          <w:p w:rsidR="002216F6" w:rsidRPr="00372433" w:rsidRDefault="002216F6" w:rsidP="002216F6">
            <w:pPr>
              <w:spacing w:line="276" w:lineRule="auto"/>
              <w:jc w:val="center"/>
              <w:rPr>
                <w:rFonts w:eastAsia="Calibri"/>
              </w:rPr>
            </w:pPr>
            <w:r w:rsidRPr="00372433">
              <w:rPr>
                <w:rFonts w:eastAsia="Calibri"/>
              </w:rPr>
              <w:t>233</w:t>
            </w:r>
          </w:p>
        </w:tc>
        <w:tc>
          <w:tcPr>
            <w:tcW w:w="2520" w:type="dxa"/>
            <w:shd w:val="clear" w:color="auto" w:fill="auto"/>
          </w:tcPr>
          <w:p w:rsidR="002216F6" w:rsidRPr="00372433" w:rsidRDefault="002216F6" w:rsidP="002216F6">
            <w:pPr>
              <w:spacing w:line="276" w:lineRule="auto"/>
              <w:jc w:val="center"/>
              <w:rPr>
                <w:rFonts w:eastAsia="Calibri"/>
              </w:rPr>
            </w:pPr>
            <w:r w:rsidRPr="00372433">
              <w:rPr>
                <w:rFonts w:eastAsia="Calibri"/>
              </w:rPr>
              <w:t>223</w:t>
            </w:r>
          </w:p>
        </w:tc>
      </w:tr>
    </w:tbl>
    <w:p w:rsidR="00EF0215" w:rsidRPr="00DB6DCD" w:rsidRDefault="00EF0215" w:rsidP="00684513">
      <w:pPr>
        <w:pStyle w:val="Default"/>
        <w:spacing w:line="360" w:lineRule="auto"/>
        <w:jc w:val="both"/>
        <w:rPr>
          <w:color w:val="auto"/>
          <w:lang w:val="lt-LT"/>
        </w:rPr>
      </w:pPr>
    </w:p>
    <w:p w:rsidR="00EF0215" w:rsidRPr="00DB6DCD" w:rsidRDefault="00EF0215" w:rsidP="00DB6DCD">
      <w:pPr>
        <w:pStyle w:val="Betarp"/>
        <w:ind w:firstLine="720"/>
        <w:jc w:val="both"/>
        <w:rPr>
          <w:b/>
        </w:rPr>
      </w:pPr>
      <w:r w:rsidRPr="00DB6DCD">
        <w:rPr>
          <w:rFonts w:ascii="Times New Roman" w:hAnsi="Times New Roman"/>
          <w:b/>
          <w:sz w:val="24"/>
          <w:szCs w:val="24"/>
        </w:rPr>
        <w:t>8.2. Mokinių pasiekimų patikrinimų ir brandos</w:t>
      </w:r>
      <w:r w:rsidR="0088558F">
        <w:rPr>
          <w:rFonts w:ascii="Times New Roman" w:hAnsi="Times New Roman"/>
          <w:b/>
          <w:sz w:val="24"/>
          <w:szCs w:val="24"/>
        </w:rPr>
        <w:t xml:space="preserve"> egzaminų rezultatai  </w:t>
      </w:r>
    </w:p>
    <w:p w:rsidR="00EF0215" w:rsidRPr="00981FB0" w:rsidRDefault="00F22786" w:rsidP="00DB6DCD">
      <w:pPr>
        <w:pStyle w:val="Betarp"/>
        <w:ind w:firstLine="720"/>
        <w:jc w:val="both"/>
      </w:pPr>
      <w:r w:rsidRPr="00DB6DCD">
        <w:rPr>
          <w:rFonts w:ascii="Times New Roman" w:hAnsi="Times New Roman"/>
          <w:sz w:val="24"/>
          <w:szCs w:val="24"/>
        </w:rPr>
        <w:t>M</w:t>
      </w:r>
      <w:r w:rsidR="00EF0215" w:rsidRPr="00DB6DCD">
        <w:rPr>
          <w:rFonts w:ascii="Times New Roman" w:hAnsi="Times New Roman"/>
          <w:sz w:val="24"/>
          <w:szCs w:val="24"/>
        </w:rPr>
        <w:t xml:space="preserve">okinių pasiekimus atspindi Nacionalinio mokinių pasiekimų patikrinimo (NMPP) rezultatai, pagrindinio ugdymo pasiekimų patikrinimo (PUPP) rezultatai ir valstybinių brandos egzaminų (VBE) rezultatai. </w:t>
      </w:r>
    </w:p>
    <w:p w:rsidR="00EF0215" w:rsidRPr="00981FB0" w:rsidRDefault="00EF0215" w:rsidP="00DB6DCD">
      <w:pPr>
        <w:pStyle w:val="Betarp"/>
        <w:ind w:firstLine="720"/>
        <w:jc w:val="both"/>
        <w:rPr>
          <w:bCs/>
        </w:rPr>
      </w:pPr>
      <w:r w:rsidRPr="00DB6DCD">
        <w:rPr>
          <w:rFonts w:ascii="Times New Roman" w:hAnsi="Times New Roman"/>
          <w:sz w:val="24"/>
          <w:szCs w:val="24"/>
        </w:rPr>
        <w:t xml:space="preserve">Nuo 2015 m. visos mokyklos dalyvauja NMPP. Testų rezultatai </w:t>
      </w:r>
      <w:r w:rsidRPr="00DB6DCD">
        <w:rPr>
          <w:rFonts w:ascii="Times New Roman" w:hAnsi="Times New Roman"/>
          <w:bCs/>
          <w:sz w:val="24"/>
          <w:szCs w:val="24"/>
        </w:rPr>
        <w:t xml:space="preserve">teikė nešališką informaciją apie pasiekimų lygius ir padėjo priimti pagrįstus sprendimus. Standartizuoti (įsi)vertinimo įrankiai mokykloms, mokytojams ir mokiniams leido pasitikrinti, koks yra mokyklos, klasės ar mokinių pasiekimų lygis Bendrųjų programų aprašytų siektinų mokinių pasiekimų atžvilgiu, tėvai </w:t>
      </w:r>
      <w:r w:rsidR="00A52E81">
        <w:rPr>
          <w:rFonts w:ascii="Times New Roman" w:hAnsi="Times New Roman"/>
          <w:bCs/>
          <w:sz w:val="24"/>
          <w:szCs w:val="24"/>
        </w:rPr>
        <w:t xml:space="preserve">(globėjai, rūpintojai) </w:t>
      </w:r>
      <w:r w:rsidRPr="00DB6DCD">
        <w:rPr>
          <w:rFonts w:ascii="Times New Roman" w:hAnsi="Times New Roman"/>
          <w:bCs/>
          <w:sz w:val="24"/>
          <w:szCs w:val="24"/>
        </w:rPr>
        <w:t>gavo objektyvią informaciją apie vaiko pasiekimus.</w:t>
      </w:r>
    </w:p>
    <w:p w:rsidR="00EF0215" w:rsidRPr="00981FB0" w:rsidRDefault="00EF0215" w:rsidP="00DB6DCD">
      <w:pPr>
        <w:pStyle w:val="Betarp"/>
        <w:ind w:firstLine="720"/>
        <w:jc w:val="both"/>
        <w:rPr>
          <w:bCs/>
        </w:rPr>
      </w:pPr>
      <w:r w:rsidRPr="00DB6DCD">
        <w:rPr>
          <w:rFonts w:ascii="Times New Roman" w:hAnsi="Times New Roman"/>
          <w:bCs/>
          <w:sz w:val="24"/>
          <w:szCs w:val="24"/>
        </w:rPr>
        <w:t xml:space="preserve">Dauguma mokyklų išsamiai analizavo NMPP rezultatus ir </w:t>
      </w:r>
      <w:r w:rsidR="00A52E81">
        <w:rPr>
          <w:rFonts w:ascii="Times New Roman" w:hAnsi="Times New Roman"/>
          <w:bCs/>
          <w:sz w:val="24"/>
          <w:szCs w:val="24"/>
        </w:rPr>
        <w:t xml:space="preserve">priėmė </w:t>
      </w:r>
      <w:r w:rsidRPr="00DB6DCD">
        <w:rPr>
          <w:rFonts w:ascii="Times New Roman" w:hAnsi="Times New Roman"/>
          <w:bCs/>
          <w:sz w:val="24"/>
          <w:szCs w:val="24"/>
        </w:rPr>
        <w:t>sprendim</w:t>
      </w:r>
      <w:r w:rsidR="00A52E81">
        <w:rPr>
          <w:rFonts w:ascii="Times New Roman" w:hAnsi="Times New Roman"/>
          <w:bCs/>
          <w:sz w:val="24"/>
          <w:szCs w:val="24"/>
        </w:rPr>
        <w:t>us</w:t>
      </w:r>
      <w:r w:rsidRPr="00DB6DCD">
        <w:rPr>
          <w:rFonts w:ascii="Times New Roman" w:hAnsi="Times New Roman"/>
          <w:bCs/>
          <w:sz w:val="24"/>
          <w:szCs w:val="24"/>
        </w:rPr>
        <w:t xml:space="preserve"> dėl rezultatų gerinimo. Nuo 2015 m. kasmet arba beveik kasmet gerėjo 4 kl. mokinių rezultatai. 6 ir 8 kl. mokinių rezultatų gerėjimas nėra tolygus. 2018 m. priimtas susitarimas – visų dalykų pamokose didesnį dėmesį kreipti į skaitymo gebėjim</w:t>
      </w:r>
      <w:r w:rsidR="00A52E81">
        <w:rPr>
          <w:rFonts w:ascii="Times New Roman" w:hAnsi="Times New Roman"/>
          <w:bCs/>
          <w:sz w:val="24"/>
          <w:szCs w:val="24"/>
        </w:rPr>
        <w:t>ų ugdymą</w:t>
      </w:r>
      <w:r w:rsidRPr="00DB6DCD">
        <w:rPr>
          <w:rFonts w:ascii="Times New Roman" w:hAnsi="Times New Roman"/>
          <w:bCs/>
          <w:sz w:val="24"/>
          <w:szCs w:val="24"/>
        </w:rPr>
        <w:t xml:space="preserve">. Geresni rezultatai matomi lyginant 2018 </w:t>
      </w:r>
      <w:r w:rsidR="00A52E81">
        <w:rPr>
          <w:rFonts w:ascii="Times New Roman" w:hAnsi="Times New Roman"/>
          <w:bCs/>
          <w:sz w:val="24"/>
          <w:szCs w:val="24"/>
        </w:rPr>
        <w:t xml:space="preserve">m. </w:t>
      </w:r>
      <w:r w:rsidRPr="00DB6DCD">
        <w:rPr>
          <w:rFonts w:ascii="Times New Roman" w:hAnsi="Times New Roman"/>
          <w:bCs/>
          <w:sz w:val="24"/>
          <w:szCs w:val="24"/>
        </w:rPr>
        <w:t>ir 2019 m. skaitymo rezultatus.</w:t>
      </w:r>
    </w:p>
    <w:p w:rsidR="00EF0215" w:rsidRPr="00981FB0" w:rsidRDefault="00EF0215" w:rsidP="00DB6DCD">
      <w:pPr>
        <w:pStyle w:val="Betarp"/>
        <w:ind w:firstLine="720"/>
        <w:jc w:val="both"/>
      </w:pPr>
      <w:r w:rsidRPr="00DB6DCD">
        <w:rPr>
          <w:rFonts w:ascii="Times New Roman" w:hAnsi="Times New Roman"/>
          <w:sz w:val="24"/>
          <w:szCs w:val="24"/>
        </w:rPr>
        <w:t>Lyginant NMPP rezultatus, 4 kl. mokinių, pasiekusių aukštesnįjį lygį</w:t>
      </w:r>
      <w:r w:rsidR="00A52E81">
        <w:rPr>
          <w:rFonts w:ascii="Times New Roman" w:hAnsi="Times New Roman"/>
          <w:sz w:val="24"/>
          <w:szCs w:val="24"/>
        </w:rPr>
        <w:t>,</w:t>
      </w:r>
      <w:r w:rsidRPr="00DB6DCD">
        <w:rPr>
          <w:rFonts w:ascii="Times New Roman" w:hAnsi="Times New Roman"/>
          <w:sz w:val="24"/>
          <w:szCs w:val="24"/>
        </w:rPr>
        <w:t xml:space="preserve"> procentas didėja tiek lietuvių k</w:t>
      </w:r>
      <w:r w:rsidR="00A52E81">
        <w:rPr>
          <w:rFonts w:ascii="Times New Roman" w:hAnsi="Times New Roman"/>
          <w:sz w:val="24"/>
          <w:szCs w:val="24"/>
        </w:rPr>
        <w:t>albos</w:t>
      </w:r>
      <w:r w:rsidRPr="00DB6DCD">
        <w:rPr>
          <w:rFonts w:ascii="Times New Roman" w:hAnsi="Times New Roman"/>
          <w:sz w:val="24"/>
          <w:szCs w:val="24"/>
        </w:rPr>
        <w:t>, tiek matematikos, o nepasiekusių patenkinamo lygio dalis šioje klasėje mažėja. 6 kl. mokinių lietuvių k</w:t>
      </w:r>
      <w:r w:rsidR="00A52E81">
        <w:rPr>
          <w:rFonts w:ascii="Times New Roman" w:hAnsi="Times New Roman"/>
          <w:sz w:val="24"/>
          <w:szCs w:val="24"/>
        </w:rPr>
        <w:t>albos</w:t>
      </w:r>
      <w:r w:rsidRPr="00DB6DCD">
        <w:rPr>
          <w:rFonts w:ascii="Times New Roman" w:hAnsi="Times New Roman"/>
          <w:sz w:val="24"/>
          <w:szCs w:val="24"/>
        </w:rPr>
        <w:t xml:space="preserve"> pasiekimai gerėja, tačiau matematikos pasiekimų pažangos nėra. 2019 m. 8 kl. rezultatai nebuvo lyginami.</w:t>
      </w:r>
    </w:p>
    <w:p w:rsidR="00BD3DE9" w:rsidRDefault="00EF0215" w:rsidP="00C21801">
      <w:pPr>
        <w:pStyle w:val="Betarp"/>
        <w:ind w:firstLine="720"/>
        <w:jc w:val="both"/>
        <w:rPr>
          <w:rFonts w:ascii="Times New Roman" w:hAnsi="Times New Roman"/>
          <w:sz w:val="24"/>
          <w:szCs w:val="24"/>
        </w:rPr>
      </w:pPr>
      <w:r w:rsidRPr="00DB6DCD">
        <w:rPr>
          <w:rFonts w:ascii="Times New Roman" w:hAnsi="Times New Roman"/>
          <w:sz w:val="24"/>
          <w:szCs w:val="24"/>
        </w:rPr>
        <w:lastRenderedPageBreak/>
        <w:t xml:space="preserve">Akivaizdų pažangos kitimą rodo </w:t>
      </w:r>
      <w:r w:rsidR="00A52E81">
        <w:rPr>
          <w:rFonts w:ascii="Times New Roman" w:hAnsi="Times New Roman"/>
          <w:sz w:val="24"/>
          <w:szCs w:val="24"/>
        </w:rPr>
        <w:t>p</w:t>
      </w:r>
      <w:r w:rsidRPr="00DB6DCD">
        <w:rPr>
          <w:rFonts w:ascii="Times New Roman" w:hAnsi="Times New Roman"/>
          <w:sz w:val="24"/>
          <w:szCs w:val="24"/>
        </w:rPr>
        <w:t>rocentinis rodiklis – kiek procentų visų galimų surinkti taškų vidutiniškai surinko mokiniai.</w:t>
      </w:r>
    </w:p>
    <w:p w:rsidR="002074C5" w:rsidRPr="00C21801" w:rsidRDefault="002074C5" w:rsidP="00C21801">
      <w:pPr>
        <w:pStyle w:val="Betarp"/>
        <w:ind w:firstLine="720"/>
        <w:jc w:val="both"/>
      </w:pPr>
    </w:p>
    <w:p w:rsidR="00EF0215" w:rsidRPr="00DB6DCD" w:rsidRDefault="00AD1D5E" w:rsidP="00DB6DCD">
      <w:pPr>
        <w:pStyle w:val="Betarp"/>
        <w:ind w:firstLine="426"/>
        <w:jc w:val="both"/>
        <w:rPr>
          <w:lang w:eastAsia="lt-LT"/>
        </w:rPr>
      </w:pPr>
      <w:r>
        <w:rPr>
          <w:rFonts w:ascii="Times New Roman" w:hAnsi="Times New Roman"/>
          <w:bCs/>
          <w:sz w:val="24"/>
          <w:szCs w:val="24"/>
        </w:rPr>
        <w:t>17</w:t>
      </w:r>
      <w:r w:rsidR="00EF0215" w:rsidRPr="00DB6DCD">
        <w:rPr>
          <w:rFonts w:ascii="Times New Roman" w:hAnsi="Times New Roman"/>
          <w:bCs/>
          <w:sz w:val="24"/>
          <w:szCs w:val="24"/>
        </w:rPr>
        <w:t xml:space="preserve"> lentelė. </w:t>
      </w:r>
      <w:r w:rsidR="00EF0215" w:rsidRPr="00DB6DCD">
        <w:rPr>
          <w:rFonts w:ascii="Times New Roman" w:hAnsi="Times New Roman"/>
          <w:sz w:val="24"/>
          <w:szCs w:val="24"/>
          <w:lang w:eastAsia="lt-LT"/>
        </w:rPr>
        <w:t xml:space="preserve">Mokinių testuojamų dalykų surinktų taškų </w:t>
      </w:r>
      <w:r w:rsidR="00EF0215" w:rsidRPr="002B1682">
        <w:rPr>
          <w:rFonts w:ascii="Times New Roman" w:hAnsi="Times New Roman"/>
          <w:sz w:val="24"/>
          <w:szCs w:val="24"/>
          <w:lang w:eastAsia="lt-LT"/>
        </w:rPr>
        <w:t>vidurkių rodiklis (proc.)</w:t>
      </w:r>
    </w:p>
    <w:tbl>
      <w:tblPr>
        <w:tblW w:w="12758" w:type="dxa"/>
        <w:tblInd w:w="108" w:type="dxa"/>
        <w:tblLook w:val="04A0" w:firstRow="1" w:lastRow="0" w:firstColumn="1" w:lastColumn="0" w:noHBand="0" w:noVBand="1"/>
      </w:tblPr>
      <w:tblGrid>
        <w:gridCol w:w="2694"/>
        <w:gridCol w:w="2347"/>
        <w:gridCol w:w="1763"/>
        <w:gridCol w:w="1985"/>
        <w:gridCol w:w="2126"/>
        <w:gridCol w:w="1843"/>
      </w:tblGrid>
      <w:tr w:rsidR="00EF0215" w:rsidRPr="00B25EA6" w:rsidTr="000A7C32">
        <w:trPr>
          <w:trHeight w:val="315"/>
        </w:trPr>
        <w:tc>
          <w:tcPr>
            <w:tcW w:w="2694"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EF0215" w:rsidRPr="00DB6DCD" w:rsidRDefault="00EF0215" w:rsidP="00DB6DCD">
            <w:pPr>
              <w:rPr>
                <w:color w:val="000000"/>
              </w:rPr>
            </w:pPr>
            <w:r w:rsidRPr="00DB6DCD">
              <w:rPr>
                <w:color w:val="000000"/>
              </w:rPr>
              <w:t>Matematika</w:t>
            </w:r>
          </w:p>
        </w:tc>
        <w:tc>
          <w:tcPr>
            <w:tcW w:w="2347" w:type="dxa"/>
            <w:tcBorders>
              <w:top w:val="single" w:sz="4" w:space="0" w:color="auto"/>
              <w:left w:val="nil"/>
              <w:bottom w:val="single" w:sz="4" w:space="0" w:color="auto"/>
              <w:right w:val="single" w:sz="4" w:space="0" w:color="auto"/>
            </w:tcBorders>
            <w:shd w:val="clear" w:color="auto" w:fill="DEEAF6"/>
            <w:vAlign w:val="center"/>
            <w:hideMark/>
          </w:tcPr>
          <w:p w:rsidR="00EF0215" w:rsidRPr="00DB6DCD" w:rsidRDefault="00EF0215" w:rsidP="000A7C32">
            <w:pPr>
              <w:jc w:val="center"/>
              <w:rPr>
                <w:color w:val="000000"/>
              </w:rPr>
            </w:pPr>
            <w:r w:rsidRPr="00DB6DCD">
              <w:rPr>
                <w:bCs/>
                <w:color w:val="000000"/>
              </w:rPr>
              <w:t>2015 m.</w:t>
            </w:r>
          </w:p>
        </w:tc>
        <w:tc>
          <w:tcPr>
            <w:tcW w:w="1763" w:type="dxa"/>
            <w:tcBorders>
              <w:top w:val="single" w:sz="4" w:space="0" w:color="auto"/>
              <w:left w:val="nil"/>
              <w:bottom w:val="single" w:sz="4" w:space="0" w:color="auto"/>
              <w:right w:val="single" w:sz="4" w:space="0" w:color="auto"/>
            </w:tcBorders>
            <w:shd w:val="clear" w:color="auto" w:fill="DEEAF6"/>
            <w:vAlign w:val="center"/>
            <w:hideMark/>
          </w:tcPr>
          <w:p w:rsidR="00EF0215" w:rsidRPr="00DB6DCD" w:rsidRDefault="00EF0215" w:rsidP="000A7C32">
            <w:pPr>
              <w:jc w:val="center"/>
              <w:rPr>
                <w:color w:val="000000"/>
              </w:rPr>
            </w:pPr>
            <w:r w:rsidRPr="00DB6DCD">
              <w:rPr>
                <w:bCs/>
                <w:color w:val="000000"/>
              </w:rPr>
              <w:t>2016 m.</w:t>
            </w:r>
          </w:p>
        </w:tc>
        <w:tc>
          <w:tcPr>
            <w:tcW w:w="1985" w:type="dxa"/>
            <w:tcBorders>
              <w:top w:val="single" w:sz="4" w:space="0" w:color="auto"/>
              <w:left w:val="nil"/>
              <w:bottom w:val="single" w:sz="4" w:space="0" w:color="auto"/>
              <w:right w:val="single" w:sz="4" w:space="0" w:color="auto"/>
            </w:tcBorders>
            <w:shd w:val="clear" w:color="auto" w:fill="DEEAF6"/>
            <w:vAlign w:val="center"/>
            <w:hideMark/>
          </w:tcPr>
          <w:p w:rsidR="00EF0215" w:rsidRPr="00DB6DCD" w:rsidRDefault="00EF0215" w:rsidP="000A7C32">
            <w:pPr>
              <w:jc w:val="center"/>
              <w:rPr>
                <w:color w:val="000000"/>
              </w:rPr>
            </w:pPr>
            <w:r w:rsidRPr="00DB6DCD">
              <w:rPr>
                <w:bCs/>
                <w:color w:val="000000"/>
              </w:rPr>
              <w:t>2017 m.</w:t>
            </w:r>
          </w:p>
        </w:tc>
        <w:tc>
          <w:tcPr>
            <w:tcW w:w="2126" w:type="dxa"/>
            <w:tcBorders>
              <w:top w:val="single" w:sz="4" w:space="0" w:color="auto"/>
              <w:left w:val="nil"/>
              <w:bottom w:val="single" w:sz="4" w:space="0" w:color="auto"/>
              <w:right w:val="single" w:sz="4" w:space="0" w:color="auto"/>
            </w:tcBorders>
            <w:shd w:val="clear" w:color="auto" w:fill="DEEAF6"/>
            <w:vAlign w:val="center"/>
            <w:hideMark/>
          </w:tcPr>
          <w:p w:rsidR="00EF0215" w:rsidRPr="00DB6DCD" w:rsidRDefault="00EF0215" w:rsidP="000A7C32">
            <w:pPr>
              <w:jc w:val="center"/>
              <w:rPr>
                <w:color w:val="000000"/>
              </w:rPr>
            </w:pPr>
            <w:r w:rsidRPr="00DB6DCD">
              <w:rPr>
                <w:bCs/>
                <w:color w:val="000000"/>
              </w:rPr>
              <w:t>2018 m.</w:t>
            </w:r>
          </w:p>
        </w:tc>
        <w:tc>
          <w:tcPr>
            <w:tcW w:w="1843" w:type="dxa"/>
            <w:tcBorders>
              <w:top w:val="single" w:sz="4" w:space="0" w:color="auto"/>
              <w:left w:val="nil"/>
              <w:bottom w:val="single" w:sz="4" w:space="0" w:color="auto"/>
              <w:right w:val="single" w:sz="4" w:space="0" w:color="auto"/>
            </w:tcBorders>
            <w:shd w:val="clear" w:color="auto" w:fill="DEEAF6"/>
            <w:vAlign w:val="center"/>
            <w:hideMark/>
          </w:tcPr>
          <w:p w:rsidR="00EF0215" w:rsidRPr="00DB6DCD" w:rsidRDefault="00EF0215" w:rsidP="000A7C32">
            <w:pPr>
              <w:jc w:val="center"/>
              <w:rPr>
                <w:color w:val="000000"/>
              </w:rPr>
            </w:pPr>
            <w:r w:rsidRPr="00DB6DCD">
              <w:rPr>
                <w:bCs/>
                <w:color w:val="000000"/>
              </w:rPr>
              <w:t>2019 m.</w:t>
            </w:r>
          </w:p>
        </w:tc>
      </w:tr>
      <w:tr w:rsidR="00EF0215" w:rsidRPr="00B25EA6" w:rsidTr="000A7C32">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4 kl.</w:t>
            </w:r>
          </w:p>
        </w:tc>
        <w:tc>
          <w:tcPr>
            <w:tcW w:w="2347"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48,5</w:t>
            </w:r>
          </w:p>
        </w:tc>
        <w:tc>
          <w:tcPr>
            <w:tcW w:w="176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48</w:t>
            </w:r>
          </w:p>
        </w:tc>
        <w:tc>
          <w:tcPr>
            <w:tcW w:w="1985"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55,4</w:t>
            </w:r>
          </w:p>
        </w:tc>
        <w:tc>
          <w:tcPr>
            <w:tcW w:w="2126"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62,4</w:t>
            </w:r>
          </w:p>
        </w:tc>
        <w:tc>
          <w:tcPr>
            <w:tcW w:w="184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67,1</w:t>
            </w:r>
          </w:p>
        </w:tc>
      </w:tr>
      <w:tr w:rsidR="00EF0215" w:rsidRPr="00B25EA6" w:rsidTr="000A7C32">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6 kl.</w:t>
            </w:r>
          </w:p>
        </w:tc>
        <w:tc>
          <w:tcPr>
            <w:tcW w:w="2347" w:type="dxa"/>
            <w:tcBorders>
              <w:top w:val="nil"/>
              <w:left w:val="nil"/>
              <w:bottom w:val="single" w:sz="4" w:space="0" w:color="auto"/>
              <w:right w:val="single" w:sz="4" w:space="0" w:color="auto"/>
            </w:tcBorders>
            <w:shd w:val="clear" w:color="auto" w:fill="D9D9D9"/>
            <w:noWrap/>
            <w:vAlign w:val="center"/>
            <w:hideMark/>
          </w:tcPr>
          <w:p w:rsidR="00EF0215" w:rsidRPr="00B25EA6" w:rsidRDefault="00EF0215" w:rsidP="000A7C32">
            <w:pPr>
              <w:jc w:val="center"/>
              <w:rPr>
                <w:color w:val="000000"/>
              </w:rPr>
            </w:pPr>
          </w:p>
        </w:tc>
        <w:tc>
          <w:tcPr>
            <w:tcW w:w="176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39,3</w:t>
            </w:r>
          </w:p>
        </w:tc>
        <w:tc>
          <w:tcPr>
            <w:tcW w:w="1985"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47,5</w:t>
            </w:r>
          </w:p>
        </w:tc>
        <w:tc>
          <w:tcPr>
            <w:tcW w:w="2126"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48,2</w:t>
            </w:r>
          </w:p>
        </w:tc>
        <w:tc>
          <w:tcPr>
            <w:tcW w:w="184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45,8</w:t>
            </w:r>
          </w:p>
        </w:tc>
      </w:tr>
      <w:tr w:rsidR="00EF0215" w:rsidRPr="00B25EA6" w:rsidTr="000A7C32">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8 kl.</w:t>
            </w:r>
          </w:p>
        </w:tc>
        <w:tc>
          <w:tcPr>
            <w:tcW w:w="2347"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39,2</w:t>
            </w:r>
          </w:p>
        </w:tc>
        <w:tc>
          <w:tcPr>
            <w:tcW w:w="176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38</w:t>
            </w:r>
          </w:p>
        </w:tc>
        <w:tc>
          <w:tcPr>
            <w:tcW w:w="1985"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42,9</w:t>
            </w:r>
          </w:p>
        </w:tc>
        <w:tc>
          <w:tcPr>
            <w:tcW w:w="2126"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46,2</w:t>
            </w:r>
          </w:p>
        </w:tc>
        <w:tc>
          <w:tcPr>
            <w:tcW w:w="1843" w:type="dxa"/>
            <w:tcBorders>
              <w:top w:val="nil"/>
              <w:left w:val="nil"/>
              <w:bottom w:val="single" w:sz="4" w:space="0" w:color="auto"/>
              <w:right w:val="single" w:sz="4" w:space="0" w:color="auto"/>
            </w:tcBorders>
            <w:shd w:val="clear" w:color="auto" w:fill="D9D9D9"/>
            <w:noWrap/>
            <w:vAlign w:val="center"/>
            <w:hideMark/>
          </w:tcPr>
          <w:p w:rsidR="00EF0215" w:rsidRPr="00B25EA6" w:rsidRDefault="00EF0215" w:rsidP="000A7C32">
            <w:pPr>
              <w:jc w:val="center"/>
              <w:rPr>
                <w:color w:val="000000"/>
              </w:rPr>
            </w:pPr>
          </w:p>
        </w:tc>
      </w:tr>
      <w:tr w:rsidR="00EF0215" w:rsidRPr="00B25EA6" w:rsidTr="00AD1D5E">
        <w:trPr>
          <w:trHeight w:val="300"/>
        </w:trPr>
        <w:tc>
          <w:tcPr>
            <w:tcW w:w="2694" w:type="dxa"/>
            <w:tcBorders>
              <w:top w:val="nil"/>
              <w:left w:val="single" w:sz="4" w:space="0" w:color="auto"/>
              <w:bottom w:val="single" w:sz="4" w:space="0" w:color="auto"/>
              <w:right w:val="single" w:sz="4" w:space="0" w:color="auto"/>
            </w:tcBorders>
            <w:shd w:val="clear" w:color="auto" w:fill="DEEAF6"/>
            <w:noWrap/>
            <w:vAlign w:val="center"/>
            <w:hideMark/>
          </w:tcPr>
          <w:p w:rsidR="00EF0215" w:rsidRPr="00B25EA6" w:rsidRDefault="00EF0215" w:rsidP="000A7C32">
            <w:pPr>
              <w:rPr>
                <w:color w:val="000000"/>
              </w:rPr>
            </w:pPr>
            <w:r w:rsidRPr="00B25EA6">
              <w:rPr>
                <w:color w:val="000000"/>
              </w:rPr>
              <w:t>Skaitymas</w:t>
            </w:r>
          </w:p>
        </w:tc>
        <w:tc>
          <w:tcPr>
            <w:tcW w:w="2347"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2015 m.</w:t>
            </w:r>
          </w:p>
        </w:tc>
        <w:tc>
          <w:tcPr>
            <w:tcW w:w="1763"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2016 m.</w:t>
            </w:r>
          </w:p>
        </w:tc>
        <w:tc>
          <w:tcPr>
            <w:tcW w:w="1985"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2017 m.</w:t>
            </w:r>
          </w:p>
        </w:tc>
        <w:tc>
          <w:tcPr>
            <w:tcW w:w="2126"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2018 m.</w:t>
            </w:r>
          </w:p>
        </w:tc>
        <w:tc>
          <w:tcPr>
            <w:tcW w:w="1843"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2019 m.</w:t>
            </w:r>
          </w:p>
        </w:tc>
      </w:tr>
      <w:tr w:rsidR="00EF0215" w:rsidRPr="00B25EA6" w:rsidTr="00AD1D5E">
        <w:trPr>
          <w:trHeight w:val="300"/>
        </w:trPr>
        <w:tc>
          <w:tcPr>
            <w:tcW w:w="2694" w:type="dxa"/>
            <w:tcBorders>
              <w:top w:val="single" w:sz="4" w:space="0" w:color="auto"/>
              <w:left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4 kl.</w:t>
            </w:r>
          </w:p>
        </w:tc>
        <w:tc>
          <w:tcPr>
            <w:tcW w:w="2347" w:type="dxa"/>
            <w:tcBorders>
              <w:top w:val="single" w:sz="4" w:space="0" w:color="auto"/>
              <w:left w:val="nil"/>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49,8</w:t>
            </w:r>
          </w:p>
        </w:tc>
        <w:tc>
          <w:tcPr>
            <w:tcW w:w="1763" w:type="dxa"/>
            <w:tcBorders>
              <w:top w:val="single" w:sz="4" w:space="0" w:color="auto"/>
              <w:left w:val="nil"/>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53,9</w:t>
            </w:r>
          </w:p>
        </w:tc>
        <w:tc>
          <w:tcPr>
            <w:tcW w:w="1985" w:type="dxa"/>
            <w:tcBorders>
              <w:top w:val="single" w:sz="4" w:space="0" w:color="auto"/>
              <w:left w:val="nil"/>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59,6</w:t>
            </w:r>
          </w:p>
        </w:tc>
        <w:tc>
          <w:tcPr>
            <w:tcW w:w="2126" w:type="dxa"/>
            <w:tcBorders>
              <w:top w:val="single" w:sz="4" w:space="0" w:color="auto"/>
              <w:left w:val="nil"/>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62</w:t>
            </w:r>
          </w:p>
        </w:tc>
        <w:tc>
          <w:tcPr>
            <w:tcW w:w="1843" w:type="dxa"/>
            <w:tcBorders>
              <w:top w:val="single" w:sz="4" w:space="0" w:color="auto"/>
              <w:left w:val="nil"/>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69,6</w:t>
            </w:r>
          </w:p>
        </w:tc>
      </w:tr>
      <w:tr w:rsidR="00EF0215" w:rsidRPr="00B25EA6" w:rsidTr="00AD1D5E">
        <w:trPr>
          <w:trHeight w:val="300"/>
        </w:trPr>
        <w:tc>
          <w:tcPr>
            <w:tcW w:w="2694" w:type="dxa"/>
            <w:tcBorders>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6 kl.</w:t>
            </w:r>
          </w:p>
        </w:tc>
        <w:tc>
          <w:tcPr>
            <w:tcW w:w="2347" w:type="dxa"/>
            <w:tcBorders>
              <w:left w:val="nil"/>
              <w:bottom w:val="single" w:sz="4" w:space="0" w:color="auto"/>
              <w:right w:val="single" w:sz="4" w:space="0" w:color="auto"/>
            </w:tcBorders>
            <w:shd w:val="clear" w:color="auto" w:fill="D9D9D9"/>
            <w:noWrap/>
            <w:vAlign w:val="center"/>
            <w:hideMark/>
          </w:tcPr>
          <w:p w:rsidR="00EF0215" w:rsidRPr="00B25EA6" w:rsidRDefault="00EF0215" w:rsidP="000A7C32">
            <w:pPr>
              <w:jc w:val="center"/>
              <w:rPr>
                <w:color w:val="000000"/>
              </w:rPr>
            </w:pPr>
          </w:p>
        </w:tc>
        <w:tc>
          <w:tcPr>
            <w:tcW w:w="1763" w:type="dxa"/>
            <w:tcBorders>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53</w:t>
            </w:r>
          </w:p>
        </w:tc>
        <w:tc>
          <w:tcPr>
            <w:tcW w:w="1985" w:type="dxa"/>
            <w:tcBorders>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40,7</w:t>
            </w:r>
          </w:p>
        </w:tc>
        <w:tc>
          <w:tcPr>
            <w:tcW w:w="2126" w:type="dxa"/>
            <w:tcBorders>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58</w:t>
            </w:r>
          </w:p>
        </w:tc>
        <w:tc>
          <w:tcPr>
            <w:tcW w:w="1843" w:type="dxa"/>
            <w:tcBorders>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63,1</w:t>
            </w:r>
          </w:p>
        </w:tc>
      </w:tr>
      <w:tr w:rsidR="00EF0215" w:rsidRPr="00B25EA6" w:rsidTr="000A7C32">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8 kl.</w:t>
            </w:r>
          </w:p>
        </w:tc>
        <w:tc>
          <w:tcPr>
            <w:tcW w:w="2347"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55,7</w:t>
            </w:r>
          </w:p>
        </w:tc>
        <w:tc>
          <w:tcPr>
            <w:tcW w:w="176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58,5</w:t>
            </w:r>
          </w:p>
        </w:tc>
        <w:tc>
          <w:tcPr>
            <w:tcW w:w="1985"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55,6</w:t>
            </w:r>
          </w:p>
        </w:tc>
        <w:tc>
          <w:tcPr>
            <w:tcW w:w="2126"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56,9</w:t>
            </w:r>
          </w:p>
        </w:tc>
        <w:tc>
          <w:tcPr>
            <w:tcW w:w="1843" w:type="dxa"/>
            <w:tcBorders>
              <w:top w:val="nil"/>
              <w:left w:val="nil"/>
              <w:bottom w:val="single" w:sz="4" w:space="0" w:color="auto"/>
              <w:right w:val="single" w:sz="4" w:space="0" w:color="auto"/>
            </w:tcBorders>
            <w:shd w:val="clear" w:color="auto" w:fill="D9D9D9"/>
            <w:noWrap/>
            <w:vAlign w:val="center"/>
            <w:hideMark/>
          </w:tcPr>
          <w:p w:rsidR="00EF0215" w:rsidRPr="00B25EA6" w:rsidRDefault="00EF0215" w:rsidP="000A7C32">
            <w:pPr>
              <w:jc w:val="center"/>
              <w:rPr>
                <w:color w:val="000000"/>
              </w:rPr>
            </w:pPr>
          </w:p>
        </w:tc>
      </w:tr>
      <w:tr w:rsidR="00EF0215" w:rsidRPr="00B25EA6" w:rsidTr="00EF0215">
        <w:trPr>
          <w:trHeight w:val="300"/>
        </w:trPr>
        <w:tc>
          <w:tcPr>
            <w:tcW w:w="2694" w:type="dxa"/>
            <w:tcBorders>
              <w:top w:val="nil"/>
              <w:left w:val="single" w:sz="4" w:space="0" w:color="auto"/>
              <w:bottom w:val="single" w:sz="4" w:space="0" w:color="auto"/>
              <w:right w:val="single" w:sz="4" w:space="0" w:color="auto"/>
            </w:tcBorders>
            <w:shd w:val="clear" w:color="auto" w:fill="DEEAF6"/>
            <w:noWrap/>
            <w:vAlign w:val="center"/>
            <w:hideMark/>
          </w:tcPr>
          <w:p w:rsidR="00EF0215" w:rsidRPr="00B25EA6" w:rsidRDefault="00EF0215" w:rsidP="000A7C32">
            <w:pPr>
              <w:rPr>
                <w:color w:val="000000"/>
              </w:rPr>
            </w:pPr>
            <w:r w:rsidRPr="00B25EA6">
              <w:rPr>
                <w:color w:val="000000"/>
              </w:rPr>
              <w:t>Rašymas</w:t>
            </w:r>
          </w:p>
        </w:tc>
        <w:tc>
          <w:tcPr>
            <w:tcW w:w="2347"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2015 m.</w:t>
            </w:r>
          </w:p>
        </w:tc>
        <w:tc>
          <w:tcPr>
            <w:tcW w:w="1763"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2016 m.</w:t>
            </w:r>
          </w:p>
        </w:tc>
        <w:tc>
          <w:tcPr>
            <w:tcW w:w="1985"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2017 m.</w:t>
            </w:r>
          </w:p>
        </w:tc>
        <w:tc>
          <w:tcPr>
            <w:tcW w:w="2126"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2018 m.</w:t>
            </w:r>
          </w:p>
        </w:tc>
        <w:tc>
          <w:tcPr>
            <w:tcW w:w="1843" w:type="dxa"/>
            <w:tcBorders>
              <w:top w:val="nil"/>
              <w:left w:val="nil"/>
              <w:bottom w:val="single" w:sz="4" w:space="0" w:color="auto"/>
              <w:right w:val="single" w:sz="4" w:space="0" w:color="auto"/>
            </w:tcBorders>
            <w:shd w:val="clear" w:color="auto" w:fill="DEEAF6"/>
            <w:noWrap/>
            <w:vAlign w:val="center"/>
            <w:hideMark/>
          </w:tcPr>
          <w:p w:rsidR="00EF0215" w:rsidRPr="00B25EA6" w:rsidRDefault="00EF0215" w:rsidP="000A7C32">
            <w:pPr>
              <w:jc w:val="center"/>
              <w:rPr>
                <w:color w:val="000000"/>
              </w:rPr>
            </w:pPr>
            <w:r w:rsidRPr="00B25EA6">
              <w:rPr>
                <w:bCs/>
                <w:color w:val="000000"/>
              </w:rPr>
              <w:t>2019 m.</w:t>
            </w:r>
          </w:p>
        </w:tc>
      </w:tr>
      <w:tr w:rsidR="00EF0215" w:rsidRPr="00B25EA6" w:rsidTr="00EF0215">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4 kl.</w:t>
            </w:r>
          </w:p>
        </w:tc>
        <w:tc>
          <w:tcPr>
            <w:tcW w:w="2347" w:type="dxa"/>
            <w:tcBorders>
              <w:top w:val="single" w:sz="4" w:space="0" w:color="auto"/>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53,7</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68,9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60,8</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68,9</w:t>
            </w:r>
          </w:p>
        </w:tc>
      </w:tr>
      <w:tr w:rsidR="00EF0215" w:rsidRPr="00B25EA6" w:rsidTr="000A7C32">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6 kl.</w:t>
            </w:r>
          </w:p>
        </w:tc>
        <w:tc>
          <w:tcPr>
            <w:tcW w:w="2347" w:type="dxa"/>
            <w:tcBorders>
              <w:top w:val="nil"/>
              <w:left w:val="nil"/>
              <w:bottom w:val="single" w:sz="4" w:space="0" w:color="auto"/>
              <w:right w:val="single" w:sz="4" w:space="0" w:color="auto"/>
            </w:tcBorders>
            <w:shd w:val="clear" w:color="auto" w:fill="D9D9D9"/>
            <w:noWrap/>
            <w:vAlign w:val="center"/>
            <w:hideMark/>
          </w:tcPr>
          <w:p w:rsidR="00EF0215" w:rsidRPr="00B25EA6" w:rsidRDefault="00EF0215" w:rsidP="000A7C32">
            <w:pPr>
              <w:jc w:val="center"/>
              <w:rPr>
                <w:color w:val="000000"/>
              </w:rPr>
            </w:pPr>
          </w:p>
        </w:tc>
        <w:tc>
          <w:tcPr>
            <w:tcW w:w="176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52,6</w:t>
            </w:r>
          </w:p>
        </w:tc>
        <w:tc>
          <w:tcPr>
            <w:tcW w:w="1985"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51,7</w:t>
            </w:r>
          </w:p>
        </w:tc>
        <w:tc>
          <w:tcPr>
            <w:tcW w:w="2126"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50,7</w:t>
            </w:r>
          </w:p>
        </w:tc>
        <w:tc>
          <w:tcPr>
            <w:tcW w:w="184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57,8</w:t>
            </w:r>
          </w:p>
        </w:tc>
      </w:tr>
      <w:tr w:rsidR="00EF0215" w:rsidRPr="00B25EA6" w:rsidTr="000A7C32">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F0215" w:rsidRPr="00B25EA6" w:rsidRDefault="00EF0215" w:rsidP="000A7C32">
            <w:pPr>
              <w:rPr>
                <w:color w:val="000000"/>
              </w:rPr>
            </w:pPr>
            <w:r w:rsidRPr="00B25EA6">
              <w:rPr>
                <w:color w:val="000000"/>
              </w:rPr>
              <w:t>8 kl.</w:t>
            </w:r>
          </w:p>
        </w:tc>
        <w:tc>
          <w:tcPr>
            <w:tcW w:w="2347"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42,2</w:t>
            </w:r>
          </w:p>
        </w:tc>
        <w:tc>
          <w:tcPr>
            <w:tcW w:w="1763"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54</w:t>
            </w:r>
          </w:p>
        </w:tc>
        <w:tc>
          <w:tcPr>
            <w:tcW w:w="1985"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59,6</w:t>
            </w:r>
          </w:p>
        </w:tc>
        <w:tc>
          <w:tcPr>
            <w:tcW w:w="2126" w:type="dxa"/>
            <w:tcBorders>
              <w:top w:val="nil"/>
              <w:left w:val="nil"/>
              <w:bottom w:val="single" w:sz="4" w:space="0" w:color="auto"/>
              <w:right w:val="single" w:sz="4" w:space="0" w:color="auto"/>
            </w:tcBorders>
            <w:shd w:val="clear" w:color="auto" w:fill="auto"/>
            <w:noWrap/>
            <w:vAlign w:val="center"/>
            <w:hideMark/>
          </w:tcPr>
          <w:p w:rsidR="00EF0215" w:rsidRPr="00B25EA6" w:rsidRDefault="00EF0215" w:rsidP="000A7C32">
            <w:pPr>
              <w:jc w:val="center"/>
              <w:rPr>
                <w:color w:val="000000"/>
              </w:rPr>
            </w:pPr>
            <w:r w:rsidRPr="00B25EA6">
              <w:rPr>
                <w:color w:val="000000"/>
              </w:rPr>
              <w:t>55,6</w:t>
            </w:r>
          </w:p>
        </w:tc>
        <w:tc>
          <w:tcPr>
            <w:tcW w:w="1843" w:type="dxa"/>
            <w:tcBorders>
              <w:top w:val="nil"/>
              <w:left w:val="nil"/>
              <w:bottom w:val="single" w:sz="4" w:space="0" w:color="auto"/>
              <w:right w:val="single" w:sz="4" w:space="0" w:color="auto"/>
            </w:tcBorders>
            <w:shd w:val="clear" w:color="auto" w:fill="D9D9D9"/>
            <w:noWrap/>
            <w:vAlign w:val="center"/>
            <w:hideMark/>
          </w:tcPr>
          <w:p w:rsidR="00EF0215" w:rsidRPr="00B25EA6" w:rsidRDefault="00EF0215" w:rsidP="000A7C32">
            <w:pPr>
              <w:jc w:val="center"/>
              <w:rPr>
                <w:color w:val="000000"/>
              </w:rPr>
            </w:pPr>
          </w:p>
        </w:tc>
      </w:tr>
    </w:tbl>
    <w:p w:rsidR="00B6740D" w:rsidRDefault="00B6740D" w:rsidP="004309F2">
      <w:pPr>
        <w:jc w:val="both"/>
        <w:rPr>
          <w:i/>
        </w:rPr>
      </w:pPr>
    </w:p>
    <w:p w:rsidR="00EF0215" w:rsidRPr="00F8228D" w:rsidRDefault="00AD1D5E" w:rsidP="00EF0215">
      <w:pPr>
        <w:ind w:firstLine="284"/>
        <w:jc w:val="both"/>
        <w:rPr>
          <w:bCs/>
        </w:rPr>
      </w:pPr>
      <w:r>
        <w:t>17</w:t>
      </w:r>
      <w:r w:rsidR="00EF0215" w:rsidRPr="00F8228D">
        <w:t xml:space="preserve"> lentelė</w:t>
      </w:r>
      <w:r w:rsidR="00F22786" w:rsidRPr="00F8228D">
        <w:t>s 1-a diagrama</w:t>
      </w:r>
      <w:r w:rsidR="00EF0215" w:rsidRPr="00F8228D">
        <w:tab/>
      </w:r>
      <w:r w:rsidR="00EF0215" w:rsidRPr="00F8228D">
        <w:rPr>
          <w:bCs/>
        </w:rPr>
        <w:tab/>
      </w:r>
      <w:r w:rsidR="00EF0215" w:rsidRPr="00F8228D">
        <w:rPr>
          <w:bCs/>
        </w:rPr>
        <w:tab/>
      </w:r>
      <w:r w:rsidR="00EF0215" w:rsidRPr="00F8228D">
        <w:rPr>
          <w:bCs/>
        </w:rPr>
        <w:tab/>
      </w:r>
      <w:r w:rsidR="00EF0215" w:rsidRPr="00F8228D">
        <w:rPr>
          <w:bCs/>
        </w:rPr>
        <w:tab/>
      </w:r>
      <w:r w:rsidR="00EF0215" w:rsidRPr="00F8228D">
        <w:rPr>
          <w:bCs/>
        </w:rPr>
        <w:tab/>
      </w:r>
      <w:r w:rsidR="00EF0215" w:rsidRPr="00F8228D">
        <w:rPr>
          <w:bCs/>
        </w:rPr>
        <w:tab/>
      </w:r>
      <w:r w:rsidR="00EF0215" w:rsidRPr="00F8228D">
        <w:rPr>
          <w:bCs/>
        </w:rPr>
        <w:tab/>
      </w:r>
      <w:r>
        <w:t xml:space="preserve">  17</w:t>
      </w:r>
      <w:r w:rsidR="00EF0215" w:rsidRPr="00F8228D">
        <w:t xml:space="preserve"> lentelė</w:t>
      </w:r>
      <w:r w:rsidR="00F22786" w:rsidRPr="00F8228D">
        <w:t>s 2-a diagrama</w:t>
      </w:r>
    </w:p>
    <w:tbl>
      <w:tblPr>
        <w:tblW w:w="13614" w:type="dxa"/>
        <w:tblInd w:w="108" w:type="dxa"/>
        <w:tblLayout w:type="fixed"/>
        <w:tblLook w:val="04A0" w:firstRow="1" w:lastRow="0" w:firstColumn="1" w:lastColumn="0" w:noHBand="0" w:noVBand="1"/>
      </w:tblPr>
      <w:tblGrid>
        <w:gridCol w:w="6379"/>
        <w:gridCol w:w="7235"/>
      </w:tblGrid>
      <w:tr w:rsidR="00EF0215" w:rsidTr="000A7C32">
        <w:tc>
          <w:tcPr>
            <w:tcW w:w="6379" w:type="dxa"/>
            <w:shd w:val="clear" w:color="auto" w:fill="auto"/>
          </w:tcPr>
          <w:p w:rsidR="00EF0215" w:rsidRPr="00F27D4E" w:rsidRDefault="00997C5F" w:rsidP="00F661C7">
            <w:pPr>
              <w:tabs>
                <w:tab w:val="left" w:pos="738"/>
              </w:tabs>
              <w:jc w:val="both"/>
              <w:rPr>
                <w:bCs/>
              </w:rPr>
            </w:pPr>
            <w:r>
              <w:rPr>
                <w:noProof/>
              </w:rPr>
              <w:drawing>
                <wp:anchor distT="11671" distB="11990" distL="125431" distR="127391" simplePos="0" relativeHeight="251657728" behindDoc="0" locked="0" layoutInCell="1" allowOverlap="1">
                  <wp:simplePos x="0" y="0"/>
                  <wp:positionH relativeFrom="column">
                    <wp:posOffset>73025</wp:posOffset>
                  </wp:positionH>
                  <wp:positionV relativeFrom="paragraph">
                    <wp:posOffset>-2750820</wp:posOffset>
                  </wp:positionV>
                  <wp:extent cx="3817620" cy="2427605"/>
                  <wp:effectExtent l="19050" t="0" r="11430" b="0"/>
                  <wp:wrapSquare wrapText="bothSides"/>
                  <wp:docPr id="14" name="Diagrama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c>
        <w:tc>
          <w:tcPr>
            <w:tcW w:w="7235" w:type="dxa"/>
            <w:shd w:val="clear" w:color="auto" w:fill="auto"/>
          </w:tcPr>
          <w:p w:rsidR="00EF0215" w:rsidRPr="00F27D4E" w:rsidRDefault="00997C5F" w:rsidP="000A7C32">
            <w:pPr>
              <w:ind w:right="181"/>
              <w:jc w:val="both"/>
              <w:rPr>
                <w:bCs/>
              </w:rPr>
            </w:pPr>
            <w:r>
              <w:rPr>
                <w:noProof/>
              </w:rPr>
              <w:drawing>
                <wp:inline distT="0" distB="0" distL="0" distR="0">
                  <wp:extent cx="3922731" cy="2721546"/>
                  <wp:effectExtent l="19050" t="0" r="20619" b="2604"/>
                  <wp:docPr id="6" name="Diagrama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EF0215" w:rsidTr="000A7C32">
        <w:tc>
          <w:tcPr>
            <w:tcW w:w="6379" w:type="dxa"/>
            <w:shd w:val="clear" w:color="auto" w:fill="auto"/>
          </w:tcPr>
          <w:p w:rsidR="007B0EDA" w:rsidRDefault="004309F2" w:rsidP="003A311C">
            <w:pPr>
              <w:jc w:val="both"/>
              <w:rPr>
                <w:i/>
              </w:rPr>
            </w:pPr>
            <w:r>
              <w:rPr>
                <w:i/>
              </w:rPr>
              <w:t xml:space="preserve">  </w:t>
            </w:r>
          </w:p>
          <w:p w:rsidR="00EF0215" w:rsidRPr="00F8228D" w:rsidRDefault="004309F2" w:rsidP="003A311C">
            <w:pPr>
              <w:jc w:val="both"/>
              <w:rPr>
                <w:bCs/>
              </w:rPr>
            </w:pPr>
            <w:r>
              <w:rPr>
                <w:i/>
              </w:rPr>
              <w:lastRenderedPageBreak/>
              <w:t xml:space="preserve"> </w:t>
            </w:r>
            <w:r w:rsidR="00AD1D5E">
              <w:t>17</w:t>
            </w:r>
            <w:r w:rsidR="00F22786" w:rsidRPr="00F8228D">
              <w:t xml:space="preserve"> lentelės 3-ia</w:t>
            </w:r>
            <w:r w:rsidR="00EF0215" w:rsidRPr="00F8228D">
              <w:t xml:space="preserve"> </w:t>
            </w:r>
            <w:r w:rsidR="00F22786" w:rsidRPr="00F8228D">
              <w:t>diagrama</w:t>
            </w:r>
          </w:p>
          <w:p w:rsidR="00EF0215" w:rsidRPr="00F27D4E" w:rsidRDefault="00997C5F" w:rsidP="000A7C32">
            <w:pPr>
              <w:ind w:firstLine="176"/>
              <w:jc w:val="both"/>
              <w:rPr>
                <w:bCs/>
              </w:rPr>
            </w:pPr>
            <w:r>
              <w:rPr>
                <w:noProof/>
              </w:rPr>
              <w:drawing>
                <wp:inline distT="0" distB="0" distL="0" distR="0">
                  <wp:extent cx="3958138" cy="2242159"/>
                  <wp:effectExtent l="19050" t="0" r="23312" b="5741"/>
                  <wp:docPr id="7" name="Diagrama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7235" w:type="dxa"/>
            <w:shd w:val="clear" w:color="auto" w:fill="auto"/>
          </w:tcPr>
          <w:p w:rsidR="00EF0215" w:rsidRPr="00F27D4E" w:rsidRDefault="00EF0215" w:rsidP="000A7C32">
            <w:pPr>
              <w:jc w:val="both"/>
              <w:rPr>
                <w:bCs/>
              </w:rPr>
            </w:pPr>
          </w:p>
        </w:tc>
      </w:tr>
    </w:tbl>
    <w:p w:rsidR="00EF0215" w:rsidRDefault="00EF0215" w:rsidP="004309F2">
      <w:pPr>
        <w:pStyle w:val="Betarp"/>
        <w:rPr>
          <w:rFonts w:ascii="Times New Roman" w:hAnsi="Times New Roman"/>
          <w:i/>
          <w:sz w:val="24"/>
          <w:szCs w:val="24"/>
        </w:rPr>
      </w:pPr>
    </w:p>
    <w:p w:rsidR="00BD3DE9" w:rsidRPr="007B0EDA" w:rsidRDefault="00EF0215" w:rsidP="007B0EDA">
      <w:pPr>
        <w:pStyle w:val="Betarp"/>
        <w:ind w:firstLine="720"/>
        <w:jc w:val="both"/>
        <w:rPr>
          <w:rFonts w:ascii="Times New Roman" w:hAnsi="Times New Roman"/>
          <w:sz w:val="24"/>
          <w:szCs w:val="24"/>
        </w:rPr>
      </w:pPr>
      <w:r w:rsidRPr="00EF0215">
        <w:rPr>
          <w:rFonts w:ascii="Times New Roman" w:hAnsi="Times New Roman"/>
          <w:sz w:val="24"/>
          <w:szCs w:val="24"/>
        </w:rPr>
        <w:t>PUPP laikymo kokybė (balų vidurkiai) nepakankama iki 2019 m. Yra tikimybė, kad tai ne atsitiktinis rezultatų pagerėjimo šuolis.</w:t>
      </w:r>
    </w:p>
    <w:p w:rsidR="00EF0215" w:rsidRPr="007B0EDA" w:rsidRDefault="007B0EDA" w:rsidP="00DB6DCD">
      <w:pPr>
        <w:pStyle w:val="Betarp"/>
        <w:ind w:left="142" w:firstLine="578"/>
        <w:rPr>
          <w:rFonts w:ascii="Times New Roman" w:eastAsia="Times New Roman" w:hAnsi="Times New Roman"/>
          <w:sz w:val="24"/>
          <w:szCs w:val="24"/>
          <w:lang w:eastAsia="lt-LT"/>
        </w:rPr>
      </w:pPr>
      <w:r w:rsidRPr="007B0EDA">
        <w:rPr>
          <w:rFonts w:ascii="Times New Roman" w:eastAsia="Times New Roman" w:hAnsi="Times New Roman"/>
          <w:sz w:val="24"/>
          <w:szCs w:val="24"/>
          <w:lang w:eastAsia="lt-LT"/>
        </w:rPr>
        <w:t>18</w:t>
      </w:r>
      <w:r w:rsidR="00EF0215" w:rsidRPr="007B0EDA">
        <w:rPr>
          <w:rFonts w:ascii="Times New Roman" w:eastAsia="Times New Roman" w:hAnsi="Times New Roman"/>
          <w:sz w:val="24"/>
          <w:szCs w:val="24"/>
          <w:lang w:eastAsia="lt-LT"/>
        </w:rPr>
        <w:t xml:space="preserve"> lentelė. </w:t>
      </w:r>
    </w:p>
    <w:tbl>
      <w:tblPr>
        <w:tblW w:w="12616" w:type="dxa"/>
        <w:tblInd w:w="250" w:type="dxa"/>
        <w:tblLook w:val="04A0" w:firstRow="1" w:lastRow="0" w:firstColumn="1" w:lastColumn="0" w:noHBand="0" w:noVBand="1"/>
      </w:tblPr>
      <w:tblGrid>
        <w:gridCol w:w="2693"/>
        <w:gridCol w:w="1985"/>
        <w:gridCol w:w="1984"/>
        <w:gridCol w:w="1701"/>
        <w:gridCol w:w="1701"/>
        <w:gridCol w:w="2552"/>
      </w:tblGrid>
      <w:tr w:rsidR="00EF0215" w:rsidRPr="00C4602D" w:rsidTr="000A7C32">
        <w:trPr>
          <w:trHeight w:val="300"/>
        </w:trPr>
        <w:tc>
          <w:tcPr>
            <w:tcW w:w="1261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0215" w:rsidRPr="00DB6DCD" w:rsidRDefault="00EF0215" w:rsidP="000A7C32">
            <w:pPr>
              <w:jc w:val="center"/>
              <w:rPr>
                <w:color w:val="000000"/>
              </w:rPr>
            </w:pPr>
            <w:r w:rsidRPr="00DB6DCD">
              <w:rPr>
                <w:color w:val="000000"/>
              </w:rPr>
              <w:t>Lietuvių kalba ir literatūra</w:t>
            </w:r>
          </w:p>
        </w:tc>
      </w:tr>
      <w:tr w:rsidR="00EF0215" w:rsidRPr="00C4602D" w:rsidTr="000A7C32">
        <w:trPr>
          <w:trHeight w:val="315"/>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EF0215" w:rsidRPr="00C4602D" w:rsidRDefault="00EF0215" w:rsidP="000A7C32">
            <w:pPr>
              <w:rPr>
                <w:color w:val="000000"/>
              </w:rPr>
            </w:pPr>
            <w:r w:rsidRPr="00C4602D">
              <w:rPr>
                <w:color w:val="000000"/>
              </w:rPr>
              <w:t> </w:t>
            </w:r>
          </w:p>
        </w:tc>
        <w:tc>
          <w:tcPr>
            <w:tcW w:w="1985" w:type="dxa"/>
            <w:tcBorders>
              <w:top w:val="nil"/>
              <w:left w:val="nil"/>
              <w:bottom w:val="single" w:sz="4" w:space="0" w:color="auto"/>
              <w:right w:val="single" w:sz="4" w:space="0" w:color="auto"/>
            </w:tcBorders>
            <w:shd w:val="clear" w:color="auto" w:fill="auto"/>
            <w:vAlign w:val="bottom"/>
            <w:hideMark/>
          </w:tcPr>
          <w:p w:rsidR="00EF0215" w:rsidRPr="00DB6DCD" w:rsidRDefault="00EF0215" w:rsidP="000A7C32">
            <w:pPr>
              <w:jc w:val="center"/>
              <w:rPr>
                <w:color w:val="000000"/>
              </w:rPr>
            </w:pPr>
            <w:r w:rsidRPr="00DB6DCD">
              <w:rPr>
                <w:bCs/>
                <w:color w:val="000000"/>
              </w:rPr>
              <w:t>2015 m.</w:t>
            </w:r>
          </w:p>
        </w:tc>
        <w:tc>
          <w:tcPr>
            <w:tcW w:w="1984" w:type="dxa"/>
            <w:tcBorders>
              <w:top w:val="nil"/>
              <w:left w:val="nil"/>
              <w:bottom w:val="single" w:sz="4" w:space="0" w:color="auto"/>
              <w:right w:val="single" w:sz="4" w:space="0" w:color="auto"/>
            </w:tcBorders>
            <w:shd w:val="clear" w:color="auto" w:fill="auto"/>
            <w:vAlign w:val="bottom"/>
            <w:hideMark/>
          </w:tcPr>
          <w:p w:rsidR="00EF0215" w:rsidRPr="00DB6DCD" w:rsidRDefault="00EF0215" w:rsidP="000A7C32">
            <w:pPr>
              <w:jc w:val="center"/>
              <w:rPr>
                <w:color w:val="000000"/>
              </w:rPr>
            </w:pPr>
            <w:r w:rsidRPr="00DB6DCD">
              <w:rPr>
                <w:bCs/>
                <w:color w:val="000000"/>
              </w:rPr>
              <w:t>2016 m.</w:t>
            </w:r>
          </w:p>
        </w:tc>
        <w:tc>
          <w:tcPr>
            <w:tcW w:w="1701" w:type="dxa"/>
            <w:tcBorders>
              <w:top w:val="nil"/>
              <w:left w:val="nil"/>
              <w:bottom w:val="single" w:sz="4" w:space="0" w:color="auto"/>
              <w:right w:val="single" w:sz="4" w:space="0" w:color="auto"/>
            </w:tcBorders>
            <w:shd w:val="clear" w:color="auto" w:fill="auto"/>
            <w:vAlign w:val="bottom"/>
            <w:hideMark/>
          </w:tcPr>
          <w:p w:rsidR="00EF0215" w:rsidRPr="00DB6DCD" w:rsidRDefault="00EF0215" w:rsidP="000A7C32">
            <w:pPr>
              <w:jc w:val="center"/>
              <w:rPr>
                <w:color w:val="000000"/>
              </w:rPr>
            </w:pPr>
            <w:r w:rsidRPr="00DB6DCD">
              <w:rPr>
                <w:bCs/>
                <w:color w:val="000000"/>
              </w:rPr>
              <w:t>2017 m.</w:t>
            </w:r>
          </w:p>
        </w:tc>
        <w:tc>
          <w:tcPr>
            <w:tcW w:w="1701" w:type="dxa"/>
            <w:tcBorders>
              <w:top w:val="nil"/>
              <w:left w:val="nil"/>
              <w:bottom w:val="single" w:sz="4" w:space="0" w:color="auto"/>
              <w:right w:val="single" w:sz="4" w:space="0" w:color="auto"/>
            </w:tcBorders>
            <w:shd w:val="clear" w:color="auto" w:fill="auto"/>
            <w:vAlign w:val="bottom"/>
            <w:hideMark/>
          </w:tcPr>
          <w:p w:rsidR="00EF0215" w:rsidRPr="00DB6DCD" w:rsidRDefault="00EF0215" w:rsidP="000A7C32">
            <w:pPr>
              <w:jc w:val="center"/>
              <w:rPr>
                <w:color w:val="000000"/>
              </w:rPr>
            </w:pPr>
            <w:r w:rsidRPr="00DB6DCD">
              <w:rPr>
                <w:bCs/>
                <w:color w:val="000000"/>
              </w:rPr>
              <w:t>2018 m.</w:t>
            </w:r>
          </w:p>
        </w:tc>
        <w:tc>
          <w:tcPr>
            <w:tcW w:w="2552" w:type="dxa"/>
            <w:tcBorders>
              <w:top w:val="nil"/>
              <w:left w:val="nil"/>
              <w:bottom w:val="single" w:sz="4" w:space="0" w:color="auto"/>
              <w:right w:val="single" w:sz="4" w:space="0" w:color="auto"/>
            </w:tcBorders>
            <w:shd w:val="clear" w:color="auto" w:fill="auto"/>
            <w:vAlign w:val="bottom"/>
            <w:hideMark/>
          </w:tcPr>
          <w:p w:rsidR="00EF0215" w:rsidRPr="00DB6DCD" w:rsidRDefault="00EF0215" w:rsidP="000A7C32">
            <w:pPr>
              <w:jc w:val="center"/>
              <w:rPr>
                <w:color w:val="000000"/>
              </w:rPr>
            </w:pPr>
            <w:r w:rsidRPr="00DB6DCD">
              <w:rPr>
                <w:bCs/>
                <w:color w:val="000000"/>
              </w:rPr>
              <w:t>2019 m.</w:t>
            </w:r>
          </w:p>
        </w:tc>
      </w:tr>
      <w:tr w:rsidR="00EF0215" w:rsidRPr="00C4602D" w:rsidTr="000A7C3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EF0215" w:rsidRPr="00C4602D" w:rsidRDefault="00EF0215" w:rsidP="000A7C32">
            <w:pPr>
              <w:rPr>
                <w:color w:val="000000"/>
              </w:rPr>
            </w:pPr>
            <w:r w:rsidRPr="00C4602D">
              <w:rPr>
                <w:color w:val="000000"/>
              </w:rPr>
              <w:t>Panevėžio r.</w:t>
            </w:r>
          </w:p>
        </w:tc>
        <w:tc>
          <w:tcPr>
            <w:tcW w:w="1985"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5,6</w:t>
            </w:r>
          </w:p>
        </w:tc>
        <w:tc>
          <w:tcPr>
            <w:tcW w:w="1984"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w:t>
            </w:r>
          </w:p>
        </w:tc>
        <w:tc>
          <w:tcPr>
            <w:tcW w:w="1701"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w:t>
            </w:r>
          </w:p>
        </w:tc>
        <w:tc>
          <w:tcPr>
            <w:tcW w:w="1701"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5,6</w:t>
            </w:r>
          </w:p>
        </w:tc>
        <w:tc>
          <w:tcPr>
            <w:tcW w:w="2552"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6,2</w:t>
            </w:r>
          </w:p>
        </w:tc>
      </w:tr>
      <w:tr w:rsidR="00EF0215" w:rsidRPr="00C4602D" w:rsidTr="000A7C3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EF0215" w:rsidRPr="00C4602D" w:rsidRDefault="00EF0215" w:rsidP="000A7C32">
            <w:pPr>
              <w:rPr>
                <w:color w:val="000000"/>
              </w:rPr>
            </w:pPr>
            <w:r w:rsidRPr="00C4602D">
              <w:rPr>
                <w:color w:val="000000"/>
              </w:rPr>
              <w:t>Lietuva</w:t>
            </w:r>
          </w:p>
        </w:tc>
        <w:tc>
          <w:tcPr>
            <w:tcW w:w="1985"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6,3</w:t>
            </w:r>
          </w:p>
        </w:tc>
        <w:tc>
          <w:tcPr>
            <w:tcW w:w="1984"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6,5</w:t>
            </w:r>
          </w:p>
        </w:tc>
        <w:tc>
          <w:tcPr>
            <w:tcW w:w="1701"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6,5</w:t>
            </w:r>
          </w:p>
        </w:tc>
        <w:tc>
          <w:tcPr>
            <w:tcW w:w="1701"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6,3</w:t>
            </w:r>
          </w:p>
        </w:tc>
        <w:tc>
          <w:tcPr>
            <w:tcW w:w="2552" w:type="dxa"/>
            <w:tcBorders>
              <w:top w:val="nil"/>
              <w:left w:val="nil"/>
              <w:bottom w:val="single" w:sz="4" w:space="0" w:color="auto"/>
              <w:right w:val="single" w:sz="4" w:space="0" w:color="auto"/>
            </w:tcBorders>
            <w:shd w:val="clear" w:color="auto" w:fill="auto"/>
            <w:noWrap/>
            <w:vAlign w:val="bottom"/>
            <w:hideMark/>
          </w:tcPr>
          <w:p w:rsidR="00EF0215" w:rsidRPr="00C4602D" w:rsidRDefault="00EF0215" w:rsidP="000A7C32">
            <w:pPr>
              <w:jc w:val="center"/>
              <w:rPr>
                <w:color w:val="000000"/>
              </w:rPr>
            </w:pPr>
            <w:r w:rsidRPr="00C4602D">
              <w:rPr>
                <w:color w:val="000000"/>
              </w:rPr>
              <w:t>6,3</w:t>
            </w:r>
          </w:p>
        </w:tc>
      </w:tr>
      <w:tr w:rsidR="00EF0215" w:rsidRPr="00C4602D" w:rsidTr="000A7C32">
        <w:trPr>
          <w:trHeight w:val="300"/>
        </w:trPr>
        <w:tc>
          <w:tcPr>
            <w:tcW w:w="2693" w:type="dxa"/>
            <w:tcBorders>
              <w:top w:val="nil"/>
              <w:left w:val="nil"/>
              <w:bottom w:val="nil"/>
              <w:right w:val="nil"/>
            </w:tcBorders>
            <w:shd w:val="clear" w:color="auto" w:fill="auto"/>
            <w:noWrap/>
            <w:vAlign w:val="bottom"/>
            <w:hideMark/>
          </w:tcPr>
          <w:p w:rsidR="007B51C9" w:rsidRDefault="007B51C9" w:rsidP="000A7C32">
            <w:pPr>
              <w:rPr>
                <w:color w:val="000000"/>
              </w:rPr>
            </w:pPr>
          </w:p>
          <w:p w:rsidR="00EF0215" w:rsidRPr="007B0EDA" w:rsidRDefault="00286457" w:rsidP="000A7C32">
            <w:r>
              <w:t xml:space="preserve">       </w:t>
            </w:r>
            <w:r w:rsidR="007B0EDA" w:rsidRPr="007B0EDA">
              <w:t>18</w:t>
            </w:r>
            <w:r w:rsidR="004309F2" w:rsidRPr="007B0EDA">
              <w:t xml:space="preserve"> </w:t>
            </w:r>
            <w:r w:rsidR="00EF0215" w:rsidRPr="007B0EDA">
              <w:t>lentelė</w:t>
            </w:r>
            <w:r w:rsidR="00F40763" w:rsidRPr="007B0EDA">
              <w:t>s diagrama</w:t>
            </w:r>
          </w:p>
        </w:tc>
        <w:tc>
          <w:tcPr>
            <w:tcW w:w="1985" w:type="dxa"/>
            <w:tcBorders>
              <w:top w:val="nil"/>
              <w:left w:val="nil"/>
              <w:bottom w:val="nil"/>
              <w:right w:val="nil"/>
            </w:tcBorders>
            <w:shd w:val="clear" w:color="auto" w:fill="auto"/>
            <w:noWrap/>
            <w:vAlign w:val="bottom"/>
            <w:hideMark/>
          </w:tcPr>
          <w:p w:rsidR="00EF0215" w:rsidRPr="00C4602D" w:rsidRDefault="00EF0215" w:rsidP="000A7C32"/>
        </w:tc>
        <w:tc>
          <w:tcPr>
            <w:tcW w:w="1984" w:type="dxa"/>
            <w:tcBorders>
              <w:top w:val="nil"/>
              <w:left w:val="nil"/>
              <w:bottom w:val="nil"/>
              <w:right w:val="nil"/>
            </w:tcBorders>
            <w:shd w:val="clear" w:color="auto" w:fill="auto"/>
            <w:noWrap/>
            <w:vAlign w:val="bottom"/>
            <w:hideMark/>
          </w:tcPr>
          <w:p w:rsidR="00EF0215" w:rsidRPr="00C4602D" w:rsidRDefault="00EF0215" w:rsidP="000A7C32"/>
        </w:tc>
        <w:tc>
          <w:tcPr>
            <w:tcW w:w="1701" w:type="dxa"/>
            <w:tcBorders>
              <w:top w:val="nil"/>
              <w:left w:val="nil"/>
              <w:bottom w:val="nil"/>
              <w:right w:val="nil"/>
            </w:tcBorders>
            <w:shd w:val="clear" w:color="auto" w:fill="auto"/>
            <w:noWrap/>
            <w:vAlign w:val="bottom"/>
            <w:hideMark/>
          </w:tcPr>
          <w:p w:rsidR="00EF0215" w:rsidRPr="00C4602D" w:rsidRDefault="00EF0215" w:rsidP="000A7C32"/>
        </w:tc>
        <w:tc>
          <w:tcPr>
            <w:tcW w:w="1701" w:type="dxa"/>
            <w:tcBorders>
              <w:top w:val="nil"/>
              <w:left w:val="nil"/>
              <w:bottom w:val="nil"/>
              <w:right w:val="nil"/>
            </w:tcBorders>
            <w:shd w:val="clear" w:color="auto" w:fill="auto"/>
            <w:noWrap/>
            <w:vAlign w:val="bottom"/>
            <w:hideMark/>
          </w:tcPr>
          <w:p w:rsidR="00EF0215" w:rsidRPr="00C4602D" w:rsidRDefault="00EF0215" w:rsidP="000A7C32"/>
        </w:tc>
        <w:tc>
          <w:tcPr>
            <w:tcW w:w="2552" w:type="dxa"/>
            <w:tcBorders>
              <w:top w:val="nil"/>
              <w:left w:val="nil"/>
              <w:bottom w:val="nil"/>
              <w:right w:val="nil"/>
            </w:tcBorders>
            <w:shd w:val="clear" w:color="auto" w:fill="auto"/>
            <w:noWrap/>
            <w:vAlign w:val="bottom"/>
            <w:hideMark/>
          </w:tcPr>
          <w:p w:rsidR="00EF0215" w:rsidRPr="00C4602D" w:rsidRDefault="00EF0215" w:rsidP="000A7C32"/>
        </w:tc>
      </w:tr>
    </w:tbl>
    <w:p w:rsidR="00EF0215" w:rsidRDefault="00997C5F" w:rsidP="00F661C7">
      <w:pPr>
        <w:ind w:firstLine="142"/>
      </w:pPr>
      <w:r>
        <w:rPr>
          <w:noProof/>
        </w:rPr>
        <w:drawing>
          <wp:inline distT="0" distB="0" distL="0" distR="0">
            <wp:extent cx="8006785" cy="2041743"/>
            <wp:effectExtent l="19050" t="0" r="13265" b="0"/>
            <wp:docPr id="8" name="Diagrama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12758" w:type="dxa"/>
        <w:tblInd w:w="250" w:type="dxa"/>
        <w:tblLook w:val="04A0" w:firstRow="1" w:lastRow="0" w:firstColumn="1" w:lastColumn="0" w:noHBand="0" w:noVBand="1"/>
      </w:tblPr>
      <w:tblGrid>
        <w:gridCol w:w="4542"/>
        <w:gridCol w:w="1134"/>
        <w:gridCol w:w="1134"/>
        <w:gridCol w:w="1134"/>
        <w:gridCol w:w="1276"/>
        <w:gridCol w:w="3538"/>
      </w:tblGrid>
      <w:tr w:rsidR="00EF0215" w:rsidTr="000A7C32">
        <w:trPr>
          <w:gridAfter w:val="5"/>
          <w:wAfter w:w="8216" w:type="dxa"/>
          <w:trHeight w:val="300"/>
        </w:trPr>
        <w:tc>
          <w:tcPr>
            <w:tcW w:w="4542" w:type="dxa"/>
            <w:tcBorders>
              <w:top w:val="nil"/>
              <w:left w:val="nil"/>
              <w:bottom w:val="nil"/>
              <w:right w:val="nil"/>
            </w:tcBorders>
            <w:shd w:val="clear" w:color="auto" w:fill="auto"/>
            <w:noWrap/>
            <w:vAlign w:val="bottom"/>
            <w:hideMark/>
          </w:tcPr>
          <w:p w:rsidR="00EF0215" w:rsidRPr="00850CED" w:rsidRDefault="00F661C7" w:rsidP="004309F2">
            <w:pPr>
              <w:ind w:right="-8613" w:hanging="70"/>
              <w:rPr>
                <w:color w:val="000000"/>
              </w:rPr>
            </w:pPr>
            <w:r>
              <w:lastRenderedPageBreak/>
              <w:t xml:space="preserve">      </w:t>
            </w:r>
            <w:r w:rsidR="007B0EDA">
              <w:t>19</w:t>
            </w:r>
            <w:r w:rsidR="004309F2" w:rsidRPr="00DB6DCD">
              <w:t xml:space="preserve"> </w:t>
            </w:r>
            <w:r w:rsidR="00EF0215" w:rsidRPr="00DB6DCD">
              <w:t>lentelė. Matematika</w:t>
            </w:r>
          </w:p>
        </w:tc>
      </w:tr>
      <w:tr w:rsidR="00EF0215" w:rsidRPr="006F1E74" w:rsidTr="000A7C32">
        <w:trPr>
          <w:trHeight w:val="315"/>
        </w:trPr>
        <w:tc>
          <w:tcPr>
            <w:tcW w:w="4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215" w:rsidRPr="006F1E74" w:rsidRDefault="00EF0215" w:rsidP="000A7C32">
            <w:pPr>
              <w:rPr>
                <w:color w:val="000000"/>
              </w:rPr>
            </w:pPr>
            <w:r w:rsidRPr="006F1E74">
              <w:rPr>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0215" w:rsidRPr="00DB6DCD" w:rsidRDefault="00EF0215" w:rsidP="000A7C32">
            <w:pPr>
              <w:jc w:val="center"/>
              <w:rPr>
                <w:color w:val="000000"/>
              </w:rPr>
            </w:pPr>
            <w:r w:rsidRPr="00DB6DCD">
              <w:rPr>
                <w:bCs/>
                <w:color w:val="000000"/>
              </w:rPr>
              <w:t>2015 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0215" w:rsidRPr="00DB6DCD" w:rsidRDefault="00EF0215" w:rsidP="000A7C32">
            <w:pPr>
              <w:jc w:val="center"/>
              <w:rPr>
                <w:color w:val="000000"/>
              </w:rPr>
            </w:pPr>
            <w:r w:rsidRPr="00DB6DCD">
              <w:rPr>
                <w:bCs/>
                <w:color w:val="000000"/>
              </w:rPr>
              <w:t>2016 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0215" w:rsidRPr="00DB6DCD" w:rsidRDefault="00EF0215" w:rsidP="000A7C32">
            <w:pPr>
              <w:jc w:val="center"/>
              <w:rPr>
                <w:color w:val="000000"/>
              </w:rPr>
            </w:pPr>
            <w:r w:rsidRPr="00DB6DCD">
              <w:rPr>
                <w:bCs/>
                <w:color w:val="000000"/>
              </w:rPr>
              <w:t>2017 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0215" w:rsidRPr="00DB6DCD" w:rsidRDefault="00EF0215" w:rsidP="000A7C32">
            <w:pPr>
              <w:jc w:val="center"/>
              <w:rPr>
                <w:color w:val="000000"/>
              </w:rPr>
            </w:pPr>
            <w:r w:rsidRPr="00DB6DCD">
              <w:rPr>
                <w:bCs/>
                <w:color w:val="000000"/>
              </w:rPr>
              <w:t>2018 m.</w:t>
            </w:r>
          </w:p>
        </w:tc>
        <w:tc>
          <w:tcPr>
            <w:tcW w:w="3538" w:type="dxa"/>
            <w:tcBorders>
              <w:top w:val="single" w:sz="4" w:space="0" w:color="auto"/>
              <w:left w:val="nil"/>
              <w:bottom w:val="single" w:sz="4" w:space="0" w:color="auto"/>
              <w:right w:val="single" w:sz="4" w:space="0" w:color="auto"/>
            </w:tcBorders>
            <w:shd w:val="clear" w:color="auto" w:fill="auto"/>
            <w:vAlign w:val="center"/>
            <w:hideMark/>
          </w:tcPr>
          <w:p w:rsidR="00EF0215" w:rsidRPr="00DB6DCD" w:rsidRDefault="00EF0215" w:rsidP="000A7C32">
            <w:pPr>
              <w:jc w:val="center"/>
              <w:rPr>
                <w:color w:val="000000"/>
              </w:rPr>
            </w:pPr>
            <w:r w:rsidRPr="00DB6DCD">
              <w:rPr>
                <w:bCs/>
                <w:color w:val="000000"/>
              </w:rPr>
              <w:t>2019 m.</w:t>
            </w:r>
          </w:p>
        </w:tc>
      </w:tr>
      <w:tr w:rsidR="00EF0215" w:rsidRPr="006F1E74" w:rsidTr="000A7C32">
        <w:trPr>
          <w:trHeight w:val="300"/>
        </w:trPr>
        <w:tc>
          <w:tcPr>
            <w:tcW w:w="4542" w:type="dxa"/>
            <w:tcBorders>
              <w:top w:val="nil"/>
              <w:left w:val="single" w:sz="4" w:space="0" w:color="auto"/>
              <w:bottom w:val="single" w:sz="4" w:space="0" w:color="auto"/>
              <w:right w:val="single" w:sz="4" w:space="0" w:color="auto"/>
            </w:tcBorders>
            <w:shd w:val="clear" w:color="auto" w:fill="auto"/>
            <w:noWrap/>
            <w:vAlign w:val="bottom"/>
            <w:hideMark/>
          </w:tcPr>
          <w:p w:rsidR="00EF0215" w:rsidRPr="006F1E74" w:rsidRDefault="00EF0215" w:rsidP="000A7C32">
            <w:pPr>
              <w:rPr>
                <w:color w:val="000000"/>
              </w:rPr>
            </w:pPr>
            <w:r w:rsidRPr="006F1E74">
              <w:rPr>
                <w:color w:val="000000"/>
              </w:rPr>
              <w:t>Panevėžio r.</w:t>
            </w:r>
          </w:p>
        </w:tc>
        <w:tc>
          <w:tcPr>
            <w:tcW w:w="1134"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4,4</w:t>
            </w:r>
          </w:p>
        </w:tc>
        <w:tc>
          <w:tcPr>
            <w:tcW w:w="1134"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5</w:t>
            </w:r>
          </w:p>
        </w:tc>
        <w:tc>
          <w:tcPr>
            <w:tcW w:w="1134"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5</w:t>
            </w:r>
          </w:p>
        </w:tc>
        <w:tc>
          <w:tcPr>
            <w:tcW w:w="1276"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4,1</w:t>
            </w:r>
          </w:p>
        </w:tc>
        <w:tc>
          <w:tcPr>
            <w:tcW w:w="3538"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5,2</w:t>
            </w:r>
          </w:p>
        </w:tc>
      </w:tr>
      <w:tr w:rsidR="00EF0215" w:rsidRPr="006F1E74" w:rsidTr="000A7C32">
        <w:trPr>
          <w:trHeight w:val="300"/>
        </w:trPr>
        <w:tc>
          <w:tcPr>
            <w:tcW w:w="4542" w:type="dxa"/>
            <w:tcBorders>
              <w:top w:val="nil"/>
              <w:left w:val="single" w:sz="4" w:space="0" w:color="auto"/>
              <w:bottom w:val="single" w:sz="4" w:space="0" w:color="auto"/>
              <w:right w:val="single" w:sz="4" w:space="0" w:color="auto"/>
            </w:tcBorders>
            <w:shd w:val="clear" w:color="auto" w:fill="auto"/>
            <w:noWrap/>
            <w:vAlign w:val="bottom"/>
            <w:hideMark/>
          </w:tcPr>
          <w:p w:rsidR="00EF0215" w:rsidRPr="006F1E74" w:rsidRDefault="00EF0215" w:rsidP="000A7C32">
            <w:pPr>
              <w:rPr>
                <w:color w:val="000000"/>
              </w:rPr>
            </w:pPr>
            <w:r w:rsidRPr="006F1E74">
              <w:rPr>
                <w:color w:val="000000"/>
              </w:rPr>
              <w:t>Lietuva</w:t>
            </w:r>
          </w:p>
        </w:tc>
        <w:tc>
          <w:tcPr>
            <w:tcW w:w="1134"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5,6</w:t>
            </w:r>
          </w:p>
        </w:tc>
        <w:tc>
          <w:tcPr>
            <w:tcW w:w="1134"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5,8</w:t>
            </w:r>
          </w:p>
        </w:tc>
        <w:tc>
          <w:tcPr>
            <w:tcW w:w="1134"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5,8</w:t>
            </w:r>
          </w:p>
        </w:tc>
        <w:tc>
          <w:tcPr>
            <w:tcW w:w="1276"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4,7</w:t>
            </w:r>
          </w:p>
        </w:tc>
        <w:tc>
          <w:tcPr>
            <w:tcW w:w="3538" w:type="dxa"/>
            <w:tcBorders>
              <w:top w:val="nil"/>
              <w:left w:val="nil"/>
              <w:bottom w:val="single" w:sz="4" w:space="0" w:color="auto"/>
              <w:right w:val="single" w:sz="4" w:space="0" w:color="auto"/>
            </w:tcBorders>
            <w:shd w:val="clear" w:color="auto" w:fill="auto"/>
            <w:noWrap/>
            <w:vAlign w:val="bottom"/>
            <w:hideMark/>
          </w:tcPr>
          <w:p w:rsidR="00EF0215" w:rsidRPr="006F1E74" w:rsidRDefault="00EF0215" w:rsidP="000A7C32">
            <w:pPr>
              <w:jc w:val="center"/>
              <w:rPr>
                <w:color w:val="000000"/>
              </w:rPr>
            </w:pPr>
            <w:r w:rsidRPr="006F1E74">
              <w:rPr>
                <w:color w:val="000000"/>
              </w:rPr>
              <w:t>5,3</w:t>
            </w:r>
          </w:p>
        </w:tc>
      </w:tr>
    </w:tbl>
    <w:p w:rsidR="003A311C" w:rsidRDefault="003A311C" w:rsidP="00EF0215">
      <w:pPr>
        <w:pStyle w:val="Betarp"/>
        <w:rPr>
          <w:rFonts w:ascii="Times New Roman" w:eastAsia="Times New Roman" w:hAnsi="Times New Roman"/>
          <w:color w:val="000000"/>
          <w:sz w:val="24"/>
          <w:szCs w:val="24"/>
          <w:lang w:eastAsia="lt-LT"/>
        </w:rPr>
      </w:pPr>
    </w:p>
    <w:p w:rsidR="006E3C41" w:rsidRDefault="003A311C" w:rsidP="003A311C">
      <w:pPr>
        <w:pStyle w:val="Betarp"/>
        <w:ind w:firstLine="9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p>
    <w:p w:rsidR="00EF0215" w:rsidRPr="007B0EDA" w:rsidRDefault="007B0EDA" w:rsidP="00DB6DCD">
      <w:pPr>
        <w:pStyle w:val="Betarp"/>
        <w:ind w:firstLine="720"/>
        <w:rPr>
          <w:rFonts w:ascii="Times New Roman" w:eastAsia="Times New Roman" w:hAnsi="Times New Roman"/>
          <w:sz w:val="24"/>
          <w:szCs w:val="24"/>
          <w:lang w:eastAsia="lt-LT"/>
        </w:rPr>
      </w:pPr>
      <w:r w:rsidRPr="007B0EDA">
        <w:rPr>
          <w:rFonts w:ascii="Times New Roman" w:hAnsi="Times New Roman"/>
          <w:sz w:val="24"/>
          <w:szCs w:val="24"/>
        </w:rPr>
        <w:t>1</w:t>
      </w:r>
      <w:r w:rsidR="004309F2" w:rsidRPr="007B0EDA">
        <w:rPr>
          <w:rFonts w:ascii="Times New Roman" w:hAnsi="Times New Roman"/>
          <w:sz w:val="24"/>
          <w:szCs w:val="24"/>
        </w:rPr>
        <w:t>9</w:t>
      </w:r>
      <w:r w:rsidR="00F8228D" w:rsidRPr="007B0EDA">
        <w:rPr>
          <w:rFonts w:ascii="Times New Roman" w:eastAsia="Times New Roman" w:hAnsi="Times New Roman"/>
          <w:sz w:val="24"/>
          <w:szCs w:val="24"/>
          <w:lang w:eastAsia="lt-LT"/>
        </w:rPr>
        <w:t xml:space="preserve"> lentelės diagrama</w:t>
      </w:r>
    </w:p>
    <w:p w:rsidR="00EF0215" w:rsidRPr="00850CED" w:rsidRDefault="00997C5F" w:rsidP="003A311C">
      <w:pPr>
        <w:spacing w:line="360" w:lineRule="auto"/>
        <w:ind w:firstLine="180"/>
        <w:jc w:val="both"/>
        <w:rPr>
          <w:color w:val="FF0000"/>
        </w:rPr>
      </w:pPr>
      <w:r>
        <w:rPr>
          <w:noProof/>
          <w:color w:val="FF0000"/>
        </w:rPr>
        <w:drawing>
          <wp:inline distT="0" distB="0" distL="0" distR="0">
            <wp:extent cx="7975600" cy="3132455"/>
            <wp:effectExtent l="0" t="0" r="6350" b="10795"/>
            <wp:docPr id="9"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F0215" w:rsidRDefault="00EF0215" w:rsidP="00DB6DCD">
      <w:pPr>
        <w:pStyle w:val="Betarp"/>
        <w:ind w:firstLine="720"/>
        <w:jc w:val="both"/>
      </w:pPr>
      <w:r w:rsidRPr="00DB6DCD">
        <w:rPr>
          <w:rFonts w:ascii="Times New Roman" w:hAnsi="Times New Roman"/>
          <w:sz w:val="24"/>
          <w:szCs w:val="24"/>
        </w:rPr>
        <w:t xml:space="preserve">Savivaldybės abiturientų Valstybinių brandos egzaminų (VBE) rezultatai pastaraisiais metais artimi šalies apibendrintiems VBE rodikliams. Tačiau aukščiausių įvertinimų – 100 skaičius kinta. Padidėjusi mokinių, laikiusių VBE dalis, o įvertinimų </w:t>
      </w:r>
      <w:r w:rsidR="002B1682">
        <w:rPr>
          <w:rFonts w:ascii="Times New Roman" w:hAnsi="Times New Roman"/>
          <w:sz w:val="24"/>
          <w:szCs w:val="24"/>
        </w:rPr>
        <w:br/>
      </w:r>
      <w:r w:rsidRPr="00DB6DCD">
        <w:rPr>
          <w:rFonts w:ascii="Times New Roman" w:hAnsi="Times New Roman"/>
          <w:sz w:val="24"/>
          <w:szCs w:val="24"/>
        </w:rPr>
        <w:t>86–100 dalies sumažėjimas rodo, kad pažanga priklauso nuo tikslingo VBE pasirinkimo. Abiturientams renkantis brandos egzaminus didelis vaidmuo tenka ne tik tėvams</w:t>
      </w:r>
      <w:r w:rsidR="00EF23A8">
        <w:rPr>
          <w:rFonts w:ascii="Times New Roman" w:hAnsi="Times New Roman"/>
          <w:sz w:val="24"/>
          <w:szCs w:val="24"/>
        </w:rPr>
        <w:t xml:space="preserve"> (rūpintojams)</w:t>
      </w:r>
      <w:r w:rsidRPr="00DB6DCD">
        <w:rPr>
          <w:rFonts w:ascii="Times New Roman" w:hAnsi="Times New Roman"/>
          <w:sz w:val="24"/>
          <w:szCs w:val="24"/>
        </w:rPr>
        <w:t>, bet ir visai gimnazijų bendruomenei.</w:t>
      </w:r>
    </w:p>
    <w:p w:rsidR="00BD3DE9" w:rsidRPr="002B1682" w:rsidRDefault="00BD3DE9" w:rsidP="00DB6DCD">
      <w:pPr>
        <w:pStyle w:val="Betarp"/>
        <w:ind w:firstLine="720"/>
        <w:jc w:val="both"/>
        <w:rPr>
          <w:rFonts w:ascii="Times New Roman" w:hAnsi="Times New Roman"/>
          <w:sz w:val="24"/>
          <w:szCs w:val="24"/>
        </w:rPr>
      </w:pPr>
    </w:p>
    <w:p w:rsidR="00EF0215" w:rsidRPr="00F8228D" w:rsidRDefault="007B0EDA" w:rsidP="00DB6DCD">
      <w:pPr>
        <w:pStyle w:val="Betarp"/>
        <w:ind w:firstLine="720"/>
        <w:jc w:val="both"/>
        <w:rPr>
          <w:rFonts w:ascii="Times New Roman" w:hAnsi="Times New Roman"/>
          <w:sz w:val="24"/>
          <w:szCs w:val="24"/>
        </w:rPr>
      </w:pPr>
      <w:r>
        <w:rPr>
          <w:rFonts w:ascii="Times New Roman" w:eastAsia="Times New Roman" w:hAnsi="Times New Roman"/>
          <w:sz w:val="24"/>
          <w:szCs w:val="24"/>
          <w:lang w:eastAsia="lt-LT"/>
        </w:rPr>
        <w:t>2</w:t>
      </w:r>
      <w:r w:rsidR="004309F2" w:rsidRPr="00F8228D">
        <w:rPr>
          <w:rFonts w:ascii="Times New Roman" w:eastAsia="Times New Roman" w:hAnsi="Times New Roman"/>
          <w:sz w:val="24"/>
          <w:szCs w:val="24"/>
          <w:lang w:eastAsia="lt-LT"/>
        </w:rPr>
        <w:t>0</w:t>
      </w:r>
      <w:r w:rsidR="00EF0215" w:rsidRPr="00F8228D">
        <w:rPr>
          <w:rFonts w:ascii="Times New Roman" w:eastAsia="Times New Roman" w:hAnsi="Times New Roman"/>
          <w:sz w:val="24"/>
          <w:szCs w:val="24"/>
          <w:lang w:eastAsia="lt-LT"/>
        </w:rPr>
        <w:t xml:space="preserve"> lentelė. </w:t>
      </w:r>
      <w:r w:rsidR="00F40763" w:rsidRPr="00F8228D">
        <w:rPr>
          <w:rFonts w:ascii="Times New Roman" w:eastAsia="Times New Roman" w:hAnsi="Times New Roman"/>
          <w:sz w:val="24"/>
          <w:szCs w:val="24"/>
          <w:lang w:eastAsia="lt-LT"/>
        </w:rPr>
        <w:t>VBE į</w:t>
      </w:r>
      <w:r w:rsidR="00EF0215" w:rsidRPr="00F8228D">
        <w:rPr>
          <w:rFonts w:ascii="Times New Roman" w:eastAsia="Times New Roman" w:hAnsi="Times New Roman"/>
          <w:sz w:val="24"/>
          <w:szCs w:val="24"/>
          <w:lang w:eastAsia="lt-LT"/>
        </w:rPr>
        <w:t>vertinimų vidurki</w:t>
      </w:r>
      <w:r w:rsidR="00F40763" w:rsidRPr="00F8228D">
        <w:rPr>
          <w:rFonts w:ascii="Times New Roman" w:eastAsia="Times New Roman" w:hAnsi="Times New Roman"/>
          <w:sz w:val="24"/>
          <w:szCs w:val="24"/>
          <w:lang w:eastAsia="lt-LT"/>
        </w:rPr>
        <w:t>s</w:t>
      </w:r>
    </w:p>
    <w:tbl>
      <w:tblPr>
        <w:tblW w:w="12616" w:type="dxa"/>
        <w:tblInd w:w="250" w:type="dxa"/>
        <w:tblLayout w:type="fixed"/>
        <w:tblLook w:val="04A0" w:firstRow="1" w:lastRow="0" w:firstColumn="1" w:lastColumn="0" w:noHBand="0" w:noVBand="1"/>
      </w:tblPr>
      <w:tblGrid>
        <w:gridCol w:w="5245"/>
        <w:gridCol w:w="1843"/>
        <w:gridCol w:w="1701"/>
        <w:gridCol w:w="1701"/>
        <w:gridCol w:w="2126"/>
      </w:tblGrid>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tc>
        <w:tc>
          <w:tcPr>
            <w:tcW w:w="1843" w:type="dxa"/>
            <w:tcBorders>
              <w:top w:val="single" w:sz="4" w:space="0" w:color="auto"/>
              <w:left w:val="nil"/>
              <w:bottom w:val="single" w:sz="4" w:space="0" w:color="auto"/>
              <w:right w:val="single" w:sz="4" w:space="0" w:color="auto"/>
            </w:tcBorders>
            <w:shd w:val="clear" w:color="auto" w:fill="auto"/>
            <w:noWrap/>
            <w:vAlign w:val="center"/>
          </w:tcPr>
          <w:p w:rsidR="00EF0215" w:rsidRPr="002B1682" w:rsidRDefault="00EF0215" w:rsidP="000A7C32">
            <w:pPr>
              <w:jc w:val="center"/>
            </w:pPr>
            <w:r w:rsidRPr="002B1682">
              <w:t>2017 m.</w:t>
            </w:r>
          </w:p>
        </w:tc>
        <w:tc>
          <w:tcPr>
            <w:tcW w:w="1701" w:type="dxa"/>
            <w:tcBorders>
              <w:top w:val="single" w:sz="4" w:space="0" w:color="auto"/>
              <w:left w:val="nil"/>
              <w:bottom w:val="single" w:sz="4" w:space="0" w:color="auto"/>
              <w:right w:val="single" w:sz="4" w:space="0" w:color="auto"/>
            </w:tcBorders>
            <w:shd w:val="clear" w:color="auto" w:fill="auto"/>
            <w:vAlign w:val="center"/>
          </w:tcPr>
          <w:p w:rsidR="00EF0215" w:rsidRPr="002B1682" w:rsidRDefault="00EF0215" w:rsidP="000A7C32">
            <w:pPr>
              <w:jc w:val="center"/>
            </w:pPr>
            <w:r w:rsidRPr="002B1682">
              <w:t>2018 m.</w:t>
            </w:r>
          </w:p>
        </w:tc>
        <w:tc>
          <w:tcPr>
            <w:tcW w:w="1701" w:type="dxa"/>
            <w:tcBorders>
              <w:top w:val="single" w:sz="4" w:space="0" w:color="auto"/>
              <w:left w:val="nil"/>
              <w:bottom w:val="single" w:sz="4" w:space="0" w:color="auto"/>
              <w:right w:val="single" w:sz="4" w:space="0" w:color="auto"/>
            </w:tcBorders>
          </w:tcPr>
          <w:p w:rsidR="00EF0215" w:rsidRPr="002B1682" w:rsidRDefault="00EF0215" w:rsidP="000A7C32">
            <w:pPr>
              <w:jc w:val="center"/>
            </w:pPr>
            <w:r w:rsidRPr="002B1682">
              <w:t>2019 m.</w:t>
            </w:r>
          </w:p>
        </w:tc>
        <w:tc>
          <w:tcPr>
            <w:tcW w:w="2126" w:type="dxa"/>
            <w:tcBorders>
              <w:top w:val="single" w:sz="4" w:space="0" w:color="auto"/>
              <w:left w:val="single" w:sz="4" w:space="0" w:color="auto"/>
              <w:bottom w:val="single" w:sz="4" w:space="0" w:color="auto"/>
              <w:right w:val="single" w:sz="4" w:space="0" w:color="auto"/>
            </w:tcBorders>
          </w:tcPr>
          <w:p w:rsidR="00EF0215" w:rsidRPr="002B1682" w:rsidRDefault="00EF0215" w:rsidP="000A7C32">
            <w:pPr>
              <w:jc w:val="center"/>
            </w:pPr>
            <w:r w:rsidRPr="002B1682">
              <w:t>2020 m.</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pPr>
              <w:rPr>
                <w:color w:val="000000"/>
              </w:rPr>
            </w:pPr>
            <w:r w:rsidRPr="00E315B5">
              <w:t>Anglų k</w:t>
            </w:r>
            <w:r w:rsidR="00EF23A8">
              <w:t>alba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F0215" w:rsidRPr="00E315B5" w:rsidRDefault="00EF0215" w:rsidP="000A7C32">
            <w:pPr>
              <w:jc w:val="center"/>
            </w:pPr>
            <w:r w:rsidRPr="00E315B5">
              <w:t>54,5</w:t>
            </w:r>
          </w:p>
        </w:tc>
        <w:tc>
          <w:tcPr>
            <w:tcW w:w="1701" w:type="dxa"/>
            <w:tcBorders>
              <w:top w:val="single" w:sz="4" w:space="0" w:color="auto"/>
              <w:left w:val="nil"/>
              <w:bottom w:val="single" w:sz="4" w:space="0" w:color="auto"/>
              <w:right w:val="single" w:sz="4" w:space="0" w:color="auto"/>
            </w:tcBorders>
            <w:shd w:val="clear" w:color="auto" w:fill="auto"/>
            <w:vAlign w:val="center"/>
          </w:tcPr>
          <w:p w:rsidR="00EF0215" w:rsidRPr="00E315B5" w:rsidRDefault="00EF0215" w:rsidP="000A7C32">
            <w:pPr>
              <w:jc w:val="center"/>
            </w:pPr>
            <w:r w:rsidRPr="00E315B5">
              <w:t>56,7</w:t>
            </w:r>
          </w:p>
        </w:tc>
        <w:tc>
          <w:tcPr>
            <w:tcW w:w="1701" w:type="dxa"/>
            <w:tcBorders>
              <w:top w:val="single" w:sz="4" w:space="0" w:color="auto"/>
              <w:left w:val="nil"/>
              <w:bottom w:val="single" w:sz="4" w:space="0" w:color="auto"/>
              <w:right w:val="single" w:sz="4" w:space="0" w:color="auto"/>
            </w:tcBorders>
          </w:tcPr>
          <w:p w:rsidR="00EF0215" w:rsidRPr="00E315B5" w:rsidRDefault="00EF0215" w:rsidP="000A7C32">
            <w:pPr>
              <w:jc w:val="center"/>
            </w:pPr>
            <w:r w:rsidRPr="00E315B5">
              <w:t>58,4</w:t>
            </w:r>
          </w:p>
        </w:tc>
        <w:tc>
          <w:tcPr>
            <w:tcW w:w="2126" w:type="dxa"/>
            <w:tcBorders>
              <w:top w:val="single" w:sz="4" w:space="0" w:color="auto"/>
              <w:left w:val="single" w:sz="4" w:space="0" w:color="auto"/>
              <w:bottom w:val="single" w:sz="4" w:space="0" w:color="auto"/>
              <w:right w:val="single" w:sz="4" w:space="0" w:color="auto"/>
            </w:tcBorders>
          </w:tcPr>
          <w:p w:rsidR="00EF0215" w:rsidRPr="00E315B5" w:rsidRDefault="00EF0215" w:rsidP="000A7C32">
            <w:pPr>
              <w:jc w:val="center"/>
              <w:rPr>
                <w:color w:val="000000"/>
              </w:rPr>
            </w:pPr>
            <w:r w:rsidRPr="00E315B5">
              <w:rPr>
                <w:color w:val="000000"/>
              </w:rPr>
              <w:t>64,6</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pPr>
              <w:rPr>
                <w:color w:val="000000"/>
              </w:rPr>
            </w:pPr>
            <w:r w:rsidRPr="00E315B5">
              <w:t>Geografija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F0215" w:rsidRPr="00E315B5" w:rsidRDefault="00EF0215" w:rsidP="000A7C32">
            <w:pPr>
              <w:jc w:val="center"/>
            </w:pPr>
            <w:r w:rsidRPr="00E315B5">
              <w:t>41,7</w:t>
            </w:r>
          </w:p>
        </w:tc>
        <w:tc>
          <w:tcPr>
            <w:tcW w:w="1701" w:type="dxa"/>
            <w:tcBorders>
              <w:top w:val="single" w:sz="4" w:space="0" w:color="auto"/>
              <w:left w:val="nil"/>
              <w:bottom w:val="single" w:sz="4" w:space="0" w:color="auto"/>
              <w:right w:val="single" w:sz="4" w:space="0" w:color="auto"/>
            </w:tcBorders>
            <w:shd w:val="clear" w:color="auto" w:fill="auto"/>
            <w:vAlign w:val="center"/>
          </w:tcPr>
          <w:p w:rsidR="00EF0215" w:rsidRPr="00E315B5" w:rsidRDefault="00EF0215" w:rsidP="000A7C32">
            <w:pPr>
              <w:jc w:val="center"/>
            </w:pPr>
            <w:r w:rsidRPr="00E315B5">
              <w:t>33,2</w:t>
            </w:r>
          </w:p>
        </w:tc>
        <w:tc>
          <w:tcPr>
            <w:tcW w:w="1701" w:type="dxa"/>
            <w:tcBorders>
              <w:top w:val="single" w:sz="4" w:space="0" w:color="auto"/>
              <w:left w:val="nil"/>
              <w:bottom w:val="single" w:sz="4" w:space="0" w:color="auto"/>
              <w:right w:val="single" w:sz="4" w:space="0" w:color="auto"/>
            </w:tcBorders>
          </w:tcPr>
          <w:p w:rsidR="00EF0215" w:rsidRPr="00E315B5" w:rsidRDefault="00EF0215" w:rsidP="000A7C32">
            <w:pPr>
              <w:jc w:val="center"/>
            </w:pPr>
            <w:r w:rsidRPr="00E315B5">
              <w:t>36,8</w:t>
            </w:r>
          </w:p>
        </w:tc>
        <w:tc>
          <w:tcPr>
            <w:tcW w:w="2126" w:type="dxa"/>
            <w:tcBorders>
              <w:top w:val="single" w:sz="4" w:space="0" w:color="auto"/>
              <w:left w:val="single" w:sz="4" w:space="0" w:color="auto"/>
              <w:bottom w:val="single" w:sz="4" w:space="0" w:color="auto"/>
              <w:right w:val="single" w:sz="4" w:space="0" w:color="auto"/>
            </w:tcBorders>
          </w:tcPr>
          <w:p w:rsidR="00EF0215" w:rsidRPr="00E315B5" w:rsidRDefault="00EF0215" w:rsidP="000A7C32">
            <w:pPr>
              <w:jc w:val="center"/>
              <w:rPr>
                <w:color w:val="000000"/>
              </w:rPr>
            </w:pPr>
            <w:r w:rsidRPr="00E315B5">
              <w:rPr>
                <w:color w:val="000000"/>
              </w:rPr>
              <w:t>45,32</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pPr>
              <w:rPr>
                <w:color w:val="000000"/>
              </w:rPr>
            </w:pPr>
            <w:r w:rsidRPr="00E315B5">
              <w:lastRenderedPageBreak/>
              <w:t>Fizika</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0215" w:rsidRPr="00E315B5" w:rsidRDefault="00EF0215" w:rsidP="000A7C32">
            <w:pPr>
              <w:jc w:val="center"/>
            </w:pPr>
            <w:r w:rsidRPr="00E315B5">
              <w:t>41,1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F0215" w:rsidRPr="00E315B5" w:rsidRDefault="00EF0215" w:rsidP="000A7C32">
            <w:pPr>
              <w:jc w:val="center"/>
            </w:pPr>
            <w:r w:rsidRPr="00E315B5">
              <w:t>39,1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pPr>
            <w:r w:rsidRPr="00E315B5">
              <w:t>49,4</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rPr>
                <w:color w:val="000000"/>
              </w:rPr>
            </w:pPr>
            <w:r w:rsidRPr="00E315B5">
              <w:rPr>
                <w:color w:val="000000"/>
              </w:rPr>
              <w:t>37,18</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pPr>
              <w:rPr>
                <w:color w:val="000000"/>
              </w:rPr>
            </w:pPr>
            <w:r w:rsidRPr="00E315B5">
              <w:t>Lietuvių kalba ir literatūra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F0215" w:rsidRPr="00E315B5" w:rsidRDefault="00EF0215" w:rsidP="000A7C32">
            <w:pPr>
              <w:jc w:val="center"/>
            </w:pPr>
            <w:r w:rsidRPr="00E315B5">
              <w:t>37,3</w:t>
            </w:r>
          </w:p>
        </w:tc>
        <w:tc>
          <w:tcPr>
            <w:tcW w:w="1701" w:type="dxa"/>
            <w:tcBorders>
              <w:top w:val="single" w:sz="4" w:space="0" w:color="auto"/>
              <w:left w:val="nil"/>
              <w:bottom w:val="single" w:sz="4" w:space="0" w:color="auto"/>
              <w:right w:val="single" w:sz="4" w:space="0" w:color="auto"/>
            </w:tcBorders>
            <w:shd w:val="clear" w:color="auto" w:fill="auto"/>
            <w:vAlign w:val="center"/>
          </w:tcPr>
          <w:p w:rsidR="00EF0215" w:rsidRPr="00E315B5" w:rsidRDefault="00EF0215" w:rsidP="000A7C32">
            <w:pPr>
              <w:jc w:val="center"/>
            </w:pPr>
            <w:r w:rsidRPr="00E315B5">
              <w:t>43,8</w:t>
            </w:r>
          </w:p>
        </w:tc>
        <w:tc>
          <w:tcPr>
            <w:tcW w:w="1701" w:type="dxa"/>
            <w:tcBorders>
              <w:top w:val="single" w:sz="4" w:space="0" w:color="auto"/>
              <w:left w:val="nil"/>
              <w:bottom w:val="single" w:sz="4" w:space="0" w:color="auto"/>
              <w:right w:val="single" w:sz="4" w:space="0" w:color="auto"/>
            </w:tcBorders>
          </w:tcPr>
          <w:p w:rsidR="00EF0215" w:rsidRPr="00E315B5" w:rsidRDefault="00EF0215" w:rsidP="000A7C32">
            <w:pPr>
              <w:jc w:val="center"/>
            </w:pPr>
            <w:r w:rsidRPr="00E315B5">
              <w:t>45,4</w:t>
            </w:r>
          </w:p>
        </w:tc>
        <w:tc>
          <w:tcPr>
            <w:tcW w:w="2126" w:type="dxa"/>
            <w:tcBorders>
              <w:top w:val="single" w:sz="4" w:space="0" w:color="auto"/>
              <w:left w:val="single" w:sz="4" w:space="0" w:color="auto"/>
              <w:bottom w:val="single" w:sz="4" w:space="0" w:color="auto"/>
              <w:right w:val="single" w:sz="4" w:space="0" w:color="auto"/>
            </w:tcBorders>
          </w:tcPr>
          <w:p w:rsidR="00EF0215" w:rsidRPr="00E315B5" w:rsidRDefault="00EF0215" w:rsidP="000A7C32">
            <w:pPr>
              <w:jc w:val="center"/>
              <w:rPr>
                <w:color w:val="000000"/>
              </w:rPr>
            </w:pPr>
            <w:r w:rsidRPr="00E315B5">
              <w:rPr>
                <w:color w:val="000000"/>
              </w:rPr>
              <w:t>36,87</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pPr>
              <w:rPr>
                <w:color w:val="000000"/>
              </w:rPr>
            </w:pPr>
            <w:r w:rsidRPr="00E315B5">
              <w:t>Matematika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F0215" w:rsidRPr="00E315B5" w:rsidRDefault="00EF0215" w:rsidP="000A7C32">
            <w:pPr>
              <w:jc w:val="center"/>
            </w:pPr>
            <w:r w:rsidRPr="00E315B5">
              <w:t>40,7</w:t>
            </w:r>
          </w:p>
        </w:tc>
        <w:tc>
          <w:tcPr>
            <w:tcW w:w="1701" w:type="dxa"/>
            <w:tcBorders>
              <w:top w:val="single" w:sz="4" w:space="0" w:color="auto"/>
              <w:left w:val="nil"/>
              <w:bottom w:val="single" w:sz="4" w:space="0" w:color="auto"/>
              <w:right w:val="single" w:sz="4" w:space="0" w:color="auto"/>
            </w:tcBorders>
            <w:shd w:val="clear" w:color="auto" w:fill="auto"/>
            <w:vAlign w:val="center"/>
          </w:tcPr>
          <w:p w:rsidR="00EF0215" w:rsidRPr="00E315B5" w:rsidRDefault="00EF0215" w:rsidP="000A7C32">
            <w:pPr>
              <w:jc w:val="center"/>
            </w:pPr>
            <w:r w:rsidRPr="00E315B5">
              <w:t>37,2</w:t>
            </w:r>
          </w:p>
        </w:tc>
        <w:tc>
          <w:tcPr>
            <w:tcW w:w="1701" w:type="dxa"/>
            <w:tcBorders>
              <w:top w:val="single" w:sz="4" w:space="0" w:color="auto"/>
              <w:left w:val="nil"/>
              <w:bottom w:val="single" w:sz="4" w:space="0" w:color="auto"/>
              <w:right w:val="single" w:sz="4" w:space="0" w:color="auto"/>
            </w:tcBorders>
          </w:tcPr>
          <w:p w:rsidR="00EF0215" w:rsidRPr="00E315B5" w:rsidRDefault="00EF0215" w:rsidP="000A7C32">
            <w:pPr>
              <w:jc w:val="center"/>
            </w:pPr>
            <w:r w:rsidRPr="00E315B5">
              <w:t>33,2</w:t>
            </w:r>
          </w:p>
        </w:tc>
        <w:tc>
          <w:tcPr>
            <w:tcW w:w="2126" w:type="dxa"/>
            <w:tcBorders>
              <w:top w:val="single" w:sz="4" w:space="0" w:color="auto"/>
              <w:left w:val="single" w:sz="4" w:space="0" w:color="auto"/>
              <w:bottom w:val="single" w:sz="4" w:space="0" w:color="auto"/>
              <w:right w:val="single" w:sz="4" w:space="0" w:color="auto"/>
            </w:tcBorders>
          </w:tcPr>
          <w:p w:rsidR="00EF0215" w:rsidRPr="00E315B5" w:rsidRDefault="00EF0215" w:rsidP="000A7C32">
            <w:pPr>
              <w:jc w:val="center"/>
              <w:rPr>
                <w:color w:val="000000"/>
              </w:rPr>
            </w:pPr>
            <w:r w:rsidRPr="00E315B5">
              <w:rPr>
                <w:color w:val="000000"/>
              </w:rPr>
              <w:t>19,94</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pPr>
              <w:rPr>
                <w:color w:val="000000"/>
              </w:rPr>
            </w:pPr>
            <w:r w:rsidRPr="00E315B5">
              <w:t>Istorija</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0215" w:rsidRPr="00E315B5" w:rsidRDefault="00EF0215" w:rsidP="000A7C32">
            <w:pPr>
              <w:jc w:val="center"/>
            </w:pPr>
            <w:r w:rsidRPr="00E315B5">
              <w:t>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F0215" w:rsidRPr="00E315B5" w:rsidRDefault="00EF0215" w:rsidP="000A7C32">
            <w:pPr>
              <w:jc w:val="center"/>
            </w:pPr>
            <w:r w:rsidRPr="00E315B5">
              <w:t>40,5</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pPr>
            <w:r w:rsidRPr="00E315B5">
              <w:t>37,6</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rPr>
                <w:color w:val="000000"/>
              </w:rPr>
            </w:pPr>
            <w:r w:rsidRPr="00E315B5">
              <w:rPr>
                <w:color w:val="000000"/>
              </w:rPr>
              <w:t>48,83</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r w:rsidRPr="00E315B5">
              <w:t>Informacinės technologijos</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0215" w:rsidRPr="00E315B5" w:rsidRDefault="00EF0215" w:rsidP="000A7C32">
            <w:pPr>
              <w:jc w:val="center"/>
            </w:pPr>
            <w:r w:rsidRPr="00E315B5">
              <w:t>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F0215" w:rsidRPr="00E315B5" w:rsidRDefault="00EF0215" w:rsidP="000A7C32">
            <w:pPr>
              <w:jc w:val="center"/>
            </w:pPr>
            <w:r w:rsidRPr="00E315B5">
              <w:t>63,5</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pPr>
            <w:r w:rsidRPr="00E315B5">
              <w:t>38,5</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rPr>
                <w:color w:val="000000"/>
              </w:rPr>
            </w:pPr>
            <w:r w:rsidRPr="00E315B5">
              <w:rPr>
                <w:color w:val="000000"/>
              </w:rPr>
              <w:t>40,8</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r w:rsidRPr="00E315B5">
              <w:t>Chemija</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0215" w:rsidRPr="00E315B5" w:rsidRDefault="00EF0215" w:rsidP="000A7C32">
            <w:pPr>
              <w:jc w:val="center"/>
            </w:pPr>
            <w:r w:rsidRPr="00E315B5">
              <w:t>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F0215" w:rsidRPr="00E315B5" w:rsidRDefault="00EF0215" w:rsidP="000A7C32">
            <w:pPr>
              <w:jc w:val="center"/>
            </w:pPr>
            <w:r w:rsidRPr="00E315B5">
              <w:t>66,3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pPr>
            <w:r w:rsidRPr="00E315B5">
              <w:t>37,5</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EF0215" w:rsidRPr="00E315B5" w:rsidRDefault="00EF0215" w:rsidP="000A7C32">
            <w:pPr>
              <w:jc w:val="center"/>
              <w:rPr>
                <w:color w:val="000000"/>
              </w:rPr>
            </w:pPr>
            <w:r w:rsidRPr="00E315B5">
              <w:rPr>
                <w:color w:val="000000"/>
              </w:rPr>
              <w:t>33,83</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r w:rsidRPr="00E315B5">
              <w:t>Biologija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F0215" w:rsidRPr="00E315B5" w:rsidRDefault="00EF0215" w:rsidP="000A7C32">
            <w:pPr>
              <w:jc w:val="center"/>
            </w:pPr>
            <w:r w:rsidRPr="00E315B5">
              <w:t>46,9</w:t>
            </w:r>
          </w:p>
        </w:tc>
        <w:tc>
          <w:tcPr>
            <w:tcW w:w="1701" w:type="dxa"/>
            <w:tcBorders>
              <w:top w:val="single" w:sz="4" w:space="0" w:color="auto"/>
              <w:left w:val="nil"/>
              <w:bottom w:val="single" w:sz="4" w:space="0" w:color="auto"/>
              <w:right w:val="single" w:sz="4" w:space="0" w:color="auto"/>
            </w:tcBorders>
            <w:shd w:val="clear" w:color="auto" w:fill="auto"/>
            <w:vAlign w:val="center"/>
          </w:tcPr>
          <w:p w:rsidR="00EF0215" w:rsidRPr="00E315B5" w:rsidRDefault="00EF0215" w:rsidP="000A7C32">
            <w:pPr>
              <w:jc w:val="center"/>
            </w:pPr>
            <w:r w:rsidRPr="00E315B5">
              <w:t>39,4</w:t>
            </w:r>
          </w:p>
        </w:tc>
        <w:tc>
          <w:tcPr>
            <w:tcW w:w="1701" w:type="dxa"/>
            <w:tcBorders>
              <w:top w:val="single" w:sz="4" w:space="0" w:color="auto"/>
              <w:left w:val="nil"/>
              <w:bottom w:val="single" w:sz="4" w:space="0" w:color="auto"/>
              <w:right w:val="single" w:sz="4" w:space="0" w:color="auto"/>
            </w:tcBorders>
          </w:tcPr>
          <w:p w:rsidR="00EF0215" w:rsidRPr="00E315B5" w:rsidRDefault="00EF0215" w:rsidP="000A7C32">
            <w:pPr>
              <w:jc w:val="center"/>
            </w:pPr>
            <w:r w:rsidRPr="00E315B5">
              <w:t>40,1</w:t>
            </w:r>
          </w:p>
        </w:tc>
        <w:tc>
          <w:tcPr>
            <w:tcW w:w="2126" w:type="dxa"/>
            <w:tcBorders>
              <w:top w:val="single" w:sz="4" w:space="0" w:color="auto"/>
              <w:left w:val="single" w:sz="4" w:space="0" w:color="auto"/>
              <w:bottom w:val="single" w:sz="4" w:space="0" w:color="auto"/>
              <w:right w:val="single" w:sz="4" w:space="0" w:color="auto"/>
            </w:tcBorders>
          </w:tcPr>
          <w:p w:rsidR="00EF0215" w:rsidRPr="00E315B5" w:rsidRDefault="00EF0215" w:rsidP="000A7C32">
            <w:pPr>
              <w:jc w:val="center"/>
              <w:rPr>
                <w:color w:val="000000"/>
              </w:rPr>
            </w:pPr>
            <w:r w:rsidRPr="00E315B5">
              <w:rPr>
                <w:color w:val="000000"/>
              </w:rPr>
              <w:t>50,78</w:t>
            </w:r>
          </w:p>
        </w:tc>
      </w:tr>
      <w:tr w:rsidR="00EF0215" w:rsidRPr="00E315B5" w:rsidTr="000A7C32">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EF0215" w:rsidRPr="00E315B5" w:rsidRDefault="00EF0215" w:rsidP="000A7C32">
            <w:r w:rsidRPr="00E315B5">
              <w:t>Bendras Panevėžio r.</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F0215" w:rsidRPr="00E315B5" w:rsidRDefault="00EF0215" w:rsidP="000A7C32">
            <w:pPr>
              <w:jc w:val="center"/>
            </w:pPr>
            <w:r w:rsidRPr="00E315B5">
              <w:t>43,2</w:t>
            </w:r>
          </w:p>
        </w:tc>
        <w:tc>
          <w:tcPr>
            <w:tcW w:w="1701" w:type="dxa"/>
            <w:tcBorders>
              <w:top w:val="single" w:sz="4" w:space="0" w:color="auto"/>
              <w:left w:val="nil"/>
              <w:bottom w:val="single" w:sz="4" w:space="0" w:color="auto"/>
              <w:right w:val="single" w:sz="4" w:space="0" w:color="auto"/>
            </w:tcBorders>
            <w:shd w:val="clear" w:color="auto" w:fill="auto"/>
            <w:vAlign w:val="center"/>
          </w:tcPr>
          <w:p w:rsidR="00EF0215" w:rsidRPr="00E315B5" w:rsidRDefault="00EF0215" w:rsidP="000A7C32">
            <w:pPr>
              <w:jc w:val="center"/>
            </w:pPr>
            <w:r w:rsidRPr="00E315B5">
              <w:t>45,2</w:t>
            </w:r>
          </w:p>
        </w:tc>
        <w:tc>
          <w:tcPr>
            <w:tcW w:w="1701" w:type="dxa"/>
            <w:tcBorders>
              <w:top w:val="single" w:sz="4" w:space="0" w:color="auto"/>
              <w:left w:val="nil"/>
              <w:bottom w:val="single" w:sz="4" w:space="0" w:color="auto"/>
              <w:right w:val="single" w:sz="4" w:space="0" w:color="auto"/>
            </w:tcBorders>
            <w:vAlign w:val="center"/>
          </w:tcPr>
          <w:p w:rsidR="00EF0215" w:rsidRPr="00E315B5" w:rsidRDefault="00EF0215" w:rsidP="000A7C32">
            <w:pPr>
              <w:jc w:val="center"/>
            </w:pPr>
            <w:r w:rsidRPr="00E315B5">
              <w:t>43</w:t>
            </w:r>
          </w:p>
        </w:tc>
        <w:tc>
          <w:tcPr>
            <w:tcW w:w="2126" w:type="dxa"/>
            <w:tcBorders>
              <w:top w:val="single" w:sz="4" w:space="0" w:color="auto"/>
              <w:left w:val="single" w:sz="4" w:space="0" w:color="auto"/>
              <w:bottom w:val="single" w:sz="4" w:space="0" w:color="auto"/>
              <w:right w:val="single" w:sz="4" w:space="0" w:color="auto"/>
            </w:tcBorders>
            <w:vAlign w:val="center"/>
          </w:tcPr>
          <w:p w:rsidR="00EF0215" w:rsidRPr="00E315B5" w:rsidRDefault="00EF0215" w:rsidP="000A7C32">
            <w:pPr>
              <w:jc w:val="center"/>
              <w:rPr>
                <w:color w:val="000000"/>
              </w:rPr>
            </w:pPr>
            <w:r w:rsidRPr="00E315B5">
              <w:rPr>
                <w:color w:val="000000"/>
              </w:rPr>
              <w:t>42</w:t>
            </w:r>
          </w:p>
        </w:tc>
      </w:tr>
    </w:tbl>
    <w:p w:rsidR="00EF0215" w:rsidRDefault="00EF0215" w:rsidP="00EF0215">
      <w:pPr>
        <w:ind w:firstLine="851"/>
        <w:jc w:val="both"/>
      </w:pPr>
    </w:p>
    <w:p w:rsidR="00EF0215" w:rsidRDefault="00EF0215" w:rsidP="00DB6DCD">
      <w:pPr>
        <w:pStyle w:val="Betarp"/>
        <w:ind w:firstLine="720"/>
      </w:pPr>
      <w:r w:rsidRPr="00DB6DCD">
        <w:rPr>
          <w:rFonts w:ascii="Times New Roman" w:hAnsi="Times New Roman"/>
          <w:sz w:val="24"/>
          <w:szCs w:val="24"/>
        </w:rPr>
        <w:t>Gautų 100 įvertinimų proc</w:t>
      </w:r>
      <w:r w:rsidR="00B37604">
        <w:rPr>
          <w:rFonts w:ascii="Times New Roman" w:hAnsi="Times New Roman"/>
          <w:sz w:val="24"/>
          <w:szCs w:val="24"/>
        </w:rPr>
        <w:t>.</w:t>
      </w:r>
      <w:r w:rsidRPr="00DB6DCD">
        <w:rPr>
          <w:rFonts w:ascii="Times New Roman" w:hAnsi="Times New Roman"/>
          <w:sz w:val="24"/>
          <w:szCs w:val="24"/>
        </w:rPr>
        <w:t xml:space="preserve"> nėra tolygiai kintantis. </w:t>
      </w:r>
    </w:p>
    <w:p w:rsidR="00BD3DE9" w:rsidRPr="002B1682" w:rsidRDefault="00BD3DE9" w:rsidP="00DB6DCD">
      <w:pPr>
        <w:pStyle w:val="Betarp"/>
        <w:ind w:firstLine="720"/>
        <w:rPr>
          <w:rFonts w:ascii="Times New Roman" w:hAnsi="Times New Roman"/>
          <w:sz w:val="24"/>
          <w:szCs w:val="24"/>
        </w:rPr>
      </w:pPr>
    </w:p>
    <w:p w:rsidR="00BD3DE9" w:rsidRPr="00F8228D" w:rsidRDefault="007B0EDA" w:rsidP="00F8228D">
      <w:pPr>
        <w:pStyle w:val="Betarp"/>
        <w:ind w:firstLine="720"/>
      </w:pPr>
      <w:r>
        <w:rPr>
          <w:rFonts w:ascii="Times New Roman" w:hAnsi="Times New Roman"/>
          <w:sz w:val="24"/>
          <w:szCs w:val="24"/>
        </w:rPr>
        <w:t>2</w:t>
      </w:r>
      <w:r w:rsidR="00151784" w:rsidRPr="00DB6DCD">
        <w:rPr>
          <w:rFonts w:ascii="Times New Roman" w:hAnsi="Times New Roman"/>
          <w:sz w:val="24"/>
          <w:szCs w:val="24"/>
        </w:rPr>
        <w:t>1</w:t>
      </w:r>
      <w:r w:rsidR="00EF0215" w:rsidRPr="00DB6DCD">
        <w:rPr>
          <w:rFonts w:ascii="Times New Roman" w:hAnsi="Times New Roman"/>
          <w:sz w:val="24"/>
          <w:szCs w:val="24"/>
        </w:rPr>
        <w:t xml:space="preserve"> </w:t>
      </w:r>
      <w:r w:rsidR="00F8228D">
        <w:rPr>
          <w:rFonts w:ascii="Times New Roman" w:hAnsi="Times New Roman"/>
          <w:sz w:val="24"/>
          <w:szCs w:val="24"/>
        </w:rPr>
        <w:t>lentelė</w:t>
      </w:r>
      <w:r w:rsidR="00EF0215" w:rsidRPr="00DB6DCD">
        <w:rPr>
          <w:rFonts w:ascii="Times New Roman" w:hAnsi="Times New Roman"/>
          <w:sz w:val="24"/>
          <w:szCs w:val="24"/>
        </w:rPr>
        <w:t>. Gautų aukščiausio įvertinimo –</w:t>
      </w:r>
      <w:r w:rsidR="00B37604">
        <w:rPr>
          <w:rFonts w:ascii="Times New Roman" w:hAnsi="Times New Roman"/>
          <w:sz w:val="24"/>
          <w:szCs w:val="24"/>
        </w:rPr>
        <w:t xml:space="preserve"> </w:t>
      </w:r>
      <w:r w:rsidR="00EF0215" w:rsidRPr="00DB6DCD">
        <w:rPr>
          <w:rFonts w:ascii="Times New Roman" w:hAnsi="Times New Roman"/>
          <w:sz w:val="24"/>
          <w:szCs w:val="24"/>
        </w:rPr>
        <w:t>100 proc</w:t>
      </w:r>
      <w:r w:rsidR="00B37604">
        <w:rPr>
          <w:rFonts w:ascii="Times New Roman" w:hAnsi="Times New Roman"/>
          <w:sz w:val="24"/>
          <w:szCs w:val="24"/>
        </w:rPr>
        <w:t>.</w:t>
      </w:r>
      <w:r w:rsidR="00EF0215" w:rsidRPr="00DB6DCD">
        <w:rPr>
          <w:rFonts w:ascii="Times New Roman" w:hAnsi="Times New Roman"/>
          <w:sz w:val="24"/>
          <w:szCs w:val="24"/>
        </w:rPr>
        <w:t xml:space="preserve"> nuo bendro abiturientų skaičiaus</w:t>
      </w:r>
    </w:p>
    <w:p w:rsidR="007B51C9" w:rsidRPr="003A311C" w:rsidRDefault="00997C5F" w:rsidP="003A311C">
      <w:pPr>
        <w:spacing w:line="360" w:lineRule="auto"/>
        <w:ind w:firstLine="142"/>
        <w:jc w:val="both"/>
        <w:rPr>
          <w:i/>
          <w:iCs/>
          <w:sz w:val="23"/>
          <w:szCs w:val="23"/>
        </w:rPr>
      </w:pPr>
      <w:r>
        <w:rPr>
          <w:noProof/>
        </w:rPr>
        <w:drawing>
          <wp:inline distT="0" distB="0" distL="0" distR="0">
            <wp:extent cx="8096885" cy="2040255"/>
            <wp:effectExtent l="0" t="0" r="18415" b="17145"/>
            <wp:docPr id="10" name="Diagrama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B0EDA" w:rsidRDefault="00EF0215" w:rsidP="00F661C7">
      <w:pPr>
        <w:pStyle w:val="Betarp"/>
        <w:ind w:firstLine="720"/>
        <w:jc w:val="both"/>
      </w:pPr>
      <w:r w:rsidRPr="00DB6DCD">
        <w:rPr>
          <w:rFonts w:ascii="Times New Roman" w:hAnsi="Times New Roman"/>
          <w:sz w:val="24"/>
          <w:szCs w:val="24"/>
        </w:rPr>
        <w:t>Išlaikytų VBE proc</w:t>
      </w:r>
      <w:r w:rsidR="00B37604">
        <w:rPr>
          <w:rFonts w:ascii="Times New Roman" w:hAnsi="Times New Roman"/>
          <w:sz w:val="24"/>
          <w:szCs w:val="24"/>
        </w:rPr>
        <w:t>.</w:t>
      </w:r>
      <w:r w:rsidRPr="00DB6DCD">
        <w:rPr>
          <w:rFonts w:ascii="Times New Roman" w:hAnsi="Times New Roman"/>
          <w:sz w:val="24"/>
          <w:szCs w:val="24"/>
        </w:rPr>
        <w:t xml:space="preserve"> nėra tolygiai kintantis kaip ir šalyje. </w:t>
      </w:r>
    </w:p>
    <w:p w:rsidR="00F661C7" w:rsidRPr="00F661C7" w:rsidRDefault="00F661C7" w:rsidP="00F661C7">
      <w:pPr>
        <w:pStyle w:val="Betarp"/>
        <w:ind w:firstLine="720"/>
        <w:jc w:val="both"/>
      </w:pPr>
    </w:p>
    <w:p w:rsidR="00F661C7" w:rsidRDefault="00F661C7" w:rsidP="00DB6DCD">
      <w:pPr>
        <w:pStyle w:val="Betarp"/>
        <w:ind w:firstLine="720"/>
        <w:jc w:val="both"/>
        <w:rPr>
          <w:rFonts w:ascii="Times New Roman" w:eastAsia="Times New Roman" w:hAnsi="Times New Roman"/>
          <w:sz w:val="24"/>
          <w:szCs w:val="24"/>
          <w:lang w:eastAsia="lt-LT"/>
        </w:rPr>
      </w:pPr>
    </w:p>
    <w:p w:rsidR="00F661C7" w:rsidRDefault="00F661C7" w:rsidP="00DB6DCD">
      <w:pPr>
        <w:pStyle w:val="Betarp"/>
        <w:ind w:firstLine="720"/>
        <w:jc w:val="both"/>
        <w:rPr>
          <w:rFonts w:ascii="Times New Roman" w:eastAsia="Times New Roman" w:hAnsi="Times New Roman"/>
          <w:sz w:val="24"/>
          <w:szCs w:val="24"/>
          <w:lang w:eastAsia="lt-LT"/>
        </w:rPr>
      </w:pPr>
    </w:p>
    <w:p w:rsidR="00F661C7" w:rsidRDefault="00F661C7" w:rsidP="00DB6DCD">
      <w:pPr>
        <w:pStyle w:val="Betarp"/>
        <w:ind w:firstLine="720"/>
        <w:jc w:val="both"/>
        <w:rPr>
          <w:rFonts w:ascii="Times New Roman" w:eastAsia="Times New Roman" w:hAnsi="Times New Roman"/>
          <w:sz w:val="24"/>
          <w:szCs w:val="24"/>
          <w:lang w:eastAsia="lt-LT"/>
        </w:rPr>
      </w:pPr>
    </w:p>
    <w:p w:rsidR="00F661C7" w:rsidRDefault="00F661C7" w:rsidP="00DB6DCD">
      <w:pPr>
        <w:pStyle w:val="Betarp"/>
        <w:ind w:firstLine="720"/>
        <w:jc w:val="both"/>
        <w:rPr>
          <w:rFonts w:ascii="Times New Roman" w:eastAsia="Times New Roman" w:hAnsi="Times New Roman"/>
          <w:sz w:val="24"/>
          <w:szCs w:val="24"/>
          <w:lang w:eastAsia="lt-LT"/>
        </w:rPr>
      </w:pPr>
    </w:p>
    <w:p w:rsidR="00F661C7" w:rsidRDefault="00F661C7" w:rsidP="00DB6DCD">
      <w:pPr>
        <w:pStyle w:val="Betarp"/>
        <w:ind w:firstLine="720"/>
        <w:jc w:val="both"/>
        <w:rPr>
          <w:rFonts w:ascii="Times New Roman" w:eastAsia="Times New Roman" w:hAnsi="Times New Roman"/>
          <w:sz w:val="24"/>
          <w:szCs w:val="24"/>
          <w:lang w:eastAsia="lt-LT"/>
        </w:rPr>
      </w:pPr>
    </w:p>
    <w:p w:rsidR="00F661C7" w:rsidRDefault="00F661C7" w:rsidP="00DB6DCD">
      <w:pPr>
        <w:pStyle w:val="Betarp"/>
        <w:ind w:firstLine="720"/>
        <w:jc w:val="both"/>
        <w:rPr>
          <w:rFonts w:ascii="Times New Roman" w:eastAsia="Times New Roman" w:hAnsi="Times New Roman"/>
          <w:sz w:val="24"/>
          <w:szCs w:val="24"/>
          <w:lang w:eastAsia="lt-LT"/>
        </w:rPr>
      </w:pPr>
    </w:p>
    <w:p w:rsidR="00F661C7" w:rsidRDefault="00F661C7" w:rsidP="00DB6DCD">
      <w:pPr>
        <w:pStyle w:val="Betarp"/>
        <w:ind w:firstLine="720"/>
        <w:jc w:val="both"/>
        <w:rPr>
          <w:rFonts w:ascii="Times New Roman" w:eastAsia="Times New Roman" w:hAnsi="Times New Roman"/>
          <w:sz w:val="24"/>
          <w:szCs w:val="24"/>
          <w:lang w:eastAsia="lt-LT"/>
        </w:rPr>
      </w:pPr>
    </w:p>
    <w:p w:rsidR="00F661C7" w:rsidRDefault="00F661C7" w:rsidP="00DB6DCD">
      <w:pPr>
        <w:pStyle w:val="Betarp"/>
        <w:ind w:firstLine="720"/>
        <w:jc w:val="both"/>
        <w:rPr>
          <w:rFonts w:ascii="Times New Roman" w:eastAsia="Times New Roman" w:hAnsi="Times New Roman"/>
          <w:sz w:val="24"/>
          <w:szCs w:val="24"/>
          <w:lang w:eastAsia="lt-LT"/>
        </w:rPr>
      </w:pPr>
    </w:p>
    <w:p w:rsidR="00EF0215" w:rsidRPr="00DB6DCD" w:rsidRDefault="007B0EDA" w:rsidP="00DB6DCD">
      <w:pPr>
        <w:pStyle w:val="Betarp"/>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2</w:t>
      </w:r>
      <w:r w:rsidR="00151784" w:rsidRPr="00DB6DCD">
        <w:rPr>
          <w:rFonts w:ascii="Times New Roman" w:eastAsia="Times New Roman" w:hAnsi="Times New Roman"/>
          <w:sz w:val="24"/>
          <w:szCs w:val="24"/>
          <w:lang w:eastAsia="lt-LT"/>
        </w:rPr>
        <w:t>2</w:t>
      </w:r>
      <w:r w:rsidR="00EF0215" w:rsidRPr="00DB6DCD">
        <w:rPr>
          <w:rFonts w:ascii="Times New Roman" w:eastAsia="Times New Roman" w:hAnsi="Times New Roman"/>
          <w:sz w:val="24"/>
          <w:szCs w:val="24"/>
          <w:lang w:eastAsia="lt-LT"/>
        </w:rPr>
        <w:t xml:space="preserve"> </w:t>
      </w:r>
      <w:r w:rsidR="00B92211">
        <w:rPr>
          <w:rFonts w:ascii="Times New Roman" w:eastAsia="Times New Roman" w:hAnsi="Times New Roman"/>
          <w:sz w:val="24"/>
          <w:szCs w:val="24"/>
          <w:lang w:eastAsia="lt-LT"/>
        </w:rPr>
        <w:t>diagrama</w:t>
      </w:r>
      <w:r w:rsidR="00EF0215" w:rsidRPr="00DB6DCD">
        <w:rPr>
          <w:rFonts w:ascii="Times New Roman" w:eastAsia="Times New Roman" w:hAnsi="Times New Roman"/>
          <w:sz w:val="24"/>
          <w:szCs w:val="24"/>
          <w:lang w:eastAsia="lt-LT"/>
        </w:rPr>
        <w:t xml:space="preserve">. Išlaikytų VBE dalies kaita nuo laikytų VBE </w:t>
      </w:r>
    </w:p>
    <w:p w:rsidR="007B51C9" w:rsidRPr="00814A4E" w:rsidRDefault="00997C5F" w:rsidP="00814A4E">
      <w:pPr>
        <w:spacing w:line="360" w:lineRule="auto"/>
        <w:ind w:left="284"/>
        <w:jc w:val="both"/>
        <w:rPr>
          <w:i/>
          <w:iCs/>
          <w:sz w:val="23"/>
          <w:szCs w:val="23"/>
        </w:rPr>
      </w:pPr>
      <w:r>
        <w:rPr>
          <w:noProof/>
        </w:rPr>
        <w:drawing>
          <wp:inline distT="0" distB="0" distL="0" distR="0">
            <wp:extent cx="8049895" cy="2480310"/>
            <wp:effectExtent l="0" t="0" r="8255" b="15240"/>
            <wp:docPr id="11"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B03EF" w:rsidRDefault="00EF0215" w:rsidP="00DB6DCD">
      <w:pPr>
        <w:pStyle w:val="Betarp"/>
        <w:ind w:firstLine="720"/>
        <w:jc w:val="both"/>
      </w:pPr>
      <w:r w:rsidRPr="00DB6DCD">
        <w:rPr>
          <w:rFonts w:ascii="Times New Roman" w:hAnsi="Times New Roman"/>
          <w:sz w:val="24"/>
          <w:szCs w:val="24"/>
        </w:rPr>
        <w:t>Išlaikytų VBE proc</w:t>
      </w:r>
      <w:r w:rsidR="00B37604">
        <w:rPr>
          <w:rFonts w:ascii="Times New Roman" w:hAnsi="Times New Roman"/>
          <w:sz w:val="24"/>
          <w:szCs w:val="24"/>
        </w:rPr>
        <w:t>.</w:t>
      </w:r>
      <w:r w:rsidRPr="00DB6DCD">
        <w:rPr>
          <w:rFonts w:ascii="Times New Roman" w:hAnsi="Times New Roman"/>
          <w:sz w:val="24"/>
          <w:szCs w:val="24"/>
        </w:rPr>
        <w:t xml:space="preserve"> nėra tolygiai kintantis kaip ir šalyje. </w:t>
      </w:r>
    </w:p>
    <w:p w:rsidR="00BD3DE9" w:rsidRPr="002B1682" w:rsidRDefault="00BD3DE9" w:rsidP="00DB6DCD">
      <w:pPr>
        <w:pStyle w:val="Betarp"/>
        <w:ind w:firstLine="720"/>
        <w:jc w:val="both"/>
        <w:rPr>
          <w:rFonts w:ascii="Times New Roman" w:hAnsi="Times New Roman"/>
          <w:sz w:val="24"/>
          <w:szCs w:val="24"/>
        </w:rPr>
      </w:pPr>
    </w:p>
    <w:p w:rsidR="00EF0215" w:rsidRPr="00DB6DCD" w:rsidRDefault="007B0EDA" w:rsidP="00DB6DCD">
      <w:pPr>
        <w:pStyle w:val="Betarp"/>
        <w:ind w:firstLine="720"/>
        <w:jc w:val="both"/>
        <w:rPr>
          <w:rFonts w:ascii="Times New Roman" w:hAnsi="Times New Roman"/>
          <w:sz w:val="24"/>
          <w:szCs w:val="24"/>
        </w:rPr>
      </w:pPr>
      <w:r>
        <w:rPr>
          <w:rFonts w:ascii="Times New Roman" w:eastAsia="Times New Roman" w:hAnsi="Times New Roman"/>
          <w:sz w:val="24"/>
          <w:szCs w:val="24"/>
          <w:lang w:eastAsia="lt-LT"/>
        </w:rPr>
        <w:t>2</w:t>
      </w:r>
      <w:r w:rsidR="00151784" w:rsidRPr="00DB6DCD">
        <w:rPr>
          <w:rFonts w:ascii="Times New Roman" w:eastAsia="Times New Roman" w:hAnsi="Times New Roman"/>
          <w:sz w:val="24"/>
          <w:szCs w:val="24"/>
          <w:lang w:eastAsia="lt-LT"/>
        </w:rPr>
        <w:t>3</w:t>
      </w:r>
      <w:r w:rsidR="00EF0215" w:rsidRPr="00DB6DCD">
        <w:rPr>
          <w:rFonts w:ascii="Times New Roman" w:eastAsia="Times New Roman" w:hAnsi="Times New Roman"/>
          <w:sz w:val="24"/>
          <w:szCs w:val="24"/>
          <w:lang w:eastAsia="lt-LT"/>
        </w:rPr>
        <w:t xml:space="preserve"> </w:t>
      </w:r>
      <w:r w:rsidR="00B92211">
        <w:rPr>
          <w:rFonts w:ascii="Times New Roman" w:eastAsia="Times New Roman" w:hAnsi="Times New Roman"/>
          <w:sz w:val="24"/>
          <w:szCs w:val="24"/>
          <w:lang w:eastAsia="lt-LT"/>
        </w:rPr>
        <w:t>diagrama</w:t>
      </w:r>
      <w:r w:rsidR="00EF0215" w:rsidRPr="00DB6DCD">
        <w:rPr>
          <w:rFonts w:ascii="Times New Roman" w:eastAsia="Times New Roman" w:hAnsi="Times New Roman"/>
          <w:sz w:val="24"/>
          <w:szCs w:val="24"/>
          <w:lang w:eastAsia="lt-LT"/>
        </w:rPr>
        <w:t>. Įvertinimų 86–100 proc</w:t>
      </w:r>
      <w:r w:rsidR="00EF0215" w:rsidRPr="00DB6DCD">
        <w:rPr>
          <w:rFonts w:ascii="Times New Roman" w:hAnsi="Times New Roman"/>
          <w:sz w:val="24"/>
          <w:szCs w:val="24"/>
        </w:rPr>
        <w:t xml:space="preserve">. </w:t>
      </w:r>
    </w:p>
    <w:p w:rsidR="00EF0215" w:rsidRPr="00DB6DCD" w:rsidRDefault="00997C5F" w:rsidP="00DB6DCD">
      <w:pPr>
        <w:pStyle w:val="Betarp"/>
        <w:jc w:val="both"/>
        <w:rPr>
          <w:sz w:val="24"/>
          <w:szCs w:val="24"/>
        </w:rPr>
      </w:pPr>
      <w:r>
        <w:rPr>
          <w:rFonts w:ascii="Times New Roman" w:hAnsi="Times New Roman"/>
          <w:noProof/>
          <w:sz w:val="24"/>
          <w:szCs w:val="24"/>
          <w:lang w:eastAsia="lt-LT"/>
        </w:rPr>
        <w:drawing>
          <wp:inline distT="0" distB="0" distL="0" distR="0">
            <wp:extent cx="8178036" cy="2804672"/>
            <wp:effectExtent l="19050" t="0" r="13464" b="0"/>
            <wp:docPr id="12"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F0215" w:rsidRPr="002B1682" w:rsidRDefault="00EF0215" w:rsidP="00DB6DCD">
      <w:pPr>
        <w:pStyle w:val="Betarp"/>
        <w:jc w:val="both"/>
        <w:rPr>
          <w:rFonts w:ascii="Times New Roman" w:hAnsi="Times New Roman"/>
          <w:sz w:val="24"/>
          <w:szCs w:val="24"/>
        </w:rPr>
      </w:pPr>
    </w:p>
    <w:p w:rsidR="00EF0215" w:rsidRPr="00981FB0" w:rsidRDefault="00EF0215" w:rsidP="00DB6DCD">
      <w:pPr>
        <w:pStyle w:val="Betarp"/>
        <w:ind w:firstLine="720"/>
        <w:jc w:val="both"/>
        <w:rPr>
          <w:bCs/>
        </w:rPr>
      </w:pPr>
      <w:r w:rsidRPr="00DB6DCD">
        <w:rPr>
          <w:rFonts w:ascii="Times New Roman" w:hAnsi="Times New Roman"/>
          <w:bCs/>
          <w:sz w:val="24"/>
          <w:szCs w:val="24"/>
        </w:rPr>
        <w:lastRenderedPageBreak/>
        <w:t>Analizuojant keturių pagrindinių (lietuvių k</w:t>
      </w:r>
      <w:r w:rsidR="00B37604">
        <w:rPr>
          <w:rFonts w:ascii="Times New Roman" w:hAnsi="Times New Roman"/>
          <w:bCs/>
          <w:sz w:val="24"/>
          <w:szCs w:val="24"/>
        </w:rPr>
        <w:t>albos</w:t>
      </w:r>
      <w:r w:rsidRPr="00DB6DCD">
        <w:rPr>
          <w:rFonts w:ascii="Times New Roman" w:hAnsi="Times New Roman"/>
          <w:bCs/>
          <w:sz w:val="24"/>
          <w:szCs w:val="24"/>
        </w:rPr>
        <w:t>, anglų k</w:t>
      </w:r>
      <w:r w:rsidR="00B37604">
        <w:rPr>
          <w:rFonts w:ascii="Times New Roman" w:hAnsi="Times New Roman"/>
          <w:bCs/>
          <w:sz w:val="24"/>
          <w:szCs w:val="24"/>
        </w:rPr>
        <w:t>albos</w:t>
      </w:r>
      <w:r w:rsidRPr="00DB6DCD">
        <w:rPr>
          <w:rFonts w:ascii="Times New Roman" w:hAnsi="Times New Roman"/>
          <w:bCs/>
          <w:sz w:val="24"/>
          <w:szCs w:val="24"/>
        </w:rPr>
        <w:t>, istorijos, matematikos) VBE rezultatus, akivaizdu, kad išlaikymo proc</w:t>
      </w:r>
      <w:r w:rsidR="00B37604">
        <w:rPr>
          <w:rFonts w:ascii="Times New Roman" w:hAnsi="Times New Roman"/>
          <w:bCs/>
          <w:sz w:val="24"/>
          <w:szCs w:val="24"/>
        </w:rPr>
        <w:t>.</w:t>
      </w:r>
      <w:r w:rsidRPr="00DB6DCD">
        <w:rPr>
          <w:rFonts w:ascii="Times New Roman" w:hAnsi="Times New Roman"/>
          <w:bCs/>
          <w:sz w:val="24"/>
          <w:szCs w:val="24"/>
        </w:rPr>
        <w:t xml:space="preserve"> artimas šalies išlaikymo proc. Daugiausia abiturientų neišlaiko matematikos </w:t>
      </w:r>
      <w:r w:rsidR="00B37604">
        <w:rPr>
          <w:rFonts w:ascii="Times New Roman" w:hAnsi="Times New Roman"/>
          <w:bCs/>
          <w:sz w:val="24"/>
          <w:szCs w:val="24"/>
        </w:rPr>
        <w:t>bei</w:t>
      </w:r>
      <w:r w:rsidRPr="00DB6DCD">
        <w:rPr>
          <w:rFonts w:ascii="Times New Roman" w:hAnsi="Times New Roman"/>
          <w:bCs/>
          <w:sz w:val="24"/>
          <w:szCs w:val="24"/>
        </w:rPr>
        <w:t xml:space="preserve"> lietuvių kalbos ir literatūros VBE. Šių egzaminų rezultatai kelia nerimą jau keletą metų. </w:t>
      </w:r>
    </w:p>
    <w:p w:rsidR="00CB03EF" w:rsidRPr="00F40763" w:rsidRDefault="00CB03EF" w:rsidP="00DB6DCD">
      <w:pPr>
        <w:pStyle w:val="Betarp"/>
        <w:jc w:val="both"/>
        <w:rPr>
          <w:i/>
        </w:rPr>
      </w:pPr>
    </w:p>
    <w:p w:rsidR="00CB03EF" w:rsidRPr="00F8228D" w:rsidRDefault="00002E14" w:rsidP="00DB6DCD">
      <w:pPr>
        <w:pStyle w:val="Betarp"/>
        <w:ind w:firstLine="720"/>
        <w:jc w:val="both"/>
      </w:pPr>
      <w:r>
        <w:rPr>
          <w:rFonts w:ascii="Times New Roman" w:hAnsi="Times New Roman"/>
          <w:sz w:val="24"/>
          <w:szCs w:val="24"/>
        </w:rPr>
        <w:t>2</w:t>
      </w:r>
      <w:r w:rsidR="00151784" w:rsidRPr="00F8228D">
        <w:rPr>
          <w:rFonts w:ascii="Times New Roman" w:hAnsi="Times New Roman"/>
          <w:sz w:val="24"/>
          <w:szCs w:val="24"/>
        </w:rPr>
        <w:t>4</w:t>
      </w:r>
      <w:r w:rsidR="00EF0215" w:rsidRPr="00F8228D">
        <w:rPr>
          <w:rFonts w:ascii="Times New Roman" w:hAnsi="Times New Roman"/>
          <w:sz w:val="24"/>
          <w:szCs w:val="24"/>
        </w:rPr>
        <w:t xml:space="preserve"> </w:t>
      </w:r>
      <w:r w:rsidR="00B92211" w:rsidRPr="00F8228D">
        <w:rPr>
          <w:rFonts w:ascii="Times New Roman" w:hAnsi="Times New Roman"/>
          <w:sz w:val="24"/>
          <w:szCs w:val="24"/>
        </w:rPr>
        <w:t>diagrama</w:t>
      </w:r>
    </w:p>
    <w:p w:rsidR="00F20801" w:rsidRPr="00981FB0" w:rsidRDefault="00997C5F" w:rsidP="00DB6DCD">
      <w:pPr>
        <w:pStyle w:val="Betarp"/>
        <w:jc w:val="both"/>
      </w:pPr>
      <w:r>
        <w:rPr>
          <w:rFonts w:ascii="Times New Roman" w:hAnsi="Times New Roman"/>
          <w:noProof/>
          <w:sz w:val="24"/>
          <w:szCs w:val="24"/>
          <w:lang w:eastAsia="lt-LT"/>
        </w:rPr>
        <w:drawing>
          <wp:inline distT="0" distB="0" distL="0" distR="0">
            <wp:extent cx="7870040" cy="5348087"/>
            <wp:effectExtent l="19050" t="0" r="16660" b="4963"/>
            <wp:docPr id="13" name="Paveikslėli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03446" w:rsidRPr="00DB6DCD" w:rsidRDefault="00E03446" w:rsidP="00AD1363">
      <w:pPr>
        <w:spacing w:line="360" w:lineRule="auto"/>
        <w:ind w:firstLine="426"/>
      </w:pPr>
    </w:p>
    <w:p w:rsidR="00AD1363" w:rsidRPr="00DB6DCD" w:rsidRDefault="00AD1363" w:rsidP="00DB6DCD">
      <w:pPr>
        <w:pStyle w:val="Betarp"/>
        <w:ind w:firstLine="720"/>
        <w:jc w:val="both"/>
        <w:rPr>
          <w:b/>
          <w:color w:val="5B9BD5"/>
        </w:rPr>
      </w:pPr>
      <w:r w:rsidRPr="00DB6DCD">
        <w:rPr>
          <w:rFonts w:ascii="Times New Roman" w:hAnsi="Times New Roman"/>
          <w:b/>
          <w:sz w:val="24"/>
          <w:szCs w:val="24"/>
        </w:rPr>
        <w:t xml:space="preserve">8.3. Ugdymo programos kartojimas               </w:t>
      </w:r>
    </w:p>
    <w:p w:rsidR="00AD1363" w:rsidRDefault="00AD1363" w:rsidP="00DB6DCD">
      <w:pPr>
        <w:pStyle w:val="Betarp"/>
        <w:ind w:firstLine="720"/>
        <w:jc w:val="both"/>
      </w:pPr>
      <w:r w:rsidRPr="00DB6DCD">
        <w:rPr>
          <w:rFonts w:ascii="Times New Roman" w:hAnsi="Times New Roman"/>
          <w:sz w:val="24"/>
          <w:szCs w:val="24"/>
        </w:rPr>
        <w:t>Dalis mokinių paliekama kartoti ugdymo programą. 2019–2020 m. m. daugiau vaikų palikta kartoti ugdymo programą nei</w:t>
      </w:r>
      <w:r w:rsidRPr="00DB6DCD">
        <w:rPr>
          <w:rFonts w:ascii="Times New Roman" w:hAnsi="Times New Roman"/>
          <w:sz w:val="24"/>
          <w:szCs w:val="24"/>
        </w:rPr>
        <w:br/>
        <w:t>2016–2017 m. m.</w:t>
      </w:r>
    </w:p>
    <w:p w:rsidR="00BD3DE9" w:rsidRPr="002B1682" w:rsidRDefault="00BD3DE9" w:rsidP="00DB6DCD">
      <w:pPr>
        <w:pStyle w:val="Betarp"/>
        <w:ind w:firstLine="720"/>
        <w:jc w:val="both"/>
        <w:rPr>
          <w:rFonts w:ascii="Times New Roman" w:hAnsi="Times New Roman"/>
          <w:sz w:val="24"/>
          <w:szCs w:val="24"/>
        </w:rPr>
      </w:pPr>
    </w:p>
    <w:p w:rsidR="00AD1363" w:rsidRPr="00DB6DCD" w:rsidRDefault="008913E3" w:rsidP="00DB6DCD">
      <w:pPr>
        <w:pStyle w:val="Betarp"/>
        <w:ind w:firstLine="720"/>
        <w:jc w:val="both"/>
        <w:rPr>
          <w:rFonts w:ascii="Times New Roman" w:hAnsi="Times New Roman"/>
          <w:sz w:val="24"/>
          <w:szCs w:val="24"/>
        </w:rPr>
      </w:pPr>
      <w:r>
        <w:rPr>
          <w:rFonts w:ascii="Times New Roman" w:hAnsi="Times New Roman"/>
          <w:sz w:val="24"/>
          <w:szCs w:val="24"/>
        </w:rPr>
        <w:t>2</w:t>
      </w:r>
      <w:r w:rsidR="00151784" w:rsidRPr="00DB6DCD">
        <w:rPr>
          <w:rFonts w:ascii="Times New Roman" w:hAnsi="Times New Roman"/>
          <w:sz w:val="24"/>
          <w:szCs w:val="24"/>
        </w:rPr>
        <w:t>5</w:t>
      </w:r>
      <w:r w:rsidR="00AD1363" w:rsidRPr="00DB6DCD">
        <w:rPr>
          <w:rFonts w:ascii="Times New Roman" w:hAnsi="Times New Roman"/>
          <w:sz w:val="24"/>
          <w:szCs w:val="24"/>
        </w:rPr>
        <w:t xml:space="preserve"> lentelė. Palikta kartoti ugdymo programą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3036"/>
        <w:gridCol w:w="4476"/>
      </w:tblGrid>
      <w:tr w:rsidR="00AD1363" w:rsidTr="00AD1363">
        <w:trPr>
          <w:trHeight w:val="331"/>
        </w:trPr>
        <w:tc>
          <w:tcPr>
            <w:tcW w:w="5287" w:type="dxa"/>
            <w:vMerge w:val="restart"/>
            <w:tcBorders>
              <w:top w:val="single" w:sz="4" w:space="0" w:color="auto"/>
              <w:left w:val="single" w:sz="4" w:space="0" w:color="auto"/>
              <w:bottom w:val="single" w:sz="4" w:space="0" w:color="auto"/>
              <w:right w:val="single" w:sz="4" w:space="0" w:color="auto"/>
            </w:tcBorders>
            <w:hideMark/>
          </w:tcPr>
          <w:p w:rsidR="00AD1363" w:rsidRPr="002B1682" w:rsidRDefault="00AD1363">
            <w:pPr>
              <w:jc w:val="center"/>
            </w:pPr>
            <w:r w:rsidRPr="002B1682">
              <w:t>Mokslo metai</w:t>
            </w:r>
          </w:p>
        </w:tc>
        <w:tc>
          <w:tcPr>
            <w:tcW w:w="7613" w:type="dxa"/>
            <w:gridSpan w:val="2"/>
            <w:tcBorders>
              <w:top w:val="single" w:sz="4" w:space="0" w:color="auto"/>
              <w:left w:val="single" w:sz="4" w:space="0" w:color="auto"/>
              <w:bottom w:val="single" w:sz="4" w:space="0" w:color="auto"/>
              <w:right w:val="single" w:sz="4" w:space="0" w:color="auto"/>
            </w:tcBorders>
            <w:hideMark/>
          </w:tcPr>
          <w:p w:rsidR="00AD1363" w:rsidRPr="002B1682" w:rsidRDefault="00AD1363">
            <w:pPr>
              <w:jc w:val="center"/>
            </w:pPr>
            <w:r w:rsidRPr="002B1682">
              <w:t>Palikta kartoti programą</w:t>
            </w:r>
          </w:p>
        </w:tc>
      </w:tr>
      <w:tr w:rsidR="00AD1363" w:rsidTr="00AD1363">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363" w:rsidRPr="002B1682" w:rsidRDefault="00AD1363"/>
        </w:tc>
        <w:tc>
          <w:tcPr>
            <w:tcW w:w="3071" w:type="dxa"/>
            <w:tcBorders>
              <w:top w:val="single" w:sz="4" w:space="0" w:color="auto"/>
              <w:left w:val="single" w:sz="4" w:space="0" w:color="auto"/>
              <w:bottom w:val="single" w:sz="4" w:space="0" w:color="auto"/>
              <w:right w:val="single" w:sz="4" w:space="0" w:color="auto"/>
            </w:tcBorders>
            <w:hideMark/>
          </w:tcPr>
          <w:p w:rsidR="00AD1363" w:rsidRPr="002B1682" w:rsidRDefault="00AD1363">
            <w:pPr>
              <w:jc w:val="center"/>
            </w:pPr>
            <w:r w:rsidRPr="002B1682">
              <w:t>Mokinių skaičius</w:t>
            </w:r>
          </w:p>
        </w:tc>
        <w:tc>
          <w:tcPr>
            <w:tcW w:w="4542" w:type="dxa"/>
            <w:tcBorders>
              <w:top w:val="single" w:sz="4" w:space="0" w:color="auto"/>
              <w:left w:val="single" w:sz="4" w:space="0" w:color="auto"/>
              <w:bottom w:val="single" w:sz="4" w:space="0" w:color="auto"/>
              <w:right w:val="single" w:sz="4" w:space="0" w:color="auto"/>
            </w:tcBorders>
            <w:hideMark/>
          </w:tcPr>
          <w:p w:rsidR="00AD1363" w:rsidRPr="002B1682" w:rsidRDefault="00AD1363">
            <w:pPr>
              <w:jc w:val="center"/>
            </w:pPr>
            <w:r w:rsidRPr="002B1682">
              <w:t>Proc</w:t>
            </w:r>
            <w:r w:rsidR="00B37604" w:rsidRPr="002B1682">
              <w:t>.</w:t>
            </w:r>
          </w:p>
        </w:tc>
      </w:tr>
      <w:tr w:rsidR="00AD1363" w:rsidTr="00AD1363">
        <w:tc>
          <w:tcPr>
            <w:tcW w:w="5287"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2016–2017</w:t>
            </w:r>
          </w:p>
        </w:tc>
        <w:tc>
          <w:tcPr>
            <w:tcW w:w="3071"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11</w:t>
            </w:r>
          </w:p>
        </w:tc>
        <w:tc>
          <w:tcPr>
            <w:tcW w:w="4542"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0,35 %</w:t>
            </w:r>
          </w:p>
        </w:tc>
      </w:tr>
      <w:tr w:rsidR="00AD1363" w:rsidTr="00AD1363">
        <w:tc>
          <w:tcPr>
            <w:tcW w:w="5287"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2017–2018</w:t>
            </w:r>
          </w:p>
        </w:tc>
        <w:tc>
          <w:tcPr>
            <w:tcW w:w="3071"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9</w:t>
            </w:r>
          </w:p>
        </w:tc>
        <w:tc>
          <w:tcPr>
            <w:tcW w:w="4542"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0,30 %</w:t>
            </w:r>
          </w:p>
        </w:tc>
      </w:tr>
      <w:tr w:rsidR="00AD1363" w:rsidTr="00AD1363">
        <w:tc>
          <w:tcPr>
            <w:tcW w:w="5287"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2018–2019</w:t>
            </w:r>
          </w:p>
        </w:tc>
        <w:tc>
          <w:tcPr>
            <w:tcW w:w="3071"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13</w:t>
            </w:r>
          </w:p>
        </w:tc>
        <w:tc>
          <w:tcPr>
            <w:tcW w:w="4542"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0,44 %</w:t>
            </w:r>
          </w:p>
        </w:tc>
      </w:tr>
      <w:tr w:rsidR="00AD1363" w:rsidTr="00AD1363">
        <w:tc>
          <w:tcPr>
            <w:tcW w:w="5287"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2019–2020</w:t>
            </w:r>
          </w:p>
        </w:tc>
        <w:tc>
          <w:tcPr>
            <w:tcW w:w="3071"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21</w:t>
            </w:r>
          </w:p>
        </w:tc>
        <w:tc>
          <w:tcPr>
            <w:tcW w:w="4542"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0,73</w:t>
            </w:r>
            <w:r w:rsidR="00B37604">
              <w:t xml:space="preserve"> </w:t>
            </w:r>
            <w:r>
              <w:rPr>
                <w:lang w:val="en-US"/>
              </w:rPr>
              <w:t>%</w:t>
            </w:r>
          </w:p>
        </w:tc>
      </w:tr>
    </w:tbl>
    <w:p w:rsidR="00AD1363" w:rsidRPr="00981FB0" w:rsidRDefault="00AD1363" w:rsidP="00DB6DCD">
      <w:pPr>
        <w:pStyle w:val="Betarp"/>
        <w:jc w:val="both"/>
      </w:pPr>
    </w:p>
    <w:p w:rsidR="00AD1363" w:rsidRPr="00981FB0" w:rsidRDefault="00AD1363" w:rsidP="00DB6DCD">
      <w:pPr>
        <w:pStyle w:val="Betarp"/>
        <w:ind w:firstLine="720"/>
        <w:jc w:val="both"/>
        <w:rPr>
          <w:b/>
          <w:color w:val="5B9BD5"/>
        </w:rPr>
      </w:pPr>
      <w:r w:rsidRPr="00DB6DCD">
        <w:rPr>
          <w:rFonts w:ascii="Times New Roman" w:hAnsi="Times New Roman"/>
          <w:b/>
          <w:sz w:val="24"/>
          <w:szCs w:val="24"/>
        </w:rPr>
        <w:t xml:space="preserve">8.4. Pagalbos teikimas      </w:t>
      </w:r>
    </w:p>
    <w:p w:rsidR="00AD1363" w:rsidRPr="00981FB0" w:rsidRDefault="00AD1363" w:rsidP="00DB6DCD">
      <w:pPr>
        <w:pStyle w:val="Betarp"/>
        <w:ind w:firstLine="720"/>
        <w:jc w:val="both"/>
      </w:pPr>
      <w:r w:rsidRPr="00DB6DCD">
        <w:rPr>
          <w:rFonts w:ascii="Times New Roman" w:hAnsi="Times New Roman"/>
          <w:sz w:val="24"/>
          <w:szCs w:val="24"/>
        </w:rPr>
        <w:t xml:space="preserve">Mažėjant mokinių skaičiui bendrojo ugdymo mokyklose specialiųjų </w:t>
      </w:r>
      <w:r w:rsidR="00F139B6" w:rsidRPr="00DB6DCD">
        <w:rPr>
          <w:rFonts w:ascii="Times New Roman" w:hAnsi="Times New Roman"/>
          <w:sz w:val="24"/>
          <w:szCs w:val="24"/>
        </w:rPr>
        <w:t xml:space="preserve">ugdymosi </w:t>
      </w:r>
      <w:r w:rsidRPr="00DB6DCD">
        <w:rPr>
          <w:rFonts w:ascii="Times New Roman" w:hAnsi="Times New Roman"/>
          <w:sz w:val="24"/>
          <w:szCs w:val="24"/>
        </w:rPr>
        <w:t xml:space="preserve">poreikių </w:t>
      </w:r>
      <w:r w:rsidR="00F139B6" w:rsidRPr="00DB6DCD">
        <w:rPr>
          <w:rFonts w:ascii="Times New Roman" w:hAnsi="Times New Roman"/>
          <w:sz w:val="24"/>
          <w:szCs w:val="24"/>
        </w:rPr>
        <w:t xml:space="preserve">turinčių </w:t>
      </w:r>
      <w:r w:rsidRPr="00DB6DCD">
        <w:rPr>
          <w:rFonts w:ascii="Times New Roman" w:hAnsi="Times New Roman"/>
          <w:sz w:val="24"/>
          <w:szCs w:val="24"/>
        </w:rPr>
        <w:t xml:space="preserve">vaikų skaičius kinta nežymiai. Specialioji pedagoginė bei specialioji pagalba, socialinė pedagoginė pagalba mokiniams teikiama mokyklose </w:t>
      </w:r>
      <w:r w:rsidR="00B37604">
        <w:rPr>
          <w:rFonts w:ascii="Times New Roman" w:hAnsi="Times New Roman"/>
          <w:sz w:val="24"/>
          <w:szCs w:val="24"/>
        </w:rPr>
        <w:t>ir</w:t>
      </w:r>
      <w:r w:rsidRPr="00DB6DCD">
        <w:rPr>
          <w:rFonts w:ascii="Times New Roman" w:hAnsi="Times New Roman"/>
          <w:sz w:val="24"/>
          <w:szCs w:val="24"/>
        </w:rPr>
        <w:t xml:space="preserve"> Pedagoginėje psichologinėje tarnyboje. Psichologinę pagalbą teikia mokyklų, Pedagoginės psichologinės tarnybos bei iš Europos Sąjungos struktūrinių fondų lėšų bendrai finansuojamo projekto Nr. 08.4.1-ESFA-V-416-04-0001 „Kompleksinių paslaugų šeimai teikimas Panevėžio rajono savivaldybėje“ (2017–2021 m.) psichologai, kitų įstaigų specialistai.</w:t>
      </w:r>
    </w:p>
    <w:p w:rsidR="00AD1363" w:rsidRDefault="00AD1363" w:rsidP="00DB6DCD">
      <w:pPr>
        <w:pStyle w:val="Betarp"/>
        <w:ind w:firstLine="720"/>
        <w:jc w:val="both"/>
      </w:pPr>
      <w:r w:rsidRPr="00DB6DCD">
        <w:rPr>
          <w:rFonts w:ascii="Times New Roman" w:hAnsi="Times New Roman"/>
          <w:sz w:val="24"/>
          <w:szCs w:val="24"/>
        </w:rPr>
        <w:t xml:space="preserve">Švietimo pagalbos specialistų, tenkančių 100-ui mokinių, skaičius – 1,1. Pagal šį rodiklį 2019 m., 2020 m. savivaldybė patenka tarp trečdalio savivaldybių, kuriose būklė pagal šį rodiklį geriausia </w:t>
      </w:r>
      <w:r w:rsidR="00B37604">
        <w:rPr>
          <w:rFonts w:ascii="Times New Roman" w:hAnsi="Times New Roman"/>
          <w:sz w:val="24"/>
          <w:szCs w:val="24"/>
        </w:rPr>
        <w:t>(</w:t>
      </w:r>
      <w:r w:rsidRPr="00DB6DCD">
        <w:rPr>
          <w:rFonts w:ascii="Times New Roman" w:hAnsi="Times New Roman"/>
          <w:sz w:val="24"/>
          <w:szCs w:val="24"/>
        </w:rPr>
        <w:t>2019, 2020 m. leidiniai „Lietuva. Švietimas šalyje ir regionuose“).</w:t>
      </w:r>
    </w:p>
    <w:p w:rsidR="00BD3DE9" w:rsidRPr="002B1682" w:rsidRDefault="00BD3DE9" w:rsidP="00DB6DCD">
      <w:pPr>
        <w:pStyle w:val="Betarp"/>
        <w:ind w:firstLine="720"/>
        <w:jc w:val="both"/>
        <w:rPr>
          <w:rFonts w:ascii="Times New Roman" w:hAnsi="Times New Roman"/>
          <w:sz w:val="24"/>
          <w:szCs w:val="24"/>
        </w:rPr>
      </w:pPr>
    </w:p>
    <w:p w:rsidR="00AD1363" w:rsidRPr="00B37604" w:rsidRDefault="008913E3" w:rsidP="00DB6DCD">
      <w:pPr>
        <w:pStyle w:val="Betarp"/>
        <w:ind w:firstLine="720"/>
        <w:jc w:val="both"/>
        <w:rPr>
          <w:rFonts w:ascii="Times New Roman" w:hAnsi="Times New Roman"/>
          <w:sz w:val="24"/>
          <w:szCs w:val="24"/>
        </w:rPr>
      </w:pPr>
      <w:r>
        <w:rPr>
          <w:rFonts w:ascii="Times New Roman" w:hAnsi="Times New Roman"/>
          <w:sz w:val="24"/>
          <w:szCs w:val="24"/>
        </w:rPr>
        <w:t>2</w:t>
      </w:r>
      <w:r w:rsidR="00151784" w:rsidRPr="00DB6DCD">
        <w:rPr>
          <w:rFonts w:ascii="Times New Roman" w:hAnsi="Times New Roman"/>
          <w:sz w:val="24"/>
          <w:szCs w:val="24"/>
        </w:rPr>
        <w:t>6</w:t>
      </w:r>
      <w:r w:rsidR="00AD1363" w:rsidRPr="00DB6DCD">
        <w:rPr>
          <w:rFonts w:ascii="Times New Roman" w:hAnsi="Times New Roman"/>
          <w:sz w:val="24"/>
          <w:szCs w:val="24"/>
        </w:rPr>
        <w:t xml:space="preserve"> lentelė. Pagalbą teikiantys specialistai (pareigybių skaičius) ir specialiųjų</w:t>
      </w:r>
      <w:r w:rsidR="00F139B6" w:rsidRPr="00DB6DCD">
        <w:rPr>
          <w:rFonts w:ascii="Times New Roman" w:hAnsi="Times New Roman"/>
          <w:sz w:val="24"/>
          <w:szCs w:val="24"/>
        </w:rPr>
        <w:t xml:space="preserve"> ugdymosi</w:t>
      </w:r>
      <w:r w:rsidR="00AD1363" w:rsidRPr="00DB6DCD">
        <w:rPr>
          <w:rFonts w:ascii="Times New Roman" w:hAnsi="Times New Roman"/>
          <w:sz w:val="24"/>
          <w:szCs w:val="24"/>
        </w:rPr>
        <w:t xml:space="preserve"> poreikių</w:t>
      </w:r>
      <w:r w:rsidR="00F139B6" w:rsidRPr="00DB6DCD">
        <w:rPr>
          <w:rFonts w:ascii="Times New Roman" w:hAnsi="Times New Roman"/>
          <w:sz w:val="24"/>
          <w:szCs w:val="24"/>
        </w:rPr>
        <w:t xml:space="preserve"> turinčių</w:t>
      </w:r>
      <w:r w:rsidR="00AD1363" w:rsidRPr="00DB6DCD">
        <w:rPr>
          <w:rFonts w:ascii="Times New Roman" w:hAnsi="Times New Roman"/>
          <w:sz w:val="24"/>
          <w:szCs w:val="24"/>
        </w:rPr>
        <w:t xml:space="preserve"> mokinių skaičius</w:t>
      </w:r>
    </w:p>
    <w:tbl>
      <w:tblPr>
        <w:tblpPr w:leftFromText="180" w:rightFromText="180" w:vertAnchor="text" w:tblpY="1"/>
        <w:tblOverlap w:val="never"/>
        <w:tblW w:w="0" w:type="dxa"/>
        <w:tblLayout w:type="fixed"/>
        <w:tblLook w:val="04A0" w:firstRow="1" w:lastRow="0" w:firstColumn="1" w:lastColumn="0" w:noHBand="0" w:noVBand="1"/>
      </w:tblPr>
      <w:tblGrid>
        <w:gridCol w:w="3402"/>
        <w:gridCol w:w="1701"/>
        <w:gridCol w:w="1843"/>
        <w:gridCol w:w="1843"/>
        <w:gridCol w:w="2126"/>
        <w:gridCol w:w="1985"/>
      </w:tblGrid>
      <w:tr w:rsidR="00AD1363" w:rsidTr="00AD1363">
        <w:trPr>
          <w:trHeight w:val="274"/>
        </w:trPr>
        <w:tc>
          <w:tcPr>
            <w:tcW w:w="3402"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pPr>
            <w:r w:rsidRPr="002B1682">
              <w:t>Metai</w:t>
            </w:r>
          </w:p>
        </w:tc>
        <w:tc>
          <w:tcPr>
            <w:tcW w:w="1701"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rPr>
                <w:bCs/>
              </w:rPr>
            </w:pPr>
            <w:r w:rsidRPr="002B1682">
              <w:rPr>
                <w:bCs/>
              </w:rPr>
              <w:t>2016 m.</w:t>
            </w:r>
          </w:p>
        </w:tc>
        <w:tc>
          <w:tcPr>
            <w:tcW w:w="1843"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rPr>
                <w:bCs/>
              </w:rPr>
            </w:pPr>
            <w:r w:rsidRPr="002B1682">
              <w:rPr>
                <w:bCs/>
              </w:rPr>
              <w:t>2017 m.</w:t>
            </w:r>
          </w:p>
        </w:tc>
        <w:tc>
          <w:tcPr>
            <w:tcW w:w="1843"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rPr>
                <w:bCs/>
              </w:rPr>
            </w:pPr>
            <w:r w:rsidRPr="002B1682">
              <w:rPr>
                <w:bCs/>
              </w:rPr>
              <w:t>2018 m.</w:t>
            </w:r>
          </w:p>
        </w:tc>
        <w:tc>
          <w:tcPr>
            <w:tcW w:w="2126"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rPr>
                <w:bCs/>
              </w:rPr>
            </w:pPr>
            <w:r w:rsidRPr="002B1682">
              <w:rPr>
                <w:bCs/>
              </w:rPr>
              <w:t>2019 m.</w:t>
            </w:r>
          </w:p>
        </w:tc>
        <w:tc>
          <w:tcPr>
            <w:tcW w:w="1985" w:type="dxa"/>
            <w:tcBorders>
              <w:top w:val="single" w:sz="4" w:space="0" w:color="000000"/>
              <w:left w:val="single" w:sz="4" w:space="0" w:color="000000"/>
              <w:bottom w:val="single" w:sz="4" w:space="0" w:color="000000"/>
              <w:right w:val="single" w:sz="4" w:space="0" w:color="auto"/>
            </w:tcBorders>
            <w:hideMark/>
          </w:tcPr>
          <w:p w:rsidR="00AD1363" w:rsidRPr="002B1682" w:rsidRDefault="00AD1363">
            <w:pPr>
              <w:snapToGrid w:val="0"/>
              <w:jc w:val="center"/>
              <w:rPr>
                <w:bCs/>
              </w:rPr>
            </w:pPr>
            <w:r w:rsidRPr="002B1682">
              <w:rPr>
                <w:bCs/>
              </w:rPr>
              <w:t>2020 m.</w:t>
            </w:r>
          </w:p>
        </w:tc>
      </w:tr>
      <w:tr w:rsidR="00AD1363" w:rsidTr="00AD1363">
        <w:trPr>
          <w:trHeight w:val="292"/>
        </w:trPr>
        <w:tc>
          <w:tcPr>
            <w:tcW w:w="3402" w:type="dxa"/>
            <w:tcBorders>
              <w:top w:val="single" w:sz="4" w:space="0" w:color="000000"/>
              <w:left w:val="single" w:sz="4" w:space="0" w:color="000000"/>
              <w:bottom w:val="single" w:sz="4" w:space="0" w:color="000000"/>
              <w:right w:val="nil"/>
            </w:tcBorders>
            <w:hideMark/>
          </w:tcPr>
          <w:p w:rsidR="00AD1363" w:rsidRDefault="00AD1363">
            <w:pPr>
              <w:snapToGrid w:val="0"/>
              <w:jc w:val="both"/>
            </w:pPr>
            <w:r>
              <w:t xml:space="preserve">Socialiniai pedagogai </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10,5</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10,5</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10,5</w:t>
            </w:r>
          </w:p>
        </w:tc>
        <w:tc>
          <w:tcPr>
            <w:tcW w:w="2126"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10,5</w:t>
            </w:r>
          </w:p>
        </w:tc>
        <w:tc>
          <w:tcPr>
            <w:tcW w:w="1985" w:type="dxa"/>
            <w:tcBorders>
              <w:top w:val="single" w:sz="4" w:space="0" w:color="000000"/>
              <w:left w:val="single" w:sz="4" w:space="0" w:color="000000"/>
              <w:bottom w:val="single" w:sz="4" w:space="0" w:color="000000"/>
              <w:right w:val="single" w:sz="4" w:space="0" w:color="auto"/>
            </w:tcBorders>
            <w:hideMark/>
          </w:tcPr>
          <w:p w:rsidR="00AD1363" w:rsidRDefault="00AD1363">
            <w:pPr>
              <w:snapToGrid w:val="0"/>
              <w:jc w:val="center"/>
            </w:pPr>
            <w:r>
              <w:t>10,75</w:t>
            </w:r>
          </w:p>
        </w:tc>
      </w:tr>
      <w:tr w:rsidR="00AD1363" w:rsidTr="00AD1363">
        <w:trPr>
          <w:trHeight w:val="268"/>
        </w:trPr>
        <w:tc>
          <w:tcPr>
            <w:tcW w:w="3402" w:type="dxa"/>
            <w:tcBorders>
              <w:top w:val="single" w:sz="4" w:space="0" w:color="000000"/>
              <w:left w:val="single" w:sz="4" w:space="0" w:color="000000"/>
              <w:bottom w:val="single" w:sz="4" w:space="0" w:color="000000"/>
              <w:right w:val="nil"/>
            </w:tcBorders>
            <w:hideMark/>
          </w:tcPr>
          <w:p w:rsidR="00AD1363" w:rsidRDefault="00AD1363">
            <w:pPr>
              <w:snapToGrid w:val="0"/>
              <w:jc w:val="both"/>
            </w:pPr>
            <w:r>
              <w:t>Logopedai</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20</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19,1</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19,65</w:t>
            </w:r>
          </w:p>
        </w:tc>
        <w:tc>
          <w:tcPr>
            <w:tcW w:w="2126"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19,75</w:t>
            </w:r>
          </w:p>
        </w:tc>
        <w:tc>
          <w:tcPr>
            <w:tcW w:w="1985" w:type="dxa"/>
            <w:tcBorders>
              <w:top w:val="single" w:sz="4" w:space="0" w:color="000000"/>
              <w:left w:val="single" w:sz="4" w:space="0" w:color="000000"/>
              <w:bottom w:val="single" w:sz="4" w:space="0" w:color="000000"/>
              <w:right w:val="single" w:sz="4" w:space="0" w:color="auto"/>
            </w:tcBorders>
            <w:hideMark/>
          </w:tcPr>
          <w:p w:rsidR="00AD1363" w:rsidRDefault="00AD1363">
            <w:pPr>
              <w:snapToGrid w:val="0"/>
              <w:jc w:val="center"/>
            </w:pPr>
            <w:r>
              <w:t>19,88</w:t>
            </w:r>
          </w:p>
        </w:tc>
      </w:tr>
      <w:tr w:rsidR="00AD1363" w:rsidTr="00AD1363">
        <w:trPr>
          <w:trHeight w:val="274"/>
        </w:trPr>
        <w:tc>
          <w:tcPr>
            <w:tcW w:w="3402" w:type="dxa"/>
            <w:tcBorders>
              <w:top w:val="single" w:sz="4" w:space="0" w:color="000000"/>
              <w:left w:val="single" w:sz="4" w:space="0" w:color="000000"/>
              <w:bottom w:val="single" w:sz="4" w:space="0" w:color="000000"/>
              <w:right w:val="nil"/>
            </w:tcBorders>
            <w:hideMark/>
          </w:tcPr>
          <w:p w:rsidR="00AD1363" w:rsidRDefault="00AD1363">
            <w:pPr>
              <w:snapToGrid w:val="0"/>
              <w:jc w:val="both"/>
            </w:pPr>
            <w:r>
              <w:t>Specialieji pedagogai</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9,45</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11,1</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9,85</w:t>
            </w:r>
          </w:p>
        </w:tc>
        <w:tc>
          <w:tcPr>
            <w:tcW w:w="2126"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9,46</w:t>
            </w:r>
          </w:p>
        </w:tc>
        <w:tc>
          <w:tcPr>
            <w:tcW w:w="1985" w:type="dxa"/>
            <w:tcBorders>
              <w:top w:val="single" w:sz="4" w:space="0" w:color="000000"/>
              <w:left w:val="single" w:sz="4" w:space="0" w:color="000000"/>
              <w:bottom w:val="single" w:sz="4" w:space="0" w:color="000000"/>
              <w:right w:val="single" w:sz="4" w:space="0" w:color="auto"/>
            </w:tcBorders>
            <w:hideMark/>
          </w:tcPr>
          <w:p w:rsidR="00AD1363" w:rsidRDefault="00AD1363">
            <w:pPr>
              <w:snapToGrid w:val="0"/>
              <w:jc w:val="center"/>
            </w:pPr>
            <w:r>
              <w:t>9,52</w:t>
            </w:r>
          </w:p>
        </w:tc>
      </w:tr>
      <w:tr w:rsidR="00AD1363" w:rsidTr="00AD1363">
        <w:trPr>
          <w:trHeight w:val="150"/>
        </w:trPr>
        <w:tc>
          <w:tcPr>
            <w:tcW w:w="3402" w:type="dxa"/>
            <w:tcBorders>
              <w:top w:val="single" w:sz="4" w:space="0" w:color="000000"/>
              <w:left w:val="single" w:sz="4" w:space="0" w:color="000000"/>
              <w:bottom w:val="single" w:sz="4" w:space="0" w:color="000000"/>
              <w:right w:val="nil"/>
            </w:tcBorders>
            <w:hideMark/>
          </w:tcPr>
          <w:p w:rsidR="00AD1363" w:rsidRDefault="00AD1363">
            <w:pPr>
              <w:snapToGrid w:val="0"/>
              <w:jc w:val="both"/>
            </w:pPr>
            <w:r>
              <w:t>Mokytojo padėjėjai</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7</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9,5</w:t>
            </w:r>
          </w:p>
        </w:tc>
        <w:tc>
          <w:tcPr>
            <w:tcW w:w="1843"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9,37</w:t>
            </w:r>
          </w:p>
        </w:tc>
        <w:tc>
          <w:tcPr>
            <w:tcW w:w="2126"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12</w:t>
            </w:r>
          </w:p>
        </w:tc>
        <w:tc>
          <w:tcPr>
            <w:tcW w:w="1985" w:type="dxa"/>
            <w:tcBorders>
              <w:top w:val="single" w:sz="4" w:space="0" w:color="000000"/>
              <w:left w:val="single" w:sz="4" w:space="0" w:color="000000"/>
              <w:bottom w:val="single" w:sz="4" w:space="0" w:color="000000"/>
              <w:right w:val="single" w:sz="4" w:space="0" w:color="auto"/>
            </w:tcBorders>
            <w:hideMark/>
          </w:tcPr>
          <w:p w:rsidR="00AD1363" w:rsidRDefault="00AD1363">
            <w:pPr>
              <w:snapToGrid w:val="0"/>
              <w:jc w:val="center"/>
            </w:pPr>
            <w:r>
              <w:t>16,4</w:t>
            </w:r>
          </w:p>
        </w:tc>
      </w:tr>
      <w:tr w:rsidR="00AD1363" w:rsidTr="00AD1363">
        <w:trPr>
          <w:trHeight w:val="254"/>
        </w:trPr>
        <w:tc>
          <w:tcPr>
            <w:tcW w:w="3402" w:type="dxa"/>
            <w:tcBorders>
              <w:top w:val="single" w:sz="4" w:space="0" w:color="000000"/>
              <w:left w:val="single" w:sz="4" w:space="0" w:color="000000"/>
              <w:bottom w:val="single" w:sz="4" w:space="0" w:color="auto"/>
              <w:right w:val="nil"/>
            </w:tcBorders>
            <w:hideMark/>
          </w:tcPr>
          <w:p w:rsidR="00AD1363" w:rsidRDefault="00AD1363">
            <w:pPr>
              <w:snapToGrid w:val="0"/>
              <w:jc w:val="both"/>
            </w:pPr>
            <w:r>
              <w:t>Psichologai</w:t>
            </w:r>
          </w:p>
        </w:tc>
        <w:tc>
          <w:tcPr>
            <w:tcW w:w="1701" w:type="dxa"/>
            <w:tcBorders>
              <w:top w:val="single" w:sz="4" w:space="0" w:color="000000"/>
              <w:left w:val="single" w:sz="4" w:space="0" w:color="000000"/>
              <w:bottom w:val="single" w:sz="4" w:space="0" w:color="auto"/>
              <w:right w:val="nil"/>
            </w:tcBorders>
            <w:hideMark/>
          </w:tcPr>
          <w:p w:rsidR="00AD1363" w:rsidRDefault="00AD1363">
            <w:pPr>
              <w:snapToGrid w:val="0"/>
              <w:jc w:val="center"/>
            </w:pPr>
            <w:r>
              <w:t>5,25</w:t>
            </w:r>
          </w:p>
        </w:tc>
        <w:tc>
          <w:tcPr>
            <w:tcW w:w="1843" w:type="dxa"/>
            <w:tcBorders>
              <w:top w:val="single" w:sz="4" w:space="0" w:color="000000"/>
              <w:left w:val="single" w:sz="4" w:space="0" w:color="000000"/>
              <w:bottom w:val="single" w:sz="4" w:space="0" w:color="auto"/>
              <w:right w:val="nil"/>
            </w:tcBorders>
            <w:hideMark/>
          </w:tcPr>
          <w:p w:rsidR="00AD1363" w:rsidRDefault="00AD1363">
            <w:pPr>
              <w:snapToGrid w:val="0"/>
              <w:jc w:val="center"/>
            </w:pPr>
            <w:r>
              <w:t>3,5</w:t>
            </w:r>
          </w:p>
        </w:tc>
        <w:tc>
          <w:tcPr>
            <w:tcW w:w="1843" w:type="dxa"/>
            <w:tcBorders>
              <w:top w:val="single" w:sz="4" w:space="0" w:color="000000"/>
              <w:left w:val="single" w:sz="4" w:space="0" w:color="000000"/>
              <w:bottom w:val="single" w:sz="4" w:space="0" w:color="auto"/>
              <w:right w:val="nil"/>
            </w:tcBorders>
            <w:hideMark/>
          </w:tcPr>
          <w:p w:rsidR="00AD1363" w:rsidRDefault="00AD1363">
            <w:pPr>
              <w:snapToGrid w:val="0"/>
              <w:jc w:val="center"/>
            </w:pPr>
            <w:r>
              <w:t>3,25</w:t>
            </w:r>
          </w:p>
        </w:tc>
        <w:tc>
          <w:tcPr>
            <w:tcW w:w="2126" w:type="dxa"/>
            <w:tcBorders>
              <w:top w:val="single" w:sz="4" w:space="0" w:color="000000"/>
              <w:left w:val="single" w:sz="4" w:space="0" w:color="000000"/>
              <w:bottom w:val="single" w:sz="4" w:space="0" w:color="auto"/>
              <w:right w:val="nil"/>
            </w:tcBorders>
            <w:hideMark/>
          </w:tcPr>
          <w:p w:rsidR="00AD1363" w:rsidRDefault="00AD1363">
            <w:pPr>
              <w:snapToGrid w:val="0"/>
              <w:jc w:val="center"/>
            </w:pPr>
            <w:r>
              <w:t>3,25</w:t>
            </w:r>
          </w:p>
        </w:tc>
        <w:tc>
          <w:tcPr>
            <w:tcW w:w="1985" w:type="dxa"/>
            <w:tcBorders>
              <w:top w:val="single" w:sz="4" w:space="0" w:color="000000"/>
              <w:left w:val="single" w:sz="4" w:space="0" w:color="000000"/>
              <w:bottom w:val="single" w:sz="4" w:space="0" w:color="auto"/>
              <w:right w:val="single" w:sz="4" w:space="0" w:color="auto"/>
            </w:tcBorders>
            <w:hideMark/>
          </w:tcPr>
          <w:p w:rsidR="00AD1363" w:rsidRDefault="00AD1363">
            <w:pPr>
              <w:snapToGrid w:val="0"/>
              <w:jc w:val="center"/>
            </w:pPr>
            <w:r>
              <w:t>3,25</w:t>
            </w:r>
          </w:p>
        </w:tc>
      </w:tr>
      <w:tr w:rsidR="00AD1363" w:rsidTr="00AD1363">
        <w:trPr>
          <w:trHeight w:val="284"/>
        </w:trPr>
        <w:tc>
          <w:tcPr>
            <w:tcW w:w="3402" w:type="dxa"/>
            <w:tcBorders>
              <w:top w:val="single" w:sz="4" w:space="0" w:color="auto"/>
              <w:left w:val="single" w:sz="4" w:space="0" w:color="000000"/>
              <w:bottom w:val="single" w:sz="4" w:space="0" w:color="auto"/>
              <w:right w:val="nil"/>
            </w:tcBorders>
            <w:hideMark/>
          </w:tcPr>
          <w:p w:rsidR="00AD1363" w:rsidRDefault="00AD1363">
            <w:pPr>
              <w:snapToGrid w:val="0"/>
              <w:jc w:val="both"/>
            </w:pPr>
            <w:r>
              <w:t>Spec. poreikių mokinių skaičius</w:t>
            </w:r>
          </w:p>
        </w:tc>
        <w:tc>
          <w:tcPr>
            <w:tcW w:w="1701" w:type="dxa"/>
            <w:tcBorders>
              <w:top w:val="single" w:sz="4" w:space="0" w:color="auto"/>
              <w:left w:val="single" w:sz="4" w:space="0" w:color="000000"/>
              <w:bottom w:val="single" w:sz="4" w:space="0" w:color="auto"/>
              <w:right w:val="nil"/>
            </w:tcBorders>
            <w:hideMark/>
          </w:tcPr>
          <w:p w:rsidR="00AD1363" w:rsidRDefault="00AD1363">
            <w:pPr>
              <w:snapToGrid w:val="0"/>
              <w:jc w:val="center"/>
            </w:pPr>
            <w:r>
              <w:t>1 147</w:t>
            </w:r>
          </w:p>
        </w:tc>
        <w:tc>
          <w:tcPr>
            <w:tcW w:w="1843" w:type="dxa"/>
            <w:tcBorders>
              <w:top w:val="single" w:sz="4" w:space="0" w:color="auto"/>
              <w:left w:val="single" w:sz="4" w:space="0" w:color="000000"/>
              <w:bottom w:val="single" w:sz="4" w:space="0" w:color="auto"/>
              <w:right w:val="nil"/>
            </w:tcBorders>
            <w:hideMark/>
          </w:tcPr>
          <w:p w:rsidR="00AD1363" w:rsidRDefault="00AD1363">
            <w:pPr>
              <w:snapToGrid w:val="0"/>
              <w:jc w:val="center"/>
            </w:pPr>
            <w:r>
              <w:t>1 092</w:t>
            </w:r>
          </w:p>
        </w:tc>
        <w:tc>
          <w:tcPr>
            <w:tcW w:w="1843" w:type="dxa"/>
            <w:tcBorders>
              <w:top w:val="single" w:sz="4" w:space="0" w:color="auto"/>
              <w:left w:val="single" w:sz="4" w:space="0" w:color="000000"/>
              <w:bottom w:val="single" w:sz="4" w:space="0" w:color="auto"/>
              <w:right w:val="nil"/>
            </w:tcBorders>
            <w:hideMark/>
          </w:tcPr>
          <w:p w:rsidR="00AD1363" w:rsidRDefault="00AD1363">
            <w:pPr>
              <w:snapToGrid w:val="0"/>
              <w:jc w:val="center"/>
            </w:pPr>
            <w:r>
              <w:t>1 019</w:t>
            </w:r>
          </w:p>
        </w:tc>
        <w:tc>
          <w:tcPr>
            <w:tcW w:w="2126" w:type="dxa"/>
            <w:tcBorders>
              <w:top w:val="single" w:sz="4" w:space="0" w:color="auto"/>
              <w:left w:val="single" w:sz="4" w:space="0" w:color="000000"/>
              <w:bottom w:val="single" w:sz="4" w:space="0" w:color="auto"/>
              <w:right w:val="nil"/>
            </w:tcBorders>
            <w:hideMark/>
          </w:tcPr>
          <w:p w:rsidR="00AD1363" w:rsidRDefault="00AD1363">
            <w:pPr>
              <w:snapToGrid w:val="0"/>
              <w:jc w:val="center"/>
            </w:pPr>
            <w:r>
              <w:t>1 090</w:t>
            </w:r>
          </w:p>
        </w:tc>
        <w:tc>
          <w:tcPr>
            <w:tcW w:w="1985" w:type="dxa"/>
            <w:tcBorders>
              <w:top w:val="single" w:sz="4" w:space="0" w:color="auto"/>
              <w:left w:val="single" w:sz="4" w:space="0" w:color="000000"/>
              <w:bottom w:val="single" w:sz="4" w:space="0" w:color="auto"/>
              <w:right w:val="single" w:sz="4" w:space="0" w:color="auto"/>
            </w:tcBorders>
            <w:hideMark/>
          </w:tcPr>
          <w:p w:rsidR="00AD1363" w:rsidRDefault="00AD1363">
            <w:pPr>
              <w:snapToGrid w:val="0"/>
              <w:jc w:val="center"/>
            </w:pPr>
            <w:r>
              <w:t>1 101</w:t>
            </w:r>
          </w:p>
        </w:tc>
      </w:tr>
    </w:tbl>
    <w:p w:rsidR="00AD1363" w:rsidRDefault="00AD1363" w:rsidP="00AD1363">
      <w:pPr>
        <w:jc w:val="both"/>
      </w:pPr>
    </w:p>
    <w:p w:rsidR="008913E3" w:rsidRDefault="008913E3" w:rsidP="00AD1363">
      <w:pPr>
        <w:jc w:val="both"/>
      </w:pPr>
    </w:p>
    <w:p w:rsidR="008913E3" w:rsidRPr="00DB6DCD" w:rsidRDefault="008913E3" w:rsidP="00AD1363">
      <w:pPr>
        <w:jc w:val="both"/>
      </w:pPr>
    </w:p>
    <w:p w:rsidR="00BD3DE9" w:rsidRPr="00DB6DCD" w:rsidRDefault="008913E3" w:rsidP="00F661C7">
      <w:pPr>
        <w:pStyle w:val="Betarp"/>
        <w:ind w:firstLine="720"/>
        <w:rPr>
          <w:rFonts w:ascii="Times New Roman" w:hAnsi="Times New Roman"/>
          <w:sz w:val="24"/>
          <w:szCs w:val="24"/>
        </w:rPr>
      </w:pPr>
      <w:r>
        <w:rPr>
          <w:rFonts w:ascii="Times New Roman" w:hAnsi="Times New Roman"/>
          <w:sz w:val="24"/>
          <w:szCs w:val="24"/>
        </w:rPr>
        <w:lastRenderedPageBreak/>
        <w:t>2</w:t>
      </w:r>
      <w:r w:rsidR="00151784" w:rsidRPr="00DB6DCD">
        <w:rPr>
          <w:rFonts w:ascii="Times New Roman" w:hAnsi="Times New Roman"/>
          <w:sz w:val="24"/>
          <w:szCs w:val="24"/>
        </w:rPr>
        <w:t>7</w:t>
      </w:r>
      <w:r w:rsidR="00AD1363" w:rsidRPr="00DB6DCD">
        <w:rPr>
          <w:rFonts w:ascii="Times New Roman" w:hAnsi="Times New Roman"/>
          <w:sz w:val="24"/>
          <w:szCs w:val="24"/>
        </w:rPr>
        <w:t xml:space="preserve"> lentelė. Pedagoginės psichologinės tarnybos specialistų teikiama pagalba</w:t>
      </w:r>
    </w:p>
    <w:tbl>
      <w:tblPr>
        <w:tblW w:w="0" w:type="dxa"/>
        <w:tblInd w:w="108" w:type="dxa"/>
        <w:tblLayout w:type="fixed"/>
        <w:tblLook w:val="04A0" w:firstRow="1" w:lastRow="0" w:firstColumn="1" w:lastColumn="0" w:noHBand="0" w:noVBand="1"/>
      </w:tblPr>
      <w:tblGrid>
        <w:gridCol w:w="5387"/>
        <w:gridCol w:w="1417"/>
        <w:gridCol w:w="1701"/>
        <w:gridCol w:w="1701"/>
        <w:gridCol w:w="2694"/>
      </w:tblGrid>
      <w:tr w:rsidR="00AD1363" w:rsidTr="00AD1363">
        <w:trPr>
          <w:trHeight w:val="143"/>
        </w:trPr>
        <w:tc>
          <w:tcPr>
            <w:tcW w:w="5387"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pPr>
            <w:r w:rsidRPr="002B1682">
              <w:t>Metai</w:t>
            </w:r>
          </w:p>
        </w:tc>
        <w:tc>
          <w:tcPr>
            <w:tcW w:w="1417"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rPr>
                <w:bCs/>
              </w:rPr>
            </w:pPr>
            <w:r w:rsidRPr="002B1682">
              <w:rPr>
                <w:bCs/>
              </w:rPr>
              <w:t>2016 m.</w:t>
            </w:r>
          </w:p>
        </w:tc>
        <w:tc>
          <w:tcPr>
            <w:tcW w:w="1701"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rPr>
                <w:bCs/>
              </w:rPr>
            </w:pPr>
            <w:r w:rsidRPr="002B1682">
              <w:rPr>
                <w:bCs/>
              </w:rPr>
              <w:t>2017 m.</w:t>
            </w:r>
          </w:p>
        </w:tc>
        <w:tc>
          <w:tcPr>
            <w:tcW w:w="1701" w:type="dxa"/>
            <w:tcBorders>
              <w:top w:val="single" w:sz="4" w:space="0" w:color="000000"/>
              <w:left w:val="single" w:sz="4" w:space="0" w:color="000000"/>
              <w:bottom w:val="single" w:sz="4" w:space="0" w:color="000000"/>
              <w:right w:val="nil"/>
            </w:tcBorders>
            <w:hideMark/>
          </w:tcPr>
          <w:p w:rsidR="00AD1363" w:rsidRPr="002B1682" w:rsidRDefault="00AD1363">
            <w:pPr>
              <w:snapToGrid w:val="0"/>
              <w:jc w:val="center"/>
              <w:rPr>
                <w:bCs/>
              </w:rPr>
            </w:pPr>
            <w:r w:rsidRPr="002B1682">
              <w:rPr>
                <w:bCs/>
              </w:rPr>
              <w:t>2018 m.</w:t>
            </w:r>
          </w:p>
        </w:tc>
        <w:tc>
          <w:tcPr>
            <w:tcW w:w="2694" w:type="dxa"/>
            <w:tcBorders>
              <w:top w:val="single" w:sz="4" w:space="0" w:color="000000"/>
              <w:left w:val="single" w:sz="4" w:space="0" w:color="000000"/>
              <w:bottom w:val="single" w:sz="4" w:space="0" w:color="000000"/>
              <w:right w:val="single" w:sz="4" w:space="0" w:color="auto"/>
            </w:tcBorders>
            <w:hideMark/>
          </w:tcPr>
          <w:p w:rsidR="00AD1363" w:rsidRPr="002B1682" w:rsidRDefault="00AD1363">
            <w:pPr>
              <w:snapToGrid w:val="0"/>
              <w:jc w:val="center"/>
              <w:rPr>
                <w:bCs/>
              </w:rPr>
            </w:pPr>
            <w:r w:rsidRPr="002B1682">
              <w:rPr>
                <w:bCs/>
              </w:rPr>
              <w:t>2019 m.</w:t>
            </w:r>
          </w:p>
        </w:tc>
      </w:tr>
      <w:tr w:rsidR="00AD1363" w:rsidTr="00AD1363">
        <w:trPr>
          <w:trHeight w:val="279"/>
        </w:trPr>
        <w:tc>
          <w:tcPr>
            <w:tcW w:w="5387" w:type="dxa"/>
            <w:tcBorders>
              <w:top w:val="single" w:sz="4" w:space="0" w:color="000000"/>
              <w:left w:val="single" w:sz="4" w:space="0" w:color="000000"/>
              <w:bottom w:val="single" w:sz="4" w:space="0" w:color="000000"/>
              <w:right w:val="nil"/>
            </w:tcBorders>
            <w:hideMark/>
          </w:tcPr>
          <w:p w:rsidR="00AD1363" w:rsidRDefault="00AD1363">
            <w:pPr>
              <w:snapToGrid w:val="0"/>
            </w:pPr>
            <w:r>
              <w:t>Įvertinta asmenų</w:t>
            </w:r>
          </w:p>
        </w:tc>
        <w:tc>
          <w:tcPr>
            <w:tcW w:w="1417"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143</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144</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162</w:t>
            </w:r>
          </w:p>
        </w:tc>
        <w:tc>
          <w:tcPr>
            <w:tcW w:w="2694" w:type="dxa"/>
            <w:tcBorders>
              <w:top w:val="single" w:sz="4" w:space="0" w:color="000000"/>
              <w:left w:val="single" w:sz="4" w:space="0" w:color="000000"/>
              <w:bottom w:val="single" w:sz="4" w:space="0" w:color="000000"/>
              <w:right w:val="single" w:sz="4" w:space="0" w:color="auto"/>
            </w:tcBorders>
            <w:hideMark/>
          </w:tcPr>
          <w:p w:rsidR="00AD1363" w:rsidRDefault="00AD1363">
            <w:pPr>
              <w:snapToGrid w:val="0"/>
              <w:jc w:val="center"/>
            </w:pPr>
            <w:r>
              <w:t>121</w:t>
            </w:r>
          </w:p>
        </w:tc>
      </w:tr>
      <w:tr w:rsidR="00AD1363" w:rsidTr="00AD1363">
        <w:trPr>
          <w:trHeight w:val="309"/>
        </w:trPr>
        <w:tc>
          <w:tcPr>
            <w:tcW w:w="5387" w:type="dxa"/>
            <w:tcBorders>
              <w:top w:val="single" w:sz="4" w:space="0" w:color="000000"/>
              <w:left w:val="single" w:sz="4" w:space="0" w:color="000000"/>
              <w:bottom w:val="single" w:sz="4" w:space="0" w:color="000000"/>
              <w:right w:val="nil"/>
            </w:tcBorders>
            <w:hideMark/>
          </w:tcPr>
          <w:p w:rsidR="00AD1363" w:rsidRDefault="00AD1363">
            <w:pPr>
              <w:snapToGrid w:val="0"/>
            </w:pPr>
            <w:r>
              <w:t>Nustatyti specialieji poreikiai (mokinių skaičius)</w:t>
            </w:r>
          </w:p>
        </w:tc>
        <w:tc>
          <w:tcPr>
            <w:tcW w:w="1417"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134</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138</w:t>
            </w:r>
          </w:p>
        </w:tc>
        <w:tc>
          <w:tcPr>
            <w:tcW w:w="1701" w:type="dxa"/>
            <w:tcBorders>
              <w:top w:val="single" w:sz="4" w:space="0" w:color="000000"/>
              <w:left w:val="single" w:sz="4" w:space="0" w:color="000000"/>
              <w:bottom w:val="single" w:sz="4" w:space="0" w:color="000000"/>
              <w:right w:val="nil"/>
            </w:tcBorders>
            <w:hideMark/>
          </w:tcPr>
          <w:p w:rsidR="00AD1363" w:rsidRDefault="00AD1363">
            <w:pPr>
              <w:snapToGrid w:val="0"/>
              <w:jc w:val="center"/>
            </w:pPr>
            <w:r>
              <w:t>161</w:t>
            </w:r>
          </w:p>
        </w:tc>
        <w:tc>
          <w:tcPr>
            <w:tcW w:w="2694" w:type="dxa"/>
            <w:tcBorders>
              <w:top w:val="single" w:sz="4" w:space="0" w:color="000000"/>
              <w:left w:val="single" w:sz="4" w:space="0" w:color="000000"/>
              <w:bottom w:val="single" w:sz="4" w:space="0" w:color="000000"/>
              <w:right w:val="single" w:sz="4" w:space="0" w:color="auto"/>
            </w:tcBorders>
            <w:hideMark/>
          </w:tcPr>
          <w:p w:rsidR="00AD1363" w:rsidRDefault="00AD1363">
            <w:pPr>
              <w:snapToGrid w:val="0"/>
              <w:jc w:val="center"/>
            </w:pPr>
            <w:r>
              <w:t>120</w:t>
            </w:r>
          </w:p>
        </w:tc>
      </w:tr>
      <w:tr w:rsidR="00AD1363" w:rsidTr="00AD1363">
        <w:trPr>
          <w:trHeight w:val="251"/>
        </w:trPr>
        <w:tc>
          <w:tcPr>
            <w:tcW w:w="5387" w:type="dxa"/>
            <w:tcBorders>
              <w:top w:val="single" w:sz="4" w:space="0" w:color="000000"/>
              <w:left w:val="single" w:sz="4" w:space="0" w:color="000000"/>
              <w:bottom w:val="single" w:sz="4" w:space="0" w:color="auto"/>
              <w:right w:val="nil"/>
            </w:tcBorders>
            <w:hideMark/>
          </w:tcPr>
          <w:p w:rsidR="00AD1363" w:rsidRDefault="00AD1363">
            <w:pPr>
              <w:snapToGrid w:val="0"/>
            </w:pPr>
            <w:r>
              <w:t>Konsultuoti mokiniai (konsultacijų skaičius)</w:t>
            </w:r>
          </w:p>
        </w:tc>
        <w:tc>
          <w:tcPr>
            <w:tcW w:w="1417" w:type="dxa"/>
            <w:tcBorders>
              <w:top w:val="single" w:sz="4" w:space="0" w:color="000000"/>
              <w:left w:val="single" w:sz="4" w:space="0" w:color="000000"/>
              <w:bottom w:val="single" w:sz="4" w:space="0" w:color="auto"/>
              <w:right w:val="nil"/>
            </w:tcBorders>
            <w:hideMark/>
          </w:tcPr>
          <w:p w:rsidR="00AD1363" w:rsidRDefault="00AD1363">
            <w:pPr>
              <w:pStyle w:val="Lentelsturinys"/>
              <w:snapToGrid w:val="0"/>
              <w:jc w:val="center"/>
            </w:pPr>
            <w:r>
              <w:t>378</w:t>
            </w:r>
          </w:p>
        </w:tc>
        <w:tc>
          <w:tcPr>
            <w:tcW w:w="1701" w:type="dxa"/>
            <w:tcBorders>
              <w:top w:val="single" w:sz="4" w:space="0" w:color="000000"/>
              <w:left w:val="single" w:sz="4" w:space="0" w:color="000000"/>
              <w:bottom w:val="single" w:sz="4" w:space="0" w:color="auto"/>
              <w:right w:val="nil"/>
            </w:tcBorders>
            <w:hideMark/>
          </w:tcPr>
          <w:p w:rsidR="00AD1363" w:rsidRDefault="00AD1363">
            <w:pPr>
              <w:pStyle w:val="Lentelsturinys"/>
              <w:snapToGrid w:val="0"/>
              <w:jc w:val="center"/>
            </w:pPr>
            <w:r>
              <w:t>331</w:t>
            </w:r>
          </w:p>
        </w:tc>
        <w:tc>
          <w:tcPr>
            <w:tcW w:w="1701" w:type="dxa"/>
            <w:tcBorders>
              <w:top w:val="single" w:sz="4" w:space="0" w:color="000000"/>
              <w:left w:val="single" w:sz="4" w:space="0" w:color="000000"/>
              <w:bottom w:val="single" w:sz="4" w:space="0" w:color="auto"/>
              <w:right w:val="nil"/>
            </w:tcBorders>
            <w:hideMark/>
          </w:tcPr>
          <w:p w:rsidR="00AD1363" w:rsidRDefault="00AD1363">
            <w:pPr>
              <w:pStyle w:val="Lentelsturinys"/>
              <w:snapToGrid w:val="0"/>
              <w:jc w:val="center"/>
            </w:pPr>
            <w:r>
              <w:t>281</w:t>
            </w:r>
          </w:p>
        </w:tc>
        <w:tc>
          <w:tcPr>
            <w:tcW w:w="2694" w:type="dxa"/>
            <w:tcBorders>
              <w:top w:val="single" w:sz="4" w:space="0" w:color="000000"/>
              <w:left w:val="single" w:sz="4" w:space="0" w:color="000000"/>
              <w:bottom w:val="single" w:sz="4" w:space="0" w:color="auto"/>
              <w:right w:val="single" w:sz="4" w:space="0" w:color="auto"/>
            </w:tcBorders>
            <w:hideMark/>
          </w:tcPr>
          <w:p w:rsidR="00AD1363" w:rsidRDefault="00AD1363">
            <w:pPr>
              <w:pStyle w:val="Lentelsturinys"/>
              <w:snapToGrid w:val="0"/>
              <w:jc w:val="center"/>
            </w:pPr>
            <w:r>
              <w:t>253</w:t>
            </w:r>
          </w:p>
        </w:tc>
      </w:tr>
      <w:tr w:rsidR="00AD1363" w:rsidTr="00AD1363">
        <w:trPr>
          <w:trHeight w:val="265"/>
        </w:trPr>
        <w:tc>
          <w:tcPr>
            <w:tcW w:w="5387" w:type="dxa"/>
            <w:tcBorders>
              <w:top w:val="single" w:sz="4" w:space="0" w:color="auto"/>
              <w:left w:val="single" w:sz="4" w:space="0" w:color="000000"/>
              <w:bottom w:val="single" w:sz="4" w:space="0" w:color="000000"/>
              <w:right w:val="nil"/>
            </w:tcBorders>
            <w:hideMark/>
          </w:tcPr>
          <w:p w:rsidR="00AD1363" w:rsidRDefault="00AD1363">
            <w:pPr>
              <w:snapToGrid w:val="0"/>
            </w:pPr>
            <w:r>
              <w:t>Profesinis konsultavimas</w:t>
            </w:r>
          </w:p>
        </w:tc>
        <w:tc>
          <w:tcPr>
            <w:tcW w:w="1417" w:type="dxa"/>
            <w:tcBorders>
              <w:top w:val="single" w:sz="4" w:space="0" w:color="auto"/>
              <w:left w:val="single" w:sz="4" w:space="0" w:color="000000"/>
              <w:bottom w:val="single" w:sz="4" w:space="0" w:color="000000"/>
              <w:right w:val="nil"/>
            </w:tcBorders>
            <w:hideMark/>
          </w:tcPr>
          <w:p w:rsidR="00AD1363" w:rsidRDefault="00AD1363">
            <w:pPr>
              <w:pStyle w:val="Lentelsturinys"/>
              <w:snapToGrid w:val="0"/>
              <w:jc w:val="center"/>
            </w:pPr>
            <w:r>
              <w:t>127</w:t>
            </w:r>
          </w:p>
        </w:tc>
        <w:tc>
          <w:tcPr>
            <w:tcW w:w="1701" w:type="dxa"/>
            <w:tcBorders>
              <w:top w:val="single" w:sz="4" w:space="0" w:color="auto"/>
              <w:left w:val="single" w:sz="4" w:space="0" w:color="000000"/>
              <w:bottom w:val="single" w:sz="4" w:space="0" w:color="000000"/>
              <w:right w:val="nil"/>
            </w:tcBorders>
            <w:hideMark/>
          </w:tcPr>
          <w:p w:rsidR="00AD1363" w:rsidRDefault="00AD1363">
            <w:pPr>
              <w:pStyle w:val="Lentelsturinys"/>
              <w:snapToGrid w:val="0"/>
              <w:jc w:val="center"/>
            </w:pPr>
            <w:r>
              <w:t>172</w:t>
            </w:r>
          </w:p>
        </w:tc>
        <w:tc>
          <w:tcPr>
            <w:tcW w:w="1701" w:type="dxa"/>
            <w:tcBorders>
              <w:top w:val="single" w:sz="4" w:space="0" w:color="auto"/>
              <w:left w:val="single" w:sz="4" w:space="0" w:color="000000"/>
              <w:bottom w:val="single" w:sz="4" w:space="0" w:color="000000"/>
              <w:right w:val="nil"/>
            </w:tcBorders>
            <w:hideMark/>
          </w:tcPr>
          <w:p w:rsidR="00AD1363" w:rsidRDefault="00AD1363">
            <w:pPr>
              <w:pStyle w:val="Lentelsturinys"/>
              <w:snapToGrid w:val="0"/>
              <w:jc w:val="center"/>
            </w:pPr>
            <w:r>
              <w:t>152</w:t>
            </w:r>
          </w:p>
        </w:tc>
        <w:tc>
          <w:tcPr>
            <w:tcW w:w="2694" w:type="dxa"/>
            <w:tcBorders>
              <w:top w:val="single" w:sz="4" w:space="0" w:color="auto"/>
              <w:left w:val="single" w:sz="4" w:space="0" w:color="000000"/>
              <w:bottom w:val="single" w:sz="4" w:space="0" w:color="000000"/>
              <w:right w:val="single" w:sz="4" w:space="0" w:color="auto"/>
            </w:tcBorders>
            <w:hideMark/>
          </w:tcPr>
          <w:p w:rsidR="00AD1363" w:rsidRDefault="00AD1363">
            <w:pPr>
              <w:pStyle w:val="Lentelsturinys"/>
              <w:snapToGrid w:val="0"/>
              <w:jc w:val="center"/>
            </w:pPr>
            <w:r>
              <w:t>82</w:t>
            </w:r>
          </w:p>
        </w:tc>
      </w:tr>
      <w:tr w:rsidR="00AD1363" w:rsidTr="00AD1363">
        <w:trPr>
          <w:trHeight w:val="150"/>
        </w:trPr>
        <w:tc>
          <w:tcPr>
            <w:tcW w:w="5387" w:type="dxa"/>
            <w:tcBorders>
              <w:top w:val="single" w:sz="4" w:space="0" w:color="000000"/>
              <w:left w:val="single" w:sz="4" w:space="0" w:color="000000"/>
              <w:bottom w:val="single" w:sz="4" w:space="0" w:color="000000"/>
              <w:right w:val="nil"/>
            </w:tcBorders>
            <w:hideMark/>
          </w:tcPr>
          <w:p w:rsidR="00AD1363" w:rsidRDefault="00AD1363">
            <w:pPr>
              <w:snapToGrid w:val="0"/>
            </w:pPr>
            <w:r>
              <w:t>Konsultuoti tėvai (globėjai, rūpintojai)</w:t>
            </w:r>
          </w:p>
        </w:tc>
        <w:tc>
          <w:tcPr>
            <w:tcW w:w="1417" w:type="dxa"/>
            <w:tcBorders>
              <w:top w:val="single" w:sz="4" w:space="0" w:color="000000"/>
              <w:left w:val="single" w:sz="4" w:space="0" w:color="000000"/>
              <w:bottom w:val="single" w:sz="4" w:space="0" w:color="000000"/>
              <w:right w:val="nil"/>
            </w:tcBorders>
            <w:hideMark/>
          </w:tcPr>
          <w:p w:rsidR="00AD1363" w:rsidRDefault="00AD1363">
            <w:pPr>
              <w:pStyle w:val="Lentelsturinys"/>
              <w:snapToGrid w:val="0"/>
              <w:jc w:val="center"/>
            </w:pPr>
            <w:r>
              <w:t>380</w:t>
            </w:r>
          </w:p>
        </w:tc>
        <w:tc>
          <w:tcPr>
            <w:tcW w:w="1701" w:type="dxa"/>
            <w:tcBorders>
              <w:top w:val="single" w:sz="4" w:space="0" w:color="000000"/>
              <w:left w:val="single" w:sz="4" w:space="0" w:color="000000"/>
              <w:bottom w:val="single" w:sz="4" w:space="0" w:color="000000"/>
              <w:right w:val="nil"/>
            </w:tcBorders>
            <w:hideMark/>
          </w:tcPr>
          <w:p w:rsidR="00AD1363" w:rsidRDefault="00AD1363">
            <w:pPr>
              <w:pStyle w:val="Lentelsturinys"/>
              <w:snapToGrid w:val="0"/>
              <w:jc w:val="center"/>
            </w:pPr>
            <w:r>
              <w:t>399</w:t>
            </w:r>
          </w:p>
        </w:tc>
        <w:tc>
          <w:tcPr>
            <w:tcW w:w="1701" w:type="dxa"/>
            <w:tcBorders>
              <w:top w:val="single" w:sz="4" w:space="0" w:color="000000"/>
              <w:left w:val="single" w:sz="4" w:space="0" w:color="000000"/>
              <w:bottom w:val="single" w:sz="4" w:space="0" w:color="000000"/>
              <w:right w:val="nil"/>
            </w:tcBorders>
            <w:hideMark/>
          </w:tcPr>
          <w:p w:rsidR="00AD1363" w:rsidRDefault="00AD1363">
            <w:pPr>
              <w:pStyle w:val="Lentelsturinys"/>
              <w:snapToGrid w:val="0"/>
              <w:jc w:val="center"/>
            </w:pPr>
            <w:r>
              <w:t>314</w:t>
            </w:r>
          </w:p>
        </w:tc>
        <w:tc>
          <w:tcPr>
            <w:tcW w:w="2694" w:type="dxa"/>
            <w:tcBorders>
              <w:top w:val="single" w:sz="4" w:space="0" w:color="000000"/>
              <w:left w:val="single" w:sz="4" w:space="0" w:color="000000"/>
              <w:bottom w:val="single" w:sz="4" w:space="0" w:color="000000"/>
              <w:right w:val="single" w:sz="4" w:space="0" w:color="auto"/>
            </w:tcBorders>
            <w:hideMark/>
          </w:tcPr>
          <w:p w:rsidR="00AD1363" w:rsidRDefault="00AD1363">
            <w:pPr>
              <w:pStyle w:val="Lentelsturinys"/>
              <w:snapToGrid w:val="0"/>
              <w:jc w:val="center"/>
            </w:pPr>
            <w:r>
              <w:t>230</w:t>
            </w:r>
          </w:p>
        </w:tc>
      </w:tr>
      <w:tr w:rsidR="00AD1363" w:rsidTr="00AD1363">
        <w:trPr>
          <w:trHeight w:val="150"/>
        </w:trPr>
        <w:tc>
          <w:tcPr>
            <w:tcW w:w="5387" w:type="dxa"/>
            <w:tcBorders>
              <w:top w:val="single" w:sz="4" w:space="0" w:color="000000"/>
              <w:left w:val="single" w:sz="4" w:space="0" w:color="000000"/>
              <w:bottom w:val="single" w:sz="4" w:space="0" w:color="000000"/>
              <w:right w:val="nil"/>
            </w:tcBorders>
            <w:hideMark/>
          </w:tcPr>
          <w:p w:rsidR="00AD1363" w:rsidRDefault="00AD1363">
            <w:pPr>
              <w:snapToGrid w:val="0"/>
            </w:pPr>
            <w:r>
              <w:t>Konsultuoti mokytojai, vadovai, specialistai</w:t>
            </w:r>
          </w:p>
        </w:tc>
        <w:tc>
          <w:tcPr>
            <w:tcW w:w="1417" w:type="dxa"/>
            <w:tcBorders>
              <w:top w:val="single" w:sz="4" w:space="0" w:color="000000"/>
              <w:left w:val="single" w:sz="4" w:space="0" w:color="000000"/>
              <w:bottom w:val="single" w:sz="4" w:space="0" w:color="000000"/>
              <w:right w:val="nil"/>
            </w:tcBorders>
            <w:hideMark/>
          </w:tcPr>
          <w:p w:rsidR="00AD1363" w:rsidRDefault="00AD1363">
            <w:pPr>
              <w:pStyle w:val="Lentelsturinys"/>
              <w:snapToGrid w:val="0"/>
              <w:jc w:val="center"/>
            </w:pPr>
            <w:r>
              <w:t>364</w:t>
            </w:r>
          </w:p>
        </w:tc>
        <w:tc>
          <w:tcPr>
            <w:tcW w:w="1701" w:type="dxa"/>
            <w:tcBorders>
              <w:top w:val="single" w:sz="4" w:space="0" w:color="000000"/>
              <w:left w:val="single" w:sz="4" w:space="0" w:color="000000"/>
              <w:bottom w:val="single" w:sz="4" w:space="0" w:color="000000"/>
              <w:right w:val="nil"/>
            </w:tcBorders>
            <w:hideMark/>
          </w:tcPr>
          <w:p w:rsidR="00AD1363" w:rsidRDefault="00AD1363">
            <w:pPr>
              <w:pStyle w:val="Lentelsturinys"/>
              <w:snapToGrid w:val="0"/>
              <w:jc w:val="center"/>
            </w:pPr>
            <w:r>
              <w:t>362</w:t>
            </w:r>
          </w:p>
        </w:tc>
        <w:tc>
          <w:tcPr>
            <w:tcW w:w="1701" w:type="dxa"/>
            <w:tcBorders>
              <w:top w:val="single" w:sz="4" w:space="0" w:color="000000"/>
              <w:left w:val="single" w:sz="4" w:space="0" w:color="000000"/>
              <w:bottom w:val="single" w:sz="4" w:space="0" w:color="000000"/>
              <w:right w:val="nil"/>
            </w:tcBorders>
            <w:hideMark/>
          </w:tcPr>
          <w:p w:rsidR="00AD1363" w:rsidRDefault="00AD1363">
            <w:pPr>
              <w:pStyle w:val="Lentelsturinys"/>
              <w:snapToGrid w:val="0"/>
              <w:jc w:val="center"/>
            </w:pPr>
            <w:r>
              <w:t>388</w:t>
            </w:r>
          </w:p>
        </w:tc>
        <w:tc>
          <w:tcPr>
            <w:tcW w:w="2694" w:type="dxa"/>
            <w:tcBorders>
              <w:top w:val="single" w:sz="4" w:space="0" w:color="000000"/>
              <w:left w:val="single" w:sz="4" w:space="0" w:color="000000"/>
              <w:bottom w:val="single" w:sz="4" w:space="0" w:color="000000"/>
              <w:right w:val="single" w:sz="4" w:space="0" w:color="auto"/>
            </w:tcBorders>
            <w:hideMark/>
          </w:tcPr>
          <w:p w:rsidR="00AD1363" w:rsidRDefault="00AD1363">
            <w:pPr>
              <w:pStyle w:val="Lentelsturinys"/>
              <w:snapToGrid w:val="0"/>
              <w:jc w:val="center"/>
            </w:pPr>
            <w:r>
              <w:t>290</w:t>
            </w:r>
          </w:p>
        </w:tc>
      </w:tr>
    </w:tbl>
    <w:p w:rsidR="00AD1363" w:rsidRDefault="00AD1363" w:rsidP="00DB6DCD">
      <w:pPr>
        <w:pStyle w:val="Betarp"/>
        <w:ind w:firstLine="720"/>
        <w:jc w:val="both"/>
      </w:pPr>
      <w:r w:rsidRPr="00DB6DCD">
        <w:rPr>
          <w:rFonts w:ascii="Times New Roman" w:hAnsi="Times New Roman"/>
          <w:sz w:val="24"/>
          <w:szCs w:val="24"/>
        </w:rPr>
        <w:t>Pagalba mokiniams teikiama organizuojant veiklas pailgintos dienos grupėse. Tenkinant vaikų ir tėvų (globėjų, rūpintojų) poreikius ir gerinant švietimo prieinamumą lankančių šias grupes mokinių skaičius kiekvienais metais didėja.</w:t>
      </w:r>
    </w:p>
    <w:p w:rsidR="00BD3DE9" w:rsidRPr="002B1682" w:rsidRDefault="00BD3DE9" w:rsidP="00DB6DCD">
      <w:pPr>
        <w:pStyle w:val="Betarp"/>
        <w:ind w:firstLine="720"/>
        <w:jc w:val="both"/>
        <w:rPr>
          <w:rFonts w:ascii="Times New Roman" w:hAnsi="Times New Roman"/>
          <w:sz w:val="24"/>
          <w:szCs w:val="24"/>
        </w:rPr>
      </w:pPr>
    </w:p>
    <w:p w:rsidR="00AD1363" w:rsidRPr="00DB6DCD" w:rsidRDefault="008913E3" w:rsidP="00DB6DCD">
      <w:pPr>
        <w:pStyle w:val="Betarp"/>
        <w:ind w:firstLine="720"/>
        <w:jc w:val="both"/>
      </w:pPr>
      <w:r>
        <w:rPr>
          <w:rFonts w:ascii="Times New Roman" w:hAnsi="Times New Roman"/>
          <w:sz w:val="24"/>
          <w:szCs w:val="24"/>
        </w:rPr>
        <w:t>2</w:t>
      </w:r>
      <w:r w:rsidR="00151784" w:rsidRPr="00DB6DCD">
        <w:rPr>
          <w:rFonts w:ascii="Times New Roman" w:hAnsi="Times New Roman"/>
          <w:sz w:val="24"/>
          <w:szCs w:val="24"/>
        </w:rPr>
        <w:t>8</w:t>
      </w:r>
      <w:r w:rsidR="00AD1363" w:rsidRPr="00DB6DCD">
        <w:rPr>
          <w:rFonts w:ascii="Times New Roman" w:hAnsi="Times New Roman"/>
          <w:sz w:val="24"/>
          <w:szCs w:val="24"/>
        </w:rPr>
        <w:t xml:space="preserve"> lentelė. Pailgintos dienos grupės</w:t>
      </w:r>
    </w:p>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828"/>
        <w:gridCol w:w="2693"/>
        <w:gridCol w:w="4678"/>
      </w:tblGrid>
      <w:tr w:rsidR="00AD1363" w:rsidTr="00AD1363">
        <w:trPr>
          <w:trHeight w:val="360"/>
        </w:trPr>
        <w:tc>
          <w:tcPr>
            <w:tcW w:w="1701" w:type="dxa"/>
            <w:vMerge w:val="restart"/>
            <w:tcBorders>
              <w:top w:val="single" w:sz="4" w:space="0" w:color="auto"/>
              <w:left w:val="single" w:sz="4" w:space="0" w:color="auto"/>
              <w:bottom w:val="single" w:sz="4" w:space="0" w:color="auto"/>
              <w:right w:val="single" w:sz="4" w:space="0" w:color="auto"/>
            </w:tcBorders>
            <w:hideMark/>
          </w:tcPr>
          <w:p w:rsidR="00AD1363" w:rsidRPr="002B1682" w:rsidRDefault="00AD1363">
            <w:pPr>
              <w:jc w:val="both"/>
            </w:pPr>
            <w:r w:rsidRPr="002B1682">
              <w:t>Mokslo metai</w:t>
            </w:r>
          </w:p>
        </w:tc>
        <w:tc>
          <w:tcPr>
            <w:tcW w:w="3828" w:type="dxa"/>
            <w:vMerge w:val="restart"/>
            <w:tcBorders>
              <w:top w:val="single" w:sz="4" w:space="0" w:color="auto"/>
              <w:left w:val="single" w:sz="4" w:space="0" w:color="auto"/>
              <w:bottom w:val="single" w:sz="4" w:space="0" w:color="auto"/>
              <w:right w:val="single" w:sz="4" w:space="0" w:color="auto"/>
            </w:tcBorders>
            <w:hideMark/>
          </w:tcPr>
          <w:p w:rsidR="00AD1363" w:rsidRPr="002B1682" w:rsidRDefault="00B37604">
            <w:pPr>
              <w:jc w:val="center"/>
            </w:pPr>
            <w:r w:rsidRPr="002B1682">
              <w:t>M</w:t>
            </w:r>
            <w:r w:rsidR="00AD1363" w:rsidRPr="002B1682">
              <w:t>okykl</w:t>
            </w:r>
            <w:r w:rsidRPr="002B1682">
              <w:t>ų, kuriose</w:t>
            </w:r>
            <w:r w:rsidR="00AD1363" w:rsidRPr="002B1682">
              <w:t xml:space="preserve"> veikė pailgintos dienos grupės</w:t>
            </w:r>
            <w:r w:rsidRPr="002B1682">
              <w:t>, skaičius</w:t>
            </w:r>
          </w:p>
        </w:tc>
        <w:tc>
          <w:tcPr>
            <w:tcW w:w="7371" w:type="dxa"/>
            <w:gridSpan w:val="2"/>
            <w:tcBorders>
              <w:top w:val="single" w:sz="4" w:space="0" w:color="auto"/>
              <w:left w:val="single" w:sz="4" w:space="0" w:color="auto"/>
              <w:bottom w:val="single" w:sz="4" w:space="0" w:color="auto"/>
              <w:right w:val="single" w:sz="4" w:space="0" w:color="auto"/>
            </w:tcBorders>
            <w:hideMark/>
          </w:tcPr>
          <w:p w:rsidR="00AD1363" w:rsidRPr="002B1682" w:rsidRDefault="00AD1363">
            <w:pPr>
              <w:jc w:val="center"/>
            </w:pPr>
            <w:r w:rsidRPr="002B1682">
              <w:t>Mokinių skaičius pailgintos dienos grupėse</w:t>
            </w:r>
          </w:p>
        </w:tc>
      </w:tr>
      <w:tr w:rsidR="00AD1363" w:rsidTr="00AD1363">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363" w:rsidRPr="002B1682" w:rsidRDefault="00AD1363"/>
        </w:tc>
        <w:tc>
          <w:tcPr>
            <w:tcW w:w="0" w:type="auto"/>
            <w:vMerge/>
            <w:tcBorders>
              <w:top w:val="single" w:sz="4" w:space="0" w:color="auto"/>
              <w:left w:val="single" w:sz="4" w:space="0" w:color="auto"/>
              <w:bottom w:val="single" w:sz="4" w:space="0" w:color="auto"/>
              <w:right w:val="single" w:sz="4" w:space="0" w:color="auto"/>
            </w:tcBorders>
            <w:vAlign w:val="center"/>
            <w:hideMark/>
          </w:tcPr>
          <w:p w:rsidR="00AD1363" w:rsidRPr="002B1682" w:rsidRDefault="00AD1363"/>
        </w:tc>
        <w:tc>
          <w:tcPr>
            <w:tcW w:w="2693" w:type="dxa"/>
            <w:tcBorders>
              <w:top w:val="single" w:sz="4" w:space="0" w:color="auto"/>
              <w:left w:val="single" w:sz="4" w:space="0" w:color="auto"/>
              <w:bottom w:val="single" w:sz="4" w:space="0" w:color="auto"/>
              <w:right w:val="single" w:sz="4" w:space="0" w:color="auto"/>
            </w:tcBorders>
            <w:hideMark/>
          </w:tcPr>
          <w:p w:rsidR="00AD1363" w:rsidRPr="002B1682" w:rsidRDefault="00AD1363">
            <w:pPr>
              <w:jc w:val="center"/>
            </w:pPr>
            <w:r w:rsidRPr="002B1682">
              <w:t>Iš viso</w:t>
            </w:r>
          </w:p>
        </w:tc>
        <w:tc>
          <w:tcPr>
            <w:tcW w:w="4678" w:type="dxa"/>
            <w:tcBorders>
              <w:top w:val="single" w:sz="4" w:space="0" w:color="auto"/>
              <w:left w:val="single" w:sz="4" w:space="0" w:color="auto"/>
              <w:bottom w:val="single" w:sz="4" w:space="0" w:color="auto"/>
              <w:right w:val="single" w:sz="4" w:space="0" w:color="auto"/>
            </w:tcBorders>
            <w:hideMark/>
          </w:tcPr>
          <w:p w:rsidR="00AD1363" w:rsidRPr="002B1682" w:rsidRDefault="00AD1363">
            <w:r w:rsidRPr="002B1682">
              <w:t>Iš jų mokiniai iš socialiai remtinų šeimų</w:t>
            </w:r>
          </w:p>
        </w:tc>
      </w:tr>
      <w:tr w:rsidR="00AD1363" w:rsidTr="00AD1363">
        <w:tc>
          <w:tcPr>
            <w:tcW w:w="1701" w:type="dxa"/>
            <w:tcBorders>
              <w:top w:val="single" w:sz="4" w:space="0" w:color="auto"/>
              <w:left w:val="single" w:sz="4" w:space="0" w:color="auto"/>
              <w:bottom w:val="single" w:sz="4" w:space="0" w:color="auto"/>
              <w:right w:val="single" w:sz="4" w:space="0" w:color="auto"/>
            </w:tcBorders>
            <w:hideMark/>
          </w:tcPr>
          <w:p w:rsidR="00AD1363" w:rsidRDefault="00AD1363">
            <w:pPr>
              <w:jc w:val="both"/>
            </w:pPr>
            <w:r>
              <w:t>2016–2017</w:t>
            </w:r>
          </w:p>
        </w:tc>
        <w:tc>
          <w:tcPr>
            <w:tcW w:w="3828" w:type="dxa"/>
            <w:tcBorders>
              <w:top w:val="single" w:sz="4" w:space="0" w:color="auto"/>
              <w:left w:val="single" w:sz="4" w:space="0" w:color="auto"/>
              <w:bottom w:val="single" w:sz="4" w:space="0" w:color="auto"/>
              <w:right w:val="single" w:sz="4" w:space="0" w:color="auto"/>
            </w:tcBorders>
            <w:hideMark/>
          </w:tcPr>
          <w:p w:rsidR="00AD1363" w:rsidRDefault="00AD1363">
            <w:pPr>
              <w:ind w:left="1303" w:hanging="1303"/>
              <w:jc w:val="center"/>
            </w:pPr>
            <w:r>
              <w:t>9</w:t>
            </w:r>
          </w:p>
        </w:tc>
        <w:tc>
          <w:tcPr>
            <w:tcW w:w="2693"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214</w:t>
            </w:r>
          </w:p>
        </w:tc>
        <w:tc>
          <w:tcPr>
            <w:tcW w:w="467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50</w:t>
            </w:r>
          </w:p>
        </w:tc>
      </w:tr>
      <w:tr w:rsidR="00AD1363" w:rsidTr="00AD1363">
        <w:tc>
          <w:tcPr>
            <w:tcW w:w="1701" w:type="dxa"/>
            <w:tcBorders>
              <w:top w:val="single" w:sz="4" w:space="0" w:color="auto"/>
              <w:left w:val="single" w:sz="4" w:space="0" w:color="auto"/>
              <w:bottom w:val="single" w:sz="4" w:space="0" w:color="auto"/>
              <w:right w:val="single" w:sz="4" w:space="0" w:color="auto"/>
            </w:tcBorders>
            <w:hideMark/>
          </w:tcPr>
          <w:p w:rsidR="00AD1363" w:rsidRDefault="00AD1363">
            <w:pPr>
              <w:jc w:val="both"/>
            </w:pPr>
            <w:r>
              <w:t>2017–2018</w:t>
            </w:r>
          </w:p>
        </w:tc>
        <w:tc>
          <w:tcPr>
            <w:tcW w:w="382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9</w:t>
            </w:r>
          </w:p>
        </w:tc>
        <w:tc>
          <w:tcPr>
            <w:tcW w:w="2693"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251</w:t>
            </w:r>
          </w:p>
        </w:tc>
        <w:tc>
          <w:tcPr>
            <w:tcW w:w="467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73</w:t>
            </w:r>
          </w:p>
        </w:tc>
      </w:tr>
      <w:tr w:rsidR="00AD1363" w:rsidTr="00AD1363">
        <w:tc>
          <w:tcPr>
            <w:tcW w:w="1701" w:type="dxa"/>
            <w:tcBorders>
              <w:top w:val="single" w:sz="4" w:space="0" w:color="auto"/>
              <w:left w:val="single" w:sz="4" w:space="0" w:color="auto"/>
              <w:bottom w:val="single" w:sz="4" w:space="0" w:color="auto"/>
              <w:right w:val="single" w:sz="4" w:space="0" w:color="auto"/>
            </w:tcBorders>
            <w:hideMark/>
          </w:tcPr>
          <w:p w:rsidR="00AD1363" w:rsidRDefault="00AD1363">
            <w:pPr>
              <w:jc w:val="both"/>
            </w:pPr>
            <w:r>
              <w:t>2018–2019</w:t>
            </w:r>
          </w:p>
        </w:tc>
        <w:tc>
          <w:tcPr>
            <w:tcW w:w="382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10</w:t>
            </w:r>
          </w:p>
        </w:tc>
        <w:tc>
          <w:tcPr>
            <w:tcW w:w="2693"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307</w:t>
            </w:r>
          </w:p>
        </w:tc>
        <w:tc>
          <w:tcPr>
            <w:tcW w:w="467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83</w:t>
            </w:r>
          </w:p>
        </w:tc>
      </w:tr>
      <w:tr w:rsidR="00AD1363" w:rsidTr="00AD1363">
        <w:tc>
          <w:tcPr>
            <w:tcW w:w="1701" w:type="dxa"/>
            <w:tcBorders>
              <w:top w:val="single" w:sz="4" w:space="0" w:color="auto"/>
              <w:left w:val="single" w:sz="4" w:space="0" w:color="auto"/>
              <w:bottom w:val="single" w:sz="4" w:space="0" w:color="auto"/>
              <w:right w:val="single" w:sz="4" w:space="0" w:color="auto"/>
            </w:tcBorders>
            <w:hideMark/>
          </w:tcPr>
          <w:p w:rsidR="00AD1363" w:rsidRDefault="00AD1363">
            <w:pPr>
              <w:jc w:val="both"/>
            </w:pPr>
            <w:r>
              <w:t>2019–2020</w:t>
            </w:r>
          </w:p>
        </w:tc>
        <w:tc>
          <w:tcPr>
            <w:tcW w:w="382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9</w:t>
            </w:r>
          </w:p>
        </w:tc>
        <w:tc>
          <w:tcPr>
            <w:tcW w:w="2693"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315</w:t>
            </w:r>
          </w:p>
        </w:tc>
        <w:tc>
          <w:tcPr>
            <w:tcW w:w="4678" w:type="dxa"/>
            <w:tcBorders>
              <w:top w:val="single" w:sz="4" w:space="0" w:color="auto"/>
              <w:left w:val="single" w:sz="4" w:space="0" w:color="auto"/>
              <w:bottom w:val="single" w:sz="4" w:space="0" w:color="auto"/>
              <w:right w:val="single" w:sz="4" w:space="0" w:color="auto"/>
            </w:tcBorders>
            <w:hideMark/>
          </w:tcPr>
          <w:p w:rsidR="00AD1363" w:rsidRDefault="00AD1363">
            <w:pPr>
              <w:ind w:left="1370" w:hanging="1370"/>
              <w:jc w:val="center"/>
            </w:pPr>
            <w:r>
              <w:t>80</w:t>
            </w:r>
          </w:p>
        </w:tc>
      </w:tr>
      <w:tr w:rsidR="00AD1363" w:rsidTr="00AD1363">
        <w:tc>
          <w:tcPr>
            <w:tcW w:w="1701" w:type="dxa"/>
            <w:tcBorders>
              <w:top w:val="single" w:sz="4" w:space="0" w:color="auto"/>
              <w:left w:val="single" w:sz="4" w:space="0" w:color="auto"/>
              <w:bottom w:val="single" w:sz="4" w:space="0" w:color="auto"/>
              <w:right w:val="single" w:sz="4" w:space="0" w:color="auto"/>
            </w:tcBorders>
            <w:hideMark/>
          </w:tcPr>
          <w:p w:rsidR="00AD1363" w:rsidRDefault="00AD1363">
            <w:pPr>
              <w:jc w:val="both"/>
            </w:pPr>
            <w:r>
              <w:t>2020–2021</w:t>
            </w:r>
          </w:p>
        </w:tc>
        <w:tc>
          <w:tcPr>
            <w:tcW w:w="382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10</w:t>
            </w:r>
          </w:p>
        </w:tc>
        <w:tc>
          <w:tcPr>
            <w:tcW w:w="2693"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375</w:t>
            </w:r>
          </w:p>
        </w:tc>
        <w:tc>
          <w:tcPr>
            <w:tcW w:w="4678" w:type="dxa"/>
            <w:tcBorders>
              <w:top w:val="single" w:sz="4" w:space="0" w:color="auto"/>
              <w:left w:val="single" w:sz="4" w:space="0" w:color="auto"/>
              <w:bottom w:val="single" w:sz="4" w:space="0" w:color="auto"/>
              <w:right w:val="single" w:sz="4" w:space="0" w:color="auto"/>
            </w:tcBorders>
            <w:hideMark/>
          </w:tcPr>
          <w:p w:rsidR="00AD1363" w:rsidRDefault="00AD1363">
            <w:pPr>
              <w:jc w:val="center"/>
            </w:pPr>
            <w:r>
              <w:t>107</w:t>
            </w:r>
          </w:p>
        </w:tc>
      </w:tr>
    </w:tbl>
    <w:p w:rsidR="00814A4E" w:rsidRPr="008913E3" w:rsidRDefault="00814A4E" w:rsidP="00814A4E">
      <w:pPr>
        <w:spacing w:line="360" w:lineRule="auto"/>
        <w:jc w:val="both"/>
        <w:rPr>
          <w:sz w:val="20"/>
          <w:szCs w:val="20"/>
        </w:rPr>
      </w:pPr>
    </w:p>
    <w:p w:rsidR="00E0477F" w:rsidRPr="00DB6DCD" w:rsidRDefault="006F0728" w:rsidP="00DB6DCD">
      <w:pPr>
        <w:pStyle w:val="Betarp"/>
        <w:ind w:firstLine="720"/>
        <w:jc w:val="both"/>
        <w:rPr>
          <w:b/>
          <w:color w:val="5B9BD5"/>
        </w:rPr>
      </w:pPr>
      <w:r w:rsidRPr="00DB6DCD">
        <w:rPr>
          <w:rFonts w:ascii="Times New Roman" w:hAnsi="Times New Roman"/>
          <w:b/>
          <w:sz w:val="24"/>
          <w:szCs w:val="24"/>
        </w:rPr>
        <w:t>9</w:t>
      </w:r>
      <w:r w:rsidR="006F08A6" w:rsidRPr="00DB6DCD">
        <w:rPr>
          <w:rFonts w:ascii="Times New Roman" w:hAnsi="Times New Roman"/>
          <w:b/>
          <w:sz w:val="24"/>
          <w:szCs w:val="24"/>
        </w:rPr>
        <w:t>. Pastatų ir patalpų naudojimas švietimo reikmėms</w:t>
      </w:r>
      <w:r w:rsidR="000C0D84" w:rsidRPr="00DB6DCD">
        <w:rPr>
          <w:rFonts w:ascii="Times New Roman" w:hAnsi="Times New Roman"/>
          <w:b/>
          <w:sz w:val="24"/>
          <w:szCs w:val="24"/>
        </w:rPr>
        <w:t xml:space="preserve">   </w:t>
      </w:r>
    </w:p>
    <w:p w:rsidR="00E0477F" w:rsidRDefault="00E0477F" w:rsidP="00DB6DCD">
      <w:pPr>
        <w:pStyle w:val="Betarp"/>
        <w:ind w:firstLine="720"/>
        <w:jc w:val="both"/>
      </w:pPr>
      <w:r w:rsidRPr="00DB6DCD">
        <w:rPr>
          <w:rFonts w:ascii="Times New Roman" w:hAnsi="Times New Roman"/>
          <w:sz w:val="24"/>
          <w:szCs w:val="24"/>
        </w:rPr>
        <w:t xml:space="preserve">Mokyklų tinklo efektyvumas susijęs su mokyklų dydžiais, mokyklų patalpų užpildymu, tuščiomis mokymosi vietomis, mokinių skaičiumi, vidutinėmis vieno mokinio ugdymo išlaidomis. </w:t>
      </w:r>
      <w:r w:rsidR="0065654F" w:rsidRPr="00DB6DCD">
        <w:rPr>
          <w:rFonts w:ascii="Times New Roman" w:hAnsi="Times New Roman"/>
          <w:sz w:val="24"/>
          <w:szCs w:val="24"/>
        </w:rPr>
        <w:t>Lyginant 2016–2017 ir 2020</w:t>
      </w:r>
      <w:r w:rsidR="00B37604">
        <w:rPr>
          <w:rFonts w:ascii="Times New Roman" w:hAnsi="Times New Roman"/>
          <w:sz w:val="24"/>
          <w:szCs w:val="24"/>
        </w:rPr>
        <w:t>–</w:t>
      </w:r>
      <w:r w:rsidR="0065654F" w:rsidRPr="00DB6DCD">
        <w:rPr>
          <w:rFonts w:ascii="Times New Roman" w:hAnsi="Times New Roman"/>
          <w:sz w:val="24"/>
          <w:szCs w:val="24"/>
        </w:rPr>
        <w:t>2021 m</w:t>
      </w:r>
      <w:r w:rsidR="00B37604">
        <w:rPr>
          <w:rFonts w:ascii="Times New Roman" w:hAnsi="Times New Roman"/>
          <w:sz w:val="24"/>
          <w:szCs w:val="24"/>
        </w:rPr>
        <w:t>.</w:t>
      </w:r>
      <w:r w:rsidR="0065654F" w:rsidRPr="00DB6DCD">
        <w:rPr>
          <w:rFonts w:ascii="Times New Roman" w:hAnsi="Times New Roman"/>
          <w:sz w:val="24"/>
          <w:szCs w:val="24"/>
        </w:rPr>
        <w:t xml:space="preserve"> m</w:t>
      </w:r>
      <w:r w:rsidR="00B37604">
        <w:rPr>
          <w:rFonts w:ascii="Times New Roman" w:hAnsi="Times New Roman"/>
          <w:sz w:val="24"/>
          <w:szCs w:val="24"/>
        </w:rPr>
        <w:t>.</w:t>
      </w:r>
      <w:r w:rsidR="0065654F" w:rsidRPr="00DB6DCD">
        <w:rPr>
          <w:rFonts w:ascii="Times New Roman" w:hAnsi="Times New Roman"/>
          <w:sz w:val="24"/>
          <w:szCs w:val="24"/>
        </w:rPr>
        <w:t>, bendrojo ugdymo mokyklų bendras patalpų plotas padidėjo Dembavos progimnazijoje, Piniavos mokykloje-darželyje ir Raguvos gimnazijoje.</w:t>
      </w:r>
    </w:p>
    <w:p w:rsidR="00BD3DE9" w:rsidRPr="002B1682" w:rsidRDefault="00BD3DE9" w:rsidP="00DB6DCD">
      <w:pPr>
        <w:pStyle w:val="Betarp"/>
        <w:ind w:firstLine="720"/>
        <w:jc w:val="both"/>
        <w:rPr>
          <w:rFonts w:ascii="Times New Roman" w:hAnsi="Times New Roman"/>
          <w:sz w:val="24"/>
          <w:szCs w:val="24"/>
        </w:rPr>
      </w:pPr>
    </w:p>
    <w:p w:rsidR="00E0477F" w:rsidRPr="00DB6DCD" w:rsidRDefault="008913E3" w:rsidP="00DB6DCD">
      <w:pPr>
        <w:pStyle w:val="Betarp"/>
        <w:ind w:firstLine="720"/>
        <w:jc w:val="both"/>
        <w:rPr>
          <w:rFonts w:ascii="Times New Roman" w:hAnsi="Times New Roman"/>
          <w:sz w:val="24"/>
          <w:szCs w:val="24"/>
        </w:rPr>
      </w:pPr>
      <w:r>
        <w:rPr>
          <w:rFonts w:ascii="Times New Roman" w:hAnsi="Times New Roman"/>
          <w:sz w:val="24"/>
          <w:szCs w:val="24"/>
        </w:rPr>
        <w:t>2</w:t>
      </w:r>
      <w:r w:rsidR="00151784" w:rsidRPr="00DB6DCD">
        <w:rPr>
          <w:rFonts w:ascii="Times New Roman" w:hAnsi="Times New Roman"/>
          <w:sz w:val="24"/>
          <w:szCs w:val="24"/>
        </w:rPr>
        <w:t>9</w:t>
      </w:r>
      <w:r w:rsidR="00E0477F" w:rsidRPr="00DB6DCD">
        <w:rPr>
          <w:rFonts w:ascii="Times New Roman" w:hAnsi="Times New Roman"/>
          <w:sz w:val="24"/>
          <w:szCs w:val="24"/>
        </w:rPr>
        <w:t xml:space="preserve"> lentelė.</w:t>
      </w:r>
      <w:r w:rsidR="00133728" w:rsidRPr="00DB6DCD">
        <w:rPr>
          <w:rFonts w:ascii="Times New Roman" w:hAnsi="Times New Roman"/>
          <w:sz w:val="24"/>
          <w:szCs w:val="24"/>
        </w:rPr>
        <w:t xml:space="preserve"> </w:t>
      </w:r>
      <w:r w:rsidR="00E0477F" w:rsidRPr="00DB6DCD">
        <w:rPr>
          <w:rFonts w:ascii="Times New Roman" w:hAnsi="Times New Roman"/>
          <w:sz w:val="24"/>
          <w:szCs w:val="24"/>
        </w:rPr>
        <w:t>Mokymosi patalpų plotas, tenkantis vienam mokiniui</w:t>
      </w:r>
    </w:p>
    <w:tbl>
      <w:tblPr>
        <w:tblW w:w="12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2974"/>
        <w:gridCol w:w="3263"/>
        <w:gridCol w:w="2835"/>
      </w:tblGrid>
      <w:tr w:rsidR="00DB6B81" w:rsidRPr="00DB6B81" w:rsidTr="008913E3">
        <w:tc>
          <w:tcPr>
            <w:tcW w:w="993" w:type="dxa"/>
            <w:shd w:val="clear" w:color="auto" w:fill="auto"/>
          </w:tcPr>
          <w:p w:rsidR="00E370D5" w:rsidRPr="00DB6DCD" w:rsidRDefault="00E370D5" w:rsidP="00DB6B81">
            <w:pPr>
              <w:spacing w:line="360" w:lineRule="auto"/>
              <w:jc w:val="center"/>
              <w:rPr>
                <w:rFonts w:eastAsia="Calibri"/>
                <w:i/>
                <w:spacing w:val="-2"/>
                <w:szCs w:val="20"/>
                <w:lang w:eastAsia="en-US"/>
              </w:rPr>
            </w:pPr>
            <w:r w:rsidRPr="00DB6DCD">
              <w:rPr>
                <w:rFonts w:eastAsia="Calibri"/>
                <w:spacing w:val="-1"/>
                <w:szCs w:val="20"/>
                <w:lang w:eastAsia="en-US"/>
              </w:rPr>
              <w:t>Metai</w:t>
            </w:r>
          </w:p>
        </w:tc>
        <w:tc>
          <w:tcPr>
            <w:tcW w:w="2693" w:type="dxa"/>
            <w:shd w:val="clear" w:color="auto" w:fill="auto"/>
          </w:tcPr>
          <w:p w:rsidR="00E370D5" w:rsidRPr="00DB6DCD" w:rsidRDefault="00E370D5" w:rsidP="00E10D73">
            <w:pPr>
              <w:jc w:val="center"/>
              <w:rPr>
                <w:rFonts w:eastAsia="Calibri"/>
                <w:szCs w:val="20"/>
                <w:lang w:eastAsia="en-US"/>
              </w:rPr>
            </w:pPr>
            <w:r w:rsidRPr="00DB6DCD">
              <w:rPr>
                <w:rFonts w:eastAsia="Calibri"/>
                <w:szCs w:val="20"/>
                <w:lang w:eastAsia="en-US"/>
              </w:rPr>
              <w:t>Mokymosi patalpų plotas</w:t>
            </w:r>
            <w:r w:rsidR="00E10D73" w:rsidRPr="00DB6DCD">
              <w:rPr>
                <w:rFonts w:eastAsia="Calibri"/>
                <w:szCs w:val="20"/>
                <w:lang w:eastAsia="en-US"/>
              </w:rPr>
              <w:t xml:space="preserve"> kv. m</w:t>
            </w:r>
            <w:r w:rsidRPr="00DB6DCD">
              <w:rPr>
                <w:rFonts w:eastAsia="Calibri"/>
                <w:szCs w:val="20"/>
                <w:lang w:eastAsia="en-US"/>
              </w:rPr>
              <w:t>, tenkantis vienam mokiniui Panevėžio rajon</w:t>
            </w:r>
            <w:r w:rsidR="00B37604" w:rsidRPr="00DB6DCD">
              <w:rPr>
                <w:rFonts w:eastAsia="Calibri"/>
                <w:szCs w:val="20"/>
                <w:lang w:eastAsia="en-US"/>
              </w:rPr>
              <w:t>o savivaldybėj</w:t>
            </w:r>
            <w:r w:rsidRPr="00DB6DCD">
              <w:rPr>
                <w:rFonts w:eastAsia="Calibri"/>
                <w:szCs w:val="20"/>
                <w:lang w:eastAsia="en-US"/>
              </w:rPr>
              <w:t>e</w:t>
            </w:r>
          </w:p>
        </w:tc>
        <w:tc>
          <w:tcPr>
            <w:tcW w:w="2974" w:type="dxa"/>
            <w:shd w:val="clear" w:color="auto" w:fill="auto"/>
          </w:tcPr>
          <w:p w:rsidR="00E370D5" w:rsidRPr="00DB6DCD" w:rsidRDefault="00E370D5" w:rsidP="00DB6B81">
            <w:pPr>
              <w:jc w:val="center"/>
              <w:rPr>
                <w:rFonts w:eastAsia="Calibri"/>
                <w:szCs w:val="20"/>
                <w:lang w:eastAsia="en-US"/>
              </w:rPr>
            </w:pPr>
            <w:r w:rsidRPr="00DB6DCD">
              <w:rPr>
                <w:rFonts w:eastAsia="Calibri"/>
                <w:szCs w:val="20"/>
                <w:lang w:eastAsia="en-US"/>
              </w:rPr>
              <w:t>Mokymosi patalpų plotas</w:t>
            </w:r>
            <w:r w:rsidR="006A751C" w:rsidRPr="00DB6DCD">
              <w:rPr>
                <w:rFonts w:eastAsia="Calibri"/>
                <w:szCs w:val="20"/>
                <w:lang w:eastAsia="en-US"/>
              </w:rPr>
              <w:t xml:space="preserve"> </w:t>
            </w:r>
            <w:r w:rsidR="00B37604" w:rsidRPr="00DB6DCD">
              <w:rPr>
                <w:rFonts w:eastAsia="Calibri"/>
                <w:szCs w:val="20"/>
                <w:lang w:eastAsia="en-US"/>
              </w:rPr>
              <w:br/>
            </w:r>
            <w:r w:rsidR="006A751C" w:rsidRPr="00DB6DCD">
              <w:rPr>
                <w:rFonts w:eastAsia="Calibri"/>
                <w:szCs w:val="20"/>
                <w:lang w:eastAsia="en-US"/>
              </w:rPr>
              <w:t>kv. m.</w:t>
            </w:r>
            <w:r w:rsidRPr="00DB6DCD">
              <w:rPr>
                <w:rFonts w:eastAsia="Calibri"/>
                <w:szCs w:val="20"/>
                <w:lang w:eastAsia="en-US"/>
              </w:rPr>
              <w:t>, tenkantis vienam mokiniui</w:t>
            </w:r>
            <w:r w:rsidR="006A751C" w:rsidRPr="00DB6DCD">
              <w:rPr>
                <w:rFonts w:eastAsia="Calibri"/>
                <w:szCs w:val="20"/>
                <w:lang w:eastAsia="en-US"/>
              </w:rPr>
              <w:t>,</w:t>
            </w:r>
            <w:r w:rsidRPr="00DB6DCD">
              <w:rPr>
                <w:rFonts w:eastAsia="Calibri"/>
                <w:szCs w:val="20"/>
                <w:lang w:eastAsia="en-US"/>
              </w:rPr>
              <w:t xml:space="preserve"> </w:t>
            </w:r>
            <w:r w:rsidR="006A751C" w:rsidRPr="00DB6DCD">
              <w:rPr>
                <w:rFonts w:eastAsia="Calibri"/>
                <w:szCs w:val="20"/>
                <w:lang w:eastAsia="en-US"/>
              </w:rPr>
              <w:t>žiedinėse savivaldybėse</w:t>
            </w:r>
          </w:p>
        </w:tc>
        <w:tc>
          <w:tcPr>
            <w:tcW w:w="3263" w:type="dxa"/>
            <w:shd w:val="clear" w:color="auto" w:fill="auto"/>
          </w:tcPr>
          <w:p w:rsidR="00E370D5" w:rsidRPr="00DB6DCD" w:rsidRDefault="00E370D5" w:rsidP="00DB6B81">
            <w:pPr>
              <w:jc w:val="center"/>
              <w:rPr>
                <w:rFonts w:eastAsia="Calibri"/>
                <w:szCs w:val="20"/>
                <w:lang w:eastAsia="en-US"/>
              </w:rPr>
            </w:pPr>
            <w:r w:rsidRPr="00DB6DCD">
              <w:rPr>
                <w:rFonts w:eastAsia="Calibri"/>
                <w:szCs w:val="20"/>
                <w:lang w:eastAsia="en-US"/>
              </w:rPr>
              <w:t>Mokyklos patalpų plotas</w:t>
            </w:r>
            <w:r w:rsidR="00E10D73" w:rsidRPr="00DB6DCD">
              <w:rPr>
                <w:rFonts w:eastAsia="Calibri"/>
                <w:szCs w:val="20"/>
                <w:lang w:eastAsia="en-US"/>
              </w:rPr>
              <w:t xml:space="preserve"> kv. m.</w:t>
            </w:r>
            <w:r w:rsidRPr="00DB6DCD">
              <w:rPr>
                <w:rFonts w:eastAsia="Calibri"/>
                <w:szCs w:val="20"/>
                <w:lang w:eastAsia="en-US"/>
              </w:rPr>
              <w:t xml:space="preserve">, tenkantis vienam mokiniui </w:t>
            </w:r>
          </w:p>
          <w:p w:rsidR="00E370D5" w:rsidRPr="00DB6DCD" w:rsidRDefault="00E370D5" w:rsidP="00DB6B81">
            <w:pPr>
              <w:jc w:val="center"/>
              <w:rPr>
                <w:rFonts w:eastAsia="Calibri"/>
                <w:szCs w:val="20"/>
                <w:lang w:eastAsia="en-US"/>
              </w:rPr>
            </w:pPr>
            <w:r w:rsidRPr="00DB6DCD">
              <w:rPr>
                <w:rFonts w:eastAsia="Calibri"/>
                <w:szCs w:val="20"/>
                <w:lang w:eastAsia="en-US"/>
              </w:rPr>
              <w:t>Panevėžio rajon</w:t>
            </w:r>
            <w:r w:rsidR="00B37604" w:rsidRPr="00DB6DCD">
              <w:rPr>
                <w:rFonts w:eastAsia="Calibri"/>
                <w:szCs w:val="20"/>
                <w:lang w:eastAsia="en-US"/>
              </w:rPr>
              <w:t>o savivaldybėj</w:t>
            </w:r>
            <w:r w:rsidRPr="00DB6DCD">
              <w:rPr>
                <w:rFonts w:eastAsia="Calibri"/>
                <w:szCs w:val="20"/>
                <w:lang w:eastAsia="en-US"/>
              </w:rPr>
              <w:t>e</w:t>
            </w:r>
          </w:p>
        </w:tc>
        <w:tc>
          <w:tcPr>
            <w:tcW w:w="2835" w:type="dxa"/>
            <w:shd w:val="clear" w:color="auto" w:fill="auto"/>
          </w:tcPr>
          <w:p w:rsidR="00E370D5" w:rsidRPr="00DB6DCD" w:rsidRDefault="00AE0510" w:rsidP="00DB6B81">
            <w:pPr>
              <w:jc w:val="center"/>
              <w:rPr>
                <w:rFonts w:eastAsia="Calibri"/>
                <w:szCs w:val="20"/>
                <w:lang w:eastAsia="en-US"/>
              </w:rPr>
            </w:pPr>
            <w:r w:rsidRPr="00DB6DCD">
              <w:rPr>
                <w:rFonts w:eastAsia="Calibri"/>
                <w:szCs w:val="20"/>
                <w:lang w:eastAsia="en-US"/>
              </w:rPr>
              <w:t>Mokyklos</w:t>
            </w:r>
            <w:r w:rsidR="006A751C" w:rsidRPr="00DB6DCD">
              <w:rPr>
                <w:rFonts w:eastAsia="Calibri"/>
                <w:szCs w:val="20"/>
                <w:lang w:eastAsia="en-US"/>
              </w:rPr>
              <w:t xml:space="preserve"> patalpų plotas kv. m., tenkantis vienam mokiniui, žiedinėse savivaldybėse</w:t>
            </w:r>
          </w:p>
        </w:tc>
      </w:tr>
      <w:tr w:rsidR="00DB6B81" w:rsidRPr="00DB6B81" w:rsidTr="008913E3">
        <w:tc>
          <w:tcPr>
            <w:tcW w:w="993" w:type="dxa"/>
            <w:shd w:val="clear" w:color="auto" w:fill="auto"/>
          </w:tcPr>
          <w:p w:rsidR="00E370D5" w:rsidRPr="00DB6B81" w:rsidRDefault="00E370D5" w:rsidP="00DB6B81">
            <w:pPr>
              <w:jc w:val="center"/>
              <w:rPr>
                <w:rFonts w:eastAsia="Calibri"/>
                <w:spacing w:val="-2"/>
                <w:szCs w:val="20"/>
                <w:lang w:eastAsia="en-US"/>
              </w:rPr>
            </w:pPr>
            <w:r w:rsidRPr="00DB6B81">
              <w:rPr>
                <w:rFonts w:eastAsia="Calibri"/>
                <w:spacing w:val="-2"/>
                <w:szCs w:val="20"/>
                <w:lang w:eastAsia="en-US"/>
              </w:rPr>
              <w:t>2016</w:t>
            </w:r>
          </w:p>
        </w:tc>
        <w:tc>
          <w:tcPr>
            <w:tcW w:w="269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7,33</w:t>
            </w:r>
          </w:p>
        </w:tc>
        <w:tc>
          <w:tcPr>
            <w:tcW w:w="2974"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5,12</w:t>
            </w:r>
          </w:p>
        </w:tc>
        <w:tc>
          <w:tcPr>
            <w:tcW w:w="326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20,00</w:t>
            </w:r>
          </w:p>
        </w:tc>
        <w:tc>
          <w:tcPr>
            <w:tcW w:w="2835"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13,73</w:t>
            </w:r>
          </w:p>
        </w:tc>
      </w:tr>
      <w:tr w:rsidR="00DB6B81" w:rsidRPr="00DB6B81" w:rsidTr="008913E3">
        <w:tc>
          <w:tcPr>
            <w:tcW w:w="993" w:type="dxa"/>
            <w:shd w:val="clear" w:color="auto" w:fill="auto"/>
          </w:tcPr>
          <w:p w:rsidR="00E370D5" w:rsidRPr="00DB6B81" w:rsidRDefault="00E370D5" w:rsidP="00DB6B81">
            <w:pPr>
              <w:jc w:val="center"/>
              <w:rPr>
                <w:rFonts w:eastAsia="Calibri"/>
                <w:spacing w:val="-2"/>
                <w:szCs w:val="20"/>
                <w:lang w:eastAsia="en-US"/>
              </w:rPr>
            </w:pPr>
            <w:r w:rsidRPr="00DB6B81">
              <w:rPr>
                <w:rFonts w:eastAsia="Calibri"/>
                <w:spacing w:val="-2"/>
                <w:szCs w:val="20"/>
                <w:lang w:eastAsia="en-US"/>
              </w:rPr>
              <w:t>2017</w:t>
            </w:r>
          </w:p>
        </w:tc>
        <w:tc>
          <w:tcPr>
            <w:tcW w:w="269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7,31</w:t>
            </w:r>
          </w:p>
        </w:tc>
        <w:tc>
          <w:tcPr>
            <w:tcW w:w="2974"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5,12</w:t>
            </w:r>
          </w:p>
        </w:tc>
        <w:tc>
          <w:tcPr>
            <w:tcW w:w="326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19,91</w:t>
            </w:r>
          </w:p>
        </w:tc>
        <w:tc>
          <w:tcPr>
            <w:tcW w:w="2835"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13,58</w:t>
            </w:r>
          </w:p>
        </w:tc>
      </w:tr>
      <w:tr w:rsidR="00DB6B81" w:rsidRPr="00DB6B81" w:rsidTr="008913E3">
        <w:tc>
          <w:tcPr>
            <w:tcW w:w="993" w:type="dxa"/>
            <w:shd w:val="clear" w:color="auto" w:fill="auto"/>
          </w:tcPr>
          <w:p w:rsidR="00E370D5" w:rsidRPr="00DB6B81" w:rsidRDefault="00E370D5" w:rsidP="00DB6B81">
            <w:pPr>
              <w:jc w:val="center"/>
              <w:rPr>
                <w:rFonts w:eastAsia="Calibri"/>
                <w:spacing w:val="-2"/>
                <w:szCs w:val="20"/>
                <w:lang w:eastAsia="en-US"/>
              </w:rPr>
            </w:pPr>
            <w:r w:rsidRPr="00DB6B81">
              <w:rPr>
                <w:rFonts w:eastAsia="Calibri"/>
                <w:spacing w:val="-2"/>
                <w:szCs w:val="20"/>
                <w:lang w:eastAsia="en-US"/>
              </w:rPr>
              <w:t>2018</w:t>
            </w:r>
          </w:p>
        </w:tc>
        <w:tc>
          <w:tcPr>
            <w:tcW w:w="269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7,61</w:t>
            </w:r>
          </w:p>
        </w:tc>
        <w:tc>
          <w:tcPr>
            <w:tcW w:w="2974"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5,14</w:t>
            </w:r>
          </w:p>
        </w:tc>
        <w:tc>
          <w:tcPr>
            <w:tcW w:w="326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20,90</w:t>
            </w:r>
          </w:p>
        </w:tc>
        <w:tc>
          <w:tcPr>
            <w:tcW w:w="2835"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13,76</w:t>
            </w:r>
          </w:p>
        </w:tc>
      </w:tr>
      <w:tr w:rsidR="00DB6B81" w:rsidRPr="00DB6B81" w:rsidTr="008913E3">
        <w:tc>
          <w:tcPr>
            <w:tcW w:w="993" w:type="dxa"/>
            <w:shd w:val="clear" w:color="auto" w:fill="auto"/>
          </w:tcPr>
          <w:p w:rsidR="00E370D5" w:rsidRPr="00DB6B81" w:rsidRDefault="00E370D5" w:rsidP="00DB6B81">
            <w:pPr>
              <w:jc w:val="center"/>
              <w:rPr>
                <w:rFonts w:eastAsia="Calibri"/>
                <w:spacing w:val="-2"/>
                <w:szCs w:val="20"/>
                <w:lang w:eastAsia="en-US"/>
              </w:rPr>
            </w:pPr>
            <w:r w:rsidRPr="00DB6B81">
              <w:rPr>
                <w:rFonts w:eastAsia="Calibri"/>
                <w:spacing w:val="-2"/>
                <w:szCs w:val="20"/>
                <w:lang w:eastAsia="en-US"/>
              </w:rPr>
              <w:t>2019</w:t>
            </w:r>
          </w:p>
        </w:tc>
        <w:tc>
          <w:tcPr>
            <w:tcW w:w="269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7,67</w:t>
            </w:r>
          </w:p>
        </w:tc>
        <w:tc>
          <w:tcPr>
            <w:tcW w:w="2974"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5,10</w:t>
            </w:r>
          </w:p>
        </w:tc>
        <w:tc>
          <w:tcPr>
            <w:tcW w:w="3263"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21,03</w:t>
            </w:r>
          </w:p>
        </w:tc>
        <w:tc>
          <w:tcPr>
            <w:tcW w:w="2835" w:type="dxa"/>
            <w:shd w:val="clear" w:color="auto" w:fill="auto"/>
          </w:tcPr>
          <w:p w:rsidR="00E370D5" w:rsidRPr="00DB6B81" w:rsidRDefault="00E370D5" w:rsidP="00DB6B81">
            <w:pPr>
              <w:jc w:val="center"/>
              <w:rPr>
                <w:rFonts w:eastAsia="Calibri"/>
                <w:i/>
                <w:spacing w:val="-2"/>
                <w:szCs w:val="20"/>
                <w:lang w:eastAsia="en-US"/>
              </w:rPr>
            </w:pPr>
            <w:r w:rsidRPr="00DB6B81">
              <w:rPr>
                <w:rFonts w:eastAsia="Calibri"/>
                <w:spacing w:val="-2"/>
                <w:szCs w:val="20"/>
                <w:lang w:eastAsia="en-US"/>
              </w:rPr>
              <w:t>13,31</w:t>
            </w:r>
          </w:p>
        </w:tc>
      </w:tr>
    </w:tbl>
    <w:p w:rsidR="00E370D5" w:rsidRPr="002B1682" w:rsidRDefault="00E370D5" w:rsidP="00DB6DCD">
      <w:pPr>
        <w:pStyle w:val="Betarp"/>
        <w:jc w:val="both"/>
        <w:rPr>
          <w:rFonts w:ascii="Times New Roman" w:hAnsi="Times New Roman"/>
          <w:sz w:val="24"/>
          <w:szCs w:val="24"/>
        </w:rPr>
      </w:pPr>
    </w:p>
    <w:p w:rsidR="002A57DA" w:rsidRPr="00981FB0" w:rsidRDefault="00E0477F" w:rsidP="00DB6DCD">
      <w:pPr>
        <w:pStyle w:val="Betarp"/>
        <w:ind w:firstLine="720"/>
        <w:jc w:val="both"/>
        <w:rPr>
          <w:color w:val="000000"/>
        </w:rPr>
      </w:pPr>
      <w:r w:rsidRPr="00DB6DCD">
        <w:rPr>
          <w:rFonts w:ascii="Times New Roman" w:hAnsi="Times New Roman"/>
          <w:sz w:val="24"/>
          <w:szCs w:val="24"/>
        </w:rPr>
        <w:t xml:space="preserve">Lietuvos Respublikos švietimo įstatyme numatyta, kad </w:t>
      </w:r>
      <w:r w:rsidRPr="00DB6DCD">
        <w:rPr>
          <w:rFonts w:ascii="Times New Roman" w:hAnsi="Times New Roman"/>
          <w:color w:val="000000"/>
          <w:sz w:val="24"/>
          <w:szCs w:val="24"/>
        </w:rPr>
        <w:t xml:space="preserve">valstybės lygiu investicinės lėšos švietimo plėtotei (žmogiškiesiems ištekliams plėtoti ir optimizuoti, darbo sąlygoms gerinti, švietimo kokybei ir prieinamumui didinti, infrastruktūrai tobulinti ir kt.) paskirstomos </w:t>
      </w:r>
      <w:r w:rsidR="00B37604">
        <w:rPr>
          <w:rFonts w:ascii="Times New Roman" w:hAnsi="Times New Roman"/>
          <w:color w:val="000000"/>
          <w:sz w:val="24"/>
          <w:szCs w:val="24"/>
        </w:rPr>
        <w:t>Lietuvos Respublikos š</w:t>
      </w:r>
      <w:r w:rsidRPr="00DB6DCD">
        <w:rPr>
          <w:rFonts w:ascii="Times New Roman" w:hAnsi="Times New Roman"/>
          <w:color w:val="000000"/>
          <w:sz w:val="24"/>
          <w:szCs w:val="24"/>
        </w:rPr>
        <w:t xml:space="preserve">vietimo, mokslo ir sporto ministerijos nustatyta tvarka, įgyvendinant Valstybinę švietimo strategiją ir Švietimo, mokslo ir sporto ministerijos strateginį veiklos planą, o </w:t>
      </w:r>
      <w:r w:rsidRPr="00DB6DCD">
        <w:rPr>
          <w:rFonts w:ascii="Times New Roman" w:hAnsi="Times New Roman"/>
          <w:sz w:val="24"/>
          <w:szCs w:val="24"/>
        </w:rPr>
        <w:t>s</w:t>
      </w:r>
      <w:r w:rsidRPr="00DB6DCD">
        <w:rPr>
          <w:rFonts w:ascii="Times New Roman" w:hAnsi="Times New Roman"/>
          <w:color w:val="000000"/>
          <w:sz w:val="24"/>
          <w:szCs w:val="24"/>
        </w:rPr>
        <w:t>avivaldybės lygiu investicinės lėšos švietimo plėtotei skiriamos pagal programas, nustatytas savivaldybių tarybų patvirtintuose biudžetuose.</w:t>
      </w:r>
    </w:p>
    <w:p w:rsidR="00E03446" w:rsidRDefault="00E0477F" w:rsidP="00DB6DCD">
      <w:pPr>
        <w:pStyle w:val="Betarp"/>
        <w:ind w:firstLine="720"/>
        <w:jc w:val="both"/>
      </w:pPr>
      <w:r w:rsidRPr="00DB6DCD">
        <w:rPr>
          <w:rFonts w:ascii="Times New Roman" w:hAnsi="Times New Roman"/>
          <w:sz w:val="24"/>
          <w:szCs w:val="24"/>
        </w:rPr>
        <w:t>Tinkama mokyklų pastatų ir patalpų būklė yra svarbus ugdymo sąlygų ir kokybės veiksnys. Mokyklų renovacija finansuojama tiek valstybės, tiek savivaldybės lėšomis. Savivaldybė skiria didelį dėmesį švietimo įstaigų pastatų, patalpų ir aplinkos gerinimui.</w:t>
      </w:r>
    </w:p>
    <w:p w:rsidR="00BD3DE9" w:rsidRPr="002B1682" w:rsidRDefault="00BD3DE9" w:rsidP="00DB6DCD">
      <w:pPr>
        <w:pStyle w:val="Betarp"/>
        <w:ind w:firstLine="720"/>
        <w:jc w:val="both"/>
        <w:rPr>
          <w:rFonts w:ascii="Times New Roman" w:hAnsi="Times New Roman"/>
          <w:sz w:val="24"/>
          <w:szCs w:val="24"/>
        </w:rPr>
      </w:pPr>
    </w:p>
    <w:p w:rsidR="003C1B52" w:rsidRPr="00DB6DCD" w:rsidRDefault="008913E3" w:rsidP="00DB6DCD">
      <w:pPr>
        <w:pStyle w:val="Betarp"/>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3</w:t>
      </w:r>
      <w:r w:rsidR="00151784" w:rsidRPr="00DB6DCD">
        <w:rPr>
          <w:rFonts w:ascii="Times New Roman" w:hAnsi="Times New Roman"/>
          <w:sz w:val="24"/>
          <w:szCs w:val="24"/>
          <w:shd w:val="clear" w:color="auto" w:fill="FFFFFF"/>
        </w:rPr>
        <w:t>0</w:t>
      </w:r>
      <w:r w:rsidR="00E0477F" w:rsidRPr="00DB6DCD">
        <w:rPr>
          <w:rFonts w:ascii="Times New Roman" w:hAnsi="Times New Roman"/>
          <w:sz w:val="24"/>
          <w:szCs w:val="24"/>
          <w:shd w:val="clear" w:color="auto" w:fill="FFFFFF"/>
        </w:rPr>
        <w:t xml:space="preserve"> lent</w:t>
      </w:r>
      <w:r w:rsidR="0073322D" w:rsidRPr="00DB6DCD">
        <w:rPr>
          <w:rFonts w:ascii="Times New Roman" w:hAnsi="Times New Roman"/>
          <w:sz w:val="24"/>
          <w:szCs w:val="24"/>
          <w:shd w:val="clear" w:color="auto" w:fill="FFFFFF"/>
        </w:rPr>
        <w:t xml:space="preserve">elė. </w:t>
      </w:r>
      <w:r w:rsidR="00E0477F" w:rsidRPr="00DB6DCD">
        <w:rPr>
          <w:rFonts w:ascii="Times New Roman" w:hAnsi="Times New Roman"/>
          <w:sz w:val="24"/>
          <w:szCs w:val="24"/>
          <w:shd w:val="clear" w:color="auto" w:fill="FFFFFF"/>
        </w:rPr>
        <w:t>Mokyklų pastatų, patalpų ir aplinkos gerinimo lėšos</w:t>
      </w:r>
    </w:p>
    <w:tbl>
      <w:tblPr>
        <w:tblW w:w="12972" w:type="dxa"/>
        <w:tblInd w:w="96" w:type="dxa"/>
        <w:tblLayout w:type="fixed"/>
        <w:tblLook w:val="04A0" w:firstRow="1" w:lastRow="0" w:firstColumn="1" w:lastColumn="0" w:noHBand="0" w:noVBand="1"/>
      </w:tblPr>
      <w:tblGrid>
        <w:gridCol w:w="540"/>
        <w:gridCol w:w="2262"/>
        <w:gridCol w:w="990"/>
        <w:gridCol w:w="990"/>
        <w:gridCol w:w="990"/>
        <w:gridCol w:w="1170"/>
        <w:gridCol w:w="990"/>
        <w:gridCol w:w="990"/>
        <w:gridCol w:w="1080"/>
        <w:gridCol w:w="990"/>
        <w:gridCol w:w="1080"/>
        <w:gridCol w:w="900"/>
      </w:tblGrid>
      <w:tr w:rsidR="003C1B52" w:rsidRPr="003C1B52" w:rsidTr="00716578">
        <w:trPr>
          <w:trHeight w:val="28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22"/>
                <w:szCs w:val="22"/>
                <w:lang w:val="en-US" w:eastAsia="en-US"/>
              </w:rPr>
            </w:pPr>
            <w:r w:rsidRPr="00DB6DCD">
              <w:rPr>
                <w:bCs/>
                <w:color w:val="000000"/>
                <w:sz w:val="22"/>
                <w:szCs w:val="22"/>
                <w:lang w:val="en-US" w:eastAsia="en-US"/>
              </w:rPr>
              <w:t>Eil.</w:t>
            </w:r>
            <w:r w:rsidRPr="00DB6DCD">
              <w:rPr>
                <w:bCs/>
                <w:color w:val="000000"/>
                <w:sz w:val="22"/>
                <w:szCs w:val="22"/>
                <w:lang w:val="en-US" w:eastAsia="en-US"/>
              </w:rPr>
              <w:br/>
              <w:t>Nr.</w:t>
            </w:r>
          </w:p>
        </w:tc>
        <w:tc>
          <w:tcPr>
            <w:tcW w:w="2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22"/>
                <w:szCs w:val="22"/>
                <w:lang w:val="en-US" w:eastAsia="en-US"/>
              </w:rPr>
            </w:pPr>
            <w:r w:rsidRPr="00DB6DCD">
              <w:rPr>
                <w:bCs/>
                <w:color w:val="000000"/>
                <w:sz w:val="22"/>
                <w:szCs w:val="22"/>
                <w:lang w:val="en-US" w:eastAsia="en-US"/>
              </w:rPr>
              <w:t>Mokykla</w:t>
            </w:r>
          </w:p>
        </w:tc>
        <w:tc>
          <w:tcPr>
            <w:tcW w:w="1980" w:type="dxa"/>
            <w:gridSpan w:val="2"/>
            <w:tcBorders>
              <w:top w:val="single" w:sz="4" w:space="0" w:color="auto"/>
              <w:left w:val="nil"/>
              <w:bottom w:val="single" w:sz="4" w:space="0" w:color="auto"/>
              <w:right w:val="single" w:sz="4" w:space="0" w:color="000000"/>
            </w:tcBorders>
            <w:shd w:val="clear" w:color="auto" w:fill="auto"/>
            <w:vAlign w:val="center"/>
            <w:hideMark/>
          </w:tcPr>
          <w:p w:rsidR="003C1B52" w:rsidRPr="00DB6DCD" w:rsidRDefault="003C1B52" w:rsidP="003C1B52">
            <w:pPr>
              <w:jc w:val="center"/>
              <w:rPr>
                <w:bCs/>
                <w:color w:val="000000"/>
                <w:sz w:val="22"/>
                <w:szCs w:val="22"/>
                <w:lang w:val="en-US" w:eastAsia="en-US"/>
              </w:rPr>
            </w:pPr>
            <w:r w:rsidRPr="00DB6DCD">
              <w:rPr>
                <w:bCs/>
                <w:color w:val="000000"/>
                <w:sz w:val="22"/>
                <w:szCs w:val="22"/>
                <w:lang w:val="en-US" w:eastAsia="en-US"/>
              </w:rPr>
              <w:t>2016 m. skirta lėšų</w:t>
            </w:r>
          </w:p>
        </w:tc>
        <w:tc>
          <w:tcPr>
            <w:tcW w:w="2160" w:type="dxa"/>
            <w:gridSpan w:val="2"/>
            <w:tcBorders>
              <w:top w:val="single" w:sz="4" w:space="0" w:color="auto"/>
              <w:left w:val="nil"/>
              <w:bottom w:val="single" w:sz="4" w:space="0" w:color="auto"/>
              <w:right w:val="single" w:sz="4" w:space="0" w:color="000000"/>
            </w:tcBorders>
            <w:shd w:val="clear" w:color="auto" w:fill="auto"/>
            <w:vAlign w:val="center"/>
            <w:hideMark/>
          </w:tcPr>
          <w:p w:rsidR="003C1B52" w:rsidRPr="00DB6DCD" w:rsidRDefault="003C1B52" w:rsidP="003C1B52">
            <w:pPr>
              <w:jc w:val="center"/>
              <w:rPr>
                <w:bCs/>
                <w:color w:val="000000"/>
                <w:sz w:val="22"/>
                <w:szCs w:val="22"/>
                <w:lang w:val="en-US" w:eastAsia="en-US"/>
              </w:rPr>
            </w:pPr>
            <w:r w:rsidRPr="00DB6DCD">
              <w:rPr>
                <w:bCs/>
                <w:color w:val="000000"/>
                <w:sz w:val="22"/>
                <w:szCs w:val="22"/>
                <w:lang w:val="en-US" w:eastAsia="en-US"/>
              </w:rPr>
              <w:t>2017 m. skirta lėšų</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22"/>
                <w:szCs w:val="22"/>
                <w:lang w:val="en-US" w:eastAsia="en-US"/>
              </w:rPr>
            </w:pPr>
            <w:r w:rsidRPr="00DB6DCD">
              <w:rPr>
                <w:bCs/>
                <w:color w:val="000000"/>
                <w:sz w:val="22"/>
                <w:szCs w:val="22"/>
                <w:lang w:val="en-US" w:eastAsia="en-US"/>
              </w:rPr>
              <w:t>2018 m. skirta lėšų</w:t>
            </w: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22"/>
                <w:szCs w:val="22"/>
                <w:lang w:val="en-US" w:eastAsia="en-US"/>
              </w:rPr>
            </w:pPr>
            <w:r w:rsidRPr="00DB6DCD">
              <w:rPr>
                <w:bCs/>
                <w:color w:val="000000"/>
                <w:sz w:val="22"/>
                <w:szCs w:val="22"/>
                <w:lang w:val="en-US" w:eastAsia="en-US"/>
              </w:rPr>
              <w:t>2019 m. skirta lėšų</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22"/>
                <w:szCs w:val="22"/>
                <w:lang w:val="en-US" w:eastAsia="en-US"/>
              </w:rPr>
            </w:pPr>
            <w:r w:rsidRPr="00DB6DCD">
              <w:rPr>
                <w:bCs/>
                <w:color w:val="000000"/>
                <w:sz w:val="22"/>
                <w:szCs w:val="22"/>
                <w:lang w:val="en-US" w:eastAsia="en-US"/>
              </w:rPr>
              <w:t>2020 m. skirta lėšų</w:t>
            </w:r>
          </w:p>
        </w:tc>
      </w:tr>
      <w:tr w:rsidR="003C1B52" w:rsidRPr="003C1B52" w:rsidTr="00716578">
        <w:trPr>
          <w:trHeight w:val="106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3C1B52" w:rsidRPr="003C1B52" w:rsidRDefault="003C1B52" w:rsidP="003C1B52">
            <w:pPr>
              <w:rPr>
                <w:b/>
                <w:bCs/>
                <w:color w:val="000000"/>
                <w:sz w:val="22"/>
                <w:szCs w:val="22"/>
                <w:lang w:val="en-US" w:eastAsia="en-US"/>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rsidR="003C1B52" w:rsidRPr="003C1B52" w:rsidRDefault="003C1B52" w:rsidP="003C1B52">
            <w:pPr>
              <w:rPr>
                <w:b/>
                <w:bCs/>
                <w:color w:val="000000"/>
                <w:sz w:val="22"/>
                <w:szCs w:val="22"/>
                <w:lang w:val="en-US" w:eastAsia="en-US"/>
              </w:rPr>
            </w:pP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r w:rsidRPr="00DB6DCD">
              <w:rPr>
                <w:bCs/>
                <w:color w:val="000000"/>
                <w:sz w:val="16"/>
                <w:szCs w:val="16"/>
                <w:lang w:val="en-US" w:eastAsia="en-US"/>
              </w:rPr>
              <w:t>Savivaldybės biudžeto lėšos</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r w:rsidRPr="00DB6DCD">
              <w:rPr>
                <w:bCs/>
                <w:color w:val="000000"/>
                <w:sz w:val="16"/>
                <w:szCs w:val="16"/>
                <w:lang w:val="en-US" w:eastAsia="en-US"/>
              </w:rPr>
              <w:t>Valstybės investicijų lėšos</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r w:rsidRPr="00DB6DCD">
              <w:rPr>
                <w:bCs/>
                <w:color w:val="000000"/>
                <w:sz w:val="16"/>
                <w:szCs w:val="16"/>
                <w:lang w:val="en-US" w:eastAsia="en-US"/>
              </w:rPr>
              <w:t>Savivaldybės biudžeto lėšos</w:t>
            </w:r>
          </w:p>
        </w:tc>
        <w:tc>
          <w:tcPr>
            <w:tcW w:w="117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r w:rsidRPr="00DB6DCD">
              <w:rPr>
                <w:bCs/>
                <w:color w:val="000000"/>
                <w:sz w:val="16"/>
                <w:szCs w:val="16"/>
                <w:lang w:val="en-US" w:eastAsia="en-US"/>
              </w:rPr>
              <w:t>Valstybės investicijų lėšos</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r w:rsidRPr="00DB6DCD">
              <w:rPr>
                <w:bCs/>
                <w:color w:val="000000"/>
                <w:sz w:val="16"/>
                <w:szCs w:val="16"/>
                <w:lang w:val="en-US" w:eastAsia="en-US"/>
              </w:rPr>
              <w:t>Savivaldybės biudžeto lėšos</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r w:rsidRPr="00DB6DCD">
              <w:rPr>
                <w:bCs/>
                <w:color w:val="000000"/>
                <w:sz w:val="16"/>
                <w:szCs w:val="16"/>
                <w:lang w:val="en-US" w:eastAsia="en-US"/>
              </w:rPr>
              <w:t>Valstybės</w:t>
            </w:r>
            <w:r w:rsidRPr="00DB6DCD">
              <w:rPr>
                <w:bCs/>
                <w:color w:val="000000"/>
                <w:sz w:val="16"/>
                <w:szCs w:val="16"/>
                <w:lang w:val="en-US" w:eastAsia="en-US"/>
              </w:rPr>
              <w:br/>
              <w:t>investicijų lėšos</w:t>
            </w:r>
          </w:p>
        </w:tc>
        <w:tc>
          <w:tcPr>
            <w:tcW w:w="108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r w:rsidRPr="00DB6DCD">
              <w:rPr>
                <w:bCs/>
                <w:color w:val="000000"/>
                <w:sz w:val="16"/>
                <w:szCs w:val="16"/>
                <w:lang w:val="en-US" w:eastAsia="en-US"/>
              </w:rPr>
              <w:t>Savivaldybės biudžeto lėšos</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r w:rsidRPr="00DB6DCD">
              <w:rPr>
                <w:bCs/>
                <w:color w:val="000000"/>
                <w:sz w:val="16"/>
                <w:szCs w:val="16"/>
                <w:lang w:val="en-US" w:eastAsia="en-US"/>
              </w:rPr>
              <w:t>Valstybės</w:t>
            </w:r>
            <w:r w:rsidRPr="00DB6DCD">
              <w:rPr>
                <w:bCs/>
                <w:color w:val="000000"/>
                <w:sz w:val="16"/>
                <w:szCs w:val="16"/>
                <w:lang w:val="en-US" w:eastAsia="en-US"/>
              </w:rPr>
              <w:br/>
              <w:t>investicijų lėšos</w:t>
            </w:r>
          </w:p>
        </w:tc>
        <w:tc>
          <w:tcPr>
            <w:tcW w:w="108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r w:rsidRPr="00DB6DCD">
              <w:rPr>
                <w:bCs/>
                <w:color w:val="000000"/>
                <w:sz w:val="16"/>
                <w:szCs w:val="16"/>
                <w:lang w:val="en-US" w:eastAsia="en-US"/>
              </w:rPr>
              <w:t>Savivaldybės biudžeto lėšos</w:t>
            </w:r>
          </w:p>
        </w:tc>
        <w:tc>
          <w:tcPr>
            <w:tcW w:w="90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sz w:val="16"/>
                <w:szCs w:val="16"/>
                <w:lang w:val="en-US" w:eastAsia="en-US"/>
              </w:rPr>
            </w:pPr>
            <w:r w:rsidRPr="00DB6DCD">
              <w:rPr>
                <w:bCs/>
                <w:color w:val="000000"/>
                <w:sz w:val="16"/>
                <w:szCs w:val="16"/>
                <w:lang w:val="en-US" w:eastAsia="en-US"/>
              </w:rPr>
              <w:t>Valstybės investicijų lėšos</w:t>
            </w:r>
          </w:p>
        </w:tc>
      </w:tr>
      <w:tr w:rsidR="003C1B52" w:rsidRPr="003C1B52" w:rsidTr="00716578">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Krekenavos Mykolo Antanaičio gimnazija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36,1</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70,6</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40,0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40,0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30,0</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Raguvos gimnazija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5,0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31,5</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28,2</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16,4</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20,0</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Ramygalos gimnazija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40,0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35,0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12,0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27,0</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4.</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Velžio gimnazija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11,0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25,0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61,6</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90,1</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57,5</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93,0</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39,7</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24,7</w:t>
            </w:r>
          </w:p>
        </w:tc>
      </w:tr>
      <w:tr w:rsidR="003C1B52" w:rsidRPr="003C1B52" w:rsidTr="00716578">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5.</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Naujamiesčio gimnazija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12,8</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30,0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6,0</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6.</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Paįstrio Juozo Zikaro gimnazija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18,0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35,0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30,0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7.</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Smilgių gimnazija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34,0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45,0</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8.</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Vadoklių pagrindinė mokykla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7,0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9.</w:t>
            </w:r>
          </w:p>
        </w:tc>
        <w:tc>
          <w:tcPr>
            <w:tcW w:w="2262" w:type="dxa"/>
            <w:tcBorders>
              <w:top w:val="single" w:sz="4" w:space="0" w:color="auto"/>
              <w:left w:val="nil"/>
              <w:bottom w:val="single" w:sz="4" w:space="0" w:color="auto"/>
              <w:right w:val="single" w:sz="4" w:space="0" w:color="000000"/>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Berčiūnų pagrindinė mokykla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Dembavos progimnazija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24,1</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103,0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40,9</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80,0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112,0</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56,9</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67,0</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34,7</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lastRenderedPageBreak/>
              <w:t>11.</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Karsakiškio Strazdelio pagrindinė mokykla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7,5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12.</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Linkaučių pagrindinė mokykla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1,7</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3,3</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13.</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Miežiškių pagrindinė mokykla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8,0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2,1</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14.</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Paliūniškio pagrindinė mokykla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7,0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8,0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10,0</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Upytės Antano Belazaro pagrindinė mokykla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25,0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13,7</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17,2</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16.</w:t>
            </w:r>
          </w:p>
        </w:tc>
        <w:tc>
          <w:tcPr>
            <w:tcW w:w="2262" w:type="dxa"/>
            <w:tcBorders>
              <w:top w:val="single" w:sz="4" w:space="0" w:color="auto"/>
              <w:left w:val="nil"/>
              <w:bottom w:val="single" w:sz="4" w:space="0" w:color="auto"/>
              <w:right w:val="single" w:sz="4" w:space="0" w:color="000000"/>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Žibartonių pagrindinė mokykla</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17.</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Bernatonių mokykla</w:t>
            </w:r>
            <w:r w:rsidR="00B37604">
              <w:rPr>
                <w:color w:val="000000"/>
                <w:lang w:val="en-US" w:eastAsia="en-US"/>
              </w:rPr>
              <w:t>-</w:t>
            </w:r>
            <w:r w:rsidRPr="003C1B52">
              <w:rPr>
                <w:color w:val="000000"/>
                <w:lang w:val="en-US" w:eastAsia="en-US"/>
              </w:rPr>
              <w:t>darželis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22,1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0,3</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18.</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Pažagienių mokykla</w:t>
            </w:r>
            <w:r w:rsidR="00B37604">
              <w:rPr>
                <w:color w:val="000000"/>
                <w:lang w:val="en-US" w:eastAsia="en-US"/>
              </w:rPr>
              <w:t>-</w:t>
            </w:r>
            <w:r w:rsidRPr="003C1B52">
              <w:rPr>
                <w:color w:val="000000"/>
                <w:lang w:val="en-US" w:eastAsia="en-US"/>
              </w:rPr>
              <w:t>darželis</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19,0</w:t>
            </w:r>
          </w:p>
        </w:tc>
        <w:tc>
          <w:tcPr>
            <w:tcW w:w="117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15,0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10,0</w:t>
            </w:r>
          </w:p>
        </w:tc>
        <w:tc>
          <w:tcPr>
            <w:tcW w:w="99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11,5</w:t>
            </w:r>
          </w:p>
        </w:tc>
        <w:tc>
          <w:tcPr>
            <w:tcW w:w="900" w:type="dxa"/>
            <w:tcBorders>
              <w:top w:val="nil"/>
              <w:left w:val="nil"/>
              <w:bottom w:val="single" w:sz="4" w:space="0" w:color="auto"/>
              <w:right w:val="single" w:sz="4" w:space="0" w:color="auto"/>
            </w:tcBorders>
            <w:shd w:val="clear" w:color="auto" w:fill="auto"/>
            <w:noWrap/>
            <w:vAlign w:val="bottom"/>
            <w:hideMark/>
          </w:tcPr>
          <w:p w:rsidR="003C1B52" w:rsidRPr="003C1B52" w:rsidRDefault="003C1B52" w:rsidP="003C1B52">
            <w:pPr>
              <w:jc w:val="center"/>
              <w:rPr>
                <w:color w:val="000000"/>
                <w:lang w:val="en-US" w:eastAsia="en-US"/>
              </w:rPr>
            </w:pPr>
            <w:r w:rsidRPr="003C1B52">
              <w:rPr>
                <w:color w:val="000000"/>
                <w:lang w:val="en-US" w:eastAsia="en-US"/>
              </w:rPr>
              <w:t> </w:t>
            </w:r>
          </w:p>
        </w:tc>
      </w:tr>
      <w:tr w:rsidR="003C1B52" w:rsidRPr="003C1B52" w:rsidTr="00716578">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19.</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Piniavos mokykla</w:t>
            </w:r>
            <w:r w:rsidR="00B37604">
              <w:rPr>
                <w:color w:val="000000"/>
                <w:lang w:val="en-US" w:eastAsia="en-US"/>
              </w:rPr>
              <w:t>-</w:t>
            </w:r>
            <w:r w:rsidRPr="003C1B52">
              <w:rPr>
                <w:color w:val="000000"/>
                <w:lang w:val="en-US" w:eastAsia="en-US"/>
              </w:rPr>
              <w:t>darželis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185,4</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300,0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24,8</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rPr>
                <w:color w:val="000000"/>
                <w:lang w:val="en-US" w:eastAsia="en-US"/>
              </w:rPr>
            </w:pPr>
            <w:r w:rsidRPr="003C1B52">
              <w:rPr>
                <w:color w:val="000000"/>
                <w:lang w:val="en-US" w:eastAsia="en-US"/>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1,2</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248,4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161,1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137,0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1B52" w:rsidRPr="003C1B52" w:rsidRDefault="003C1B52" w:rsidP="003C1B52">
            <w:pPr>
              <w:jc w:val="center"/>
              <w:rPr>
                <w:color w:val="000000"/>
                <w:lang w:val="en-US" w:eastAsia="en-US"/>
              </w:rPr>
            </w:pPr>
            <w:r w:rsidRPr="003C1B52">
              <w:rPr>
                <w:color w:val="000000"/>
                <w:lang w:val="en-US" w:eastAsia="en-US"/>
              </w:rPr>
              <w:t>42,5</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3C1B52" w:rsidRPr="003C1B52" w:rsidRDefault="003C1B52" w:rsidP="003C1B52">
            <w:pPr>
              <w:jc w:val="center"/>
              <w:rPr>
                <w:color w:val="000000"/>
                <w:lang w:val="en-US" w:eastAsia="en-US"/>
              </w:rPr>
            </w:pPr>
            <w:r w:rsidRPr="003C1B52">
              <w:rPr>
                <w:color w:val="000000"/>
                <w:lang w:val="en-US" w:eastAsia="en-US"/>
              </w:rPr>
              <w:t>508,0</w:t>
            </w:r>
          </w:p>
        </w:tc>
      </w:tr>
      <w:tr w:rsidR="003C1B52" w:rsidRPr="00DB6DCD" w:rsidTr="00DC47AC">
        <w:trPr>
          <w:trHeight w:val="312"/>
        </w:trPr>
        <w:tc>
          <w:tcPr>
            <w:tcW w:w="28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Iš viso</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429,5</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473,6</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369,4</w:t>
            </w:r>
          </w:p>
        </w:tc>
        <w:tc>
          <w:tcPr>
            <w:tcW w:w="117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80,0</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324,7</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450,5</w:t>
            </w:r>
          </w:p>
        </w:tc>
        <w:tc>
          <w:tcPr>
            <w:tcW w:w="108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428,9</w:t>
            </w:r>
          </w:p>
        </w:tc>
        <w:tc>
          <w:tcPr>
            <w:tcW w:w="99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313,4</w:t>
            </w:r>
          </w:p>
        </w:tc>
        <w:tc>
          <w:tcPr>
            <w:tcW w:w="108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330,4</w:t>
            </w:r>
          </w:p>
        </w:tc>
        <w:tc>
          <w:tcPr>
            <w:tcW w:w="900" w:type="dxa"/>
            <w:tcBorders>
              <w:top w:val="nil"/>
              <w:left w:val="nil"/>
              <w:bottom w:val="single" w:sz="4" w:space="0" w:color="auto"/>
              <w:right w:val="single" w:sz="4" w:space="0" w:color="auto"/>
            </w:tcBorders>
            <w:shd w:val="clear" w:color="auto" w:fill="auto"/>
            <w:vAlign w:val="center"/>
            <w:hideMark/>
          </w:tcPr>
          <w:p w:rsidR="003C1B52" w:rsidRPr="00DB6DCD" w:rsidRDefault="003C1B52" w:rsidP="003C1B52">
            <w:pPr>
              <w:jc w:val="center"/>
              <w:rPr>
                <w:bCs/>
                <w:color w:val="000000"/>
                <w:lang w:val="en-US" w:eastAsia="en-US"/>
              </w:rPr>
            </w:pPr>
            <w:r w:rsidRPr="00DB6DCD">
              <w:rPr>
                <w:bCs/>
                <w:color w:val="000000"/>
                <w:lang w:val="en-US" w:eastAsia="en-US"/>
              </w:rPr>
              <w:t>532,7</w:t>
            </w:r>
          </w:p>
        </w:tc>
      </w:tr>
    </w:tbl>
    <w:p w:rsidR="0086288C" w:rsidRPr="00DB6DCD" w:rsidRDefault="0086288C" w:rsidP="003C1B52">
      <w:pPr>
        <w:spacing w:line="360" w:lineRule="auto"/>
        <w:jc w:val="both"/>
        <w:rPr>
          <w:rFonts w:eastAsia="Calibri"/>
          <w:szCs w:val="20"/>
          <w:lang w:eastAsia="en-US"/>
        </w:rPr>
      </w:pPr>
    </w:p>
    <w:p w:rsidR="00CB03EF" w:rsidRPr="00DB6DCD" w:rsidRDefault="006F0728" w:rsidP="00DB6DCD">
      <w:pPr>
        <w:pStyle w:val="Betarp"/>
        <w:ind w:firstLine="720"/>
        <w:jc w:val="both"/>
        <w:rPr>
          <w:b/>
          <w:color w:val="5B9BD5"/>
          <w:lang w:val="pl-PL"/>
        </w:rPr>
      </w:pPr>
      <w:r w:rsidRPr="00DB6DCD">
        <w:rPr>
          <w:rFonts w:ascii="Times New Roman" w:hAnsi="Times New Roman"/>
          <w:b/>
          <w:sz w:val="24"/>
          <w:szCs w:val="24"/>
          <w:lang w:val="pl-PL"/>
        </w:rPr>
        <w:t>10</w:t>
      </w:r>
      <w:r w:rsidR="00E0477F" w:rsidRPr="00DB6DCD">
        <w:rPr>
          <w:rFonts w:ascii="Times New Roman" w:hAnsi="Times New Roman"/>
          <w:b/>
          <w:sz w:val="24"/>
          <w:szCs w:val="24"/>
          <w:lang w:val="pl-PL"/>
        </w:rPr>
        <w:t>. Mokytojų kokybinė sudėtis</w:t>
      </w:r>
      <w:r w:rsidR="000C0D84" w:rsidRPr="00DB6DCD">
        <w:rPr>
          <w:rFonts w:ascii="Times New Roman" w:hAnsi="Times New Roman"/>
          <w:b/>
          <w:sz w:val="24"/>
          <w:szCs w:val="24"/>
          <w:lang w:val="pl-PL"/>
        </w:rPr>
        <w:t xml:space="preserve">   </w:t>
      </w:r>
    </w:p>
    <w:p w:rsidR="002A57DA" w:rsidRPr="00981FB0" w:rsidRDefault="00E0477F" w:rsidP="00DB6DCD">
      <w:pPr>
        <w:pStyle w:val="Betarp"/>
        <w:ind w:firstLine="720"/>
        <w:jc w:val="both"/>
        <w:rPr>
          <w:color w:val="FF0000"/>
          <w:lang w:val="pl-PL"/>
        </w:rPr>
      </w:pPr>
      <w:r w:rsidRPr="00DB6DCD">
        <w:rPr>
          <w:rFonts w:ascii="Times New Roman" w:hAnsi="Times New Roman"/>
          <w:color w:val="000000"/>
          <w:sz w:val="24"/>
          <w:szCs w:val="24"/>
        </w:rPr>
        <w:t xml:space="preserve">Mokytojų </w:t>
      </w:r>
      <w:r w:rsidRPr="00DB6DCD">
        <w:rPr>
          <w:rFonts w:ascii="Times New Roman" w:hAnsi="Times New Roman"/>
          <w:sz w:val="24"/>
          <w:szCs w:val="24"/>
        </w:rPr>
        <w:t xml:space="preserve">kompetencija ir kvalifikacijos tobulinimas daro didelę įtaką švietimo kokybei, mokinių pasiekimams ir pažangai, asmenybės ūgčiai, saviraiškiam dalyvavimui, dialogiškam ir tyrinėjančiam ugdymui. Panevėžio rajono švietimo centras kasmet organizuoja įvairius mokymus (2016 m. – 170 renginių, 1 211 val., 4 607 dalyviai; 2017 m. – 223 renginiai, 1 230 val., </w:t>
      </w:r>
      <w:r w:rsidR="00F8228D">
        <w:rPr>
          <w:rFonts w:ascii="Times New Roman" w:hAnsi="Times New Roman"/>
          <w:sz w:val="24"/>
          <w:szCs w:val="24"/>
        </w:rPr>
        <w:br/>
      </w:r>
      <w:r w:rsidRPr="00DB6DCD">
        <w:rPr>
          <w:rFonts w:ascii="Times New Roman" w:hAnsi="Times New Roman"/>
          <w:sz w:val="24"/>
          <w:szCs w:val="24"/>
        </w:rPr>
        <w:t>4 287 dalyviai; 2018 m. – 179 renginiai, 1 189 val., 4 652 dalyviai; 2019 m. – 71 renginys, 660 val., 2 210 dalyvių) bei vykdo projektinę veiklą, susijusią su mokytojų asmenybių ugdymu, lyderyste, dalyko ir metodikos naujovėmis. Švietimo centras, siekdamas geriau patenkinti mokytojų kvalifikacijos tobulinimo poreikius ir planuodamas metų veiklas, at</w:t>
      </w:r>
      <w:r w:rsidR="0044566F" w:rsidRPr="00DB6DCD">
        <w:rPr>
          <w:rFonts w:ascii="Times New Roman" w:hAnsi="Times New Roman"/>
          <w:sz w:val="24"/>
          <w:szCs w:val="24"/>
        </w:rPr>
        <w:t>lieka poreikių nustatymo apklausas</w:t>
      </w:r>
      <w:r w:rsidRPr="00DB6DCD">
        <w:rPr>
          <w:rFonts w:ascii="Times New Roman" w:hAnsi="Times New Roman"/>
          <w:sz w:val="24"/>
          <w:szCs w:val="24"/>
        </w:rPr>
        <w:t xml:space="preserve"> ir siūlo kvalifikacijos temas bei kryptis pedagogams. Įsivertindami pasirengimą pamokai, mokytojai pripaž</w:t>
      </w:r>
      <w:r w:rsidR="00F604AC">
        <w:rPr>
          <w:rFonts w:ascii="Times New Roman" w:hAnsi="Times New Roman"/>
          <w:sz w:val="24"/>
          <w:szCs w:val="24"/>
        </w:rPr>
        <w:t>įsta</w:t>
      </w:r>
      <w:r w:rsidRPr="00DB6DCD">
        <w:rPr>
          <w:rFonts w:ascii="Times New Roman" w:hAnsi="Times New Roman"/>
          <w:sz w:val="24"/>
          <w:szCs w:val="24"/>
        </w:rPr>
        <w:t>, kad daugiausia sunkumų turi ugdymo turinio individualizavimo ir diferencijavimo, gabių mokinių ugdymo bei mokinių pažangos klausimai.</w:t>
      </w:r>
      <w:bookmarkStart w:id="0" w:name="_GoBack"/>
      <w:bookmarkEnd w:id="0"/>
    </w:p>
    <w:p w:rsidR="002A57DA" w:rsidRPr="00981FB0" w:rsidRDefault="00E0477F" w:rsidP="00DB6DCD">
      <w:pPr>
        <w:pStyle w:val="Betarp"/>
        <w:ind w:firstLine="720"/>
        <w:jc w:val="both"/>
      </w:pPr>
      <w:r w:rsidRPr="00DB6DCD">
        <w:rPr>
          <w:rFonts w:ascii="Times New Roman" w:hAnsi="Times New Roman"/>
          <w:sz w:val="24"/>
          <w:szCs w:val="24"/>
        </w:rPr>
        <w:lastRenderedPageBreak/>
        <w:t>2016–2017 m. m. mokytojų kvalifikacinės kategorijos: 1 mokytojas ekspertas (0,29 proc.); 129 mokytojai metodininkai</w:t>
      </w:r>
      <w:r w:rsidR="00B879D4" w:rsidRPr="00DB6DCD">
        <w:rPr>
          <w:rFonts w:ascii="Times New Roman" w:hAnsi="Times New Roman"/>
          <w:sz w:val="24"/>
          <w:szCs w:val="24"/>
        </w:rPr>
        <w:br/>
      </w:r>
      <w:r w:rsidRPr="00DB6DCD">
        <w:rPr>
          <w:rFonts w:ascii="Times New Roman" w:hAnsi="Times New Roman"/>
          <w:sz w:val="24"/>
          <w:szCs w:val="24"/>
        </w:rPr>
        <w:t>(38,05 proc.); 195 vyresn. mokytojai (57,52 proc.); 14 mokytojų (4,13 proc.).</w:t>
      </w:r>
    </w:p>
    <w:p w:rsidR="002A57DA" w:rsidRPr="00981FB0" w:rsidRDefault="00E0477F" w:rsidP="00DB6DCD">
      <w:pPr>
        <w:pStyle w:val="Betarp"/>
        <w:ind w:firstLine="720"/>
        <w:jc w:val="both"/>
      </w:pPr>
      <w:r w:rsidRPr="00DB6DCD">
        <w:rPr>
          <w:rFonts w:ascii="Times New Roman" w:hAnsi="Times New Roman"/>
          <w:sz w:val="24"/>
          <w:szCs w:val="24"/>
        </w:rPr>
        <w:t>2016–2017 m. m. mokyklose dirbo 4,27 proc. pensinio amžiaus mokytojų (Lietuvoje 6,21 proc.).</w:t>
      </w:r>
    </w:p>
    <w:p w:rsidR="002A57DA" w:rsidRPr="00981FB0" w:rsidRDefault="00E0477F" w:rsidP="00DB6DCD">
      <w:pPr>
        <w:pStyle w:val="Betarp"/>
        <w:ind w:firstLine="720"/>
        <w:jc w:val="both"/>
      </w:pPr>
      <w:r w:rsidRPr="00DB6DCD">
        <w:rPr>
          <w:rFonts w:ascii="Times New Roman" w:hAnsi="Times New Roman"/>
          <w:sz w:val="24"/>
          <w:szCs w:val="24"/>
        </w:rPr>
        <w:t>2019–2020 m. m. mokytojų kvalifikacinės kategorijos: 2 mo</w:t>
      </w:r>
      <w:r w:rsidR="002A57DA" w:rsidRPr="00DB6DCD">
        <w:rPr>
          <w:rFonts w:ascii="Times New Roman" w:hAnsi="Times New Roman"/>
          <w:sz w:val="24"/>
          <w:szCs w:val="24"/>
        </w:rPr>
        <w:t xml:space="preserve">kytojai ekspertai (0,68 proc.); </w:t>
      </w:r>
      <w:r w:rsidRPr="00DB6DCD">
        <w:rPr>
          <w:rFonts w:ascii="Times New Roman" w:hAnsi="Times New Roman"/>
          <w:sz w:val="24"/>
          <w:szCs w:val="24"/>
        </w:rPr>
        <w:t>124 mokytojai metodininkai</w:t>
      </w:r>
      <w:r w:rsidR="000425E7" w:rsidRPr="00DB6DCD">
        <w:rPr>
          <w:rFonts w:ascii="Times New Roman" w:hAnsi="Times New Roman"/>
          <w:sz w:val="24"/>
          <w:szCs w:val="24"/>
        </w:rPr>
        <w:br/>
      </w:r>
      <w:r w:rsidRPr="00DB6DCD">
        <w:rPr>
          <w:rFonts w:ascii="Times New Roman" w:hAnsi="Times New Roman"/>
          <w:sz w:val="24"/>
          <w:szCs w:val="24"/>
        </w:rPr>
        <w:t>(42,18 proc.); 161 vyresn. mokytojas (54,76 proc.); 7 mokytojai (2,38 proc.).</w:t>
      </w:r>
    </w:p>
    <w:p w:rsidR="005B7888" w:rsidRPr="00981FB0" w:rsidRDefault="00E0477F" w:rsidP="00DB6DCD">
      <w:pPr>
        <w:pStyle w:val="Betarp"/>
        <w:ind w:firstLine="720"/>
        <w:jc w:val="both"/>
      </w:pPr>
      <w:r w:rsidRPr="00DB6DCD">
        <w:rPr>
          <w:rFonts w:ascii="Times New Roman" w:hAnsi="Times New Roman"/>
          <w:sz w:val="24"/>
          <w:szCs w:val="24"/>
        </w:rPr>
        <w:t>2019–2020 m. m. dirbo 5,06 proc. pensinio amžiaus mokytojų (Lietuvoje 7,42 proc.).</w:t>
      </w:r>
    </w:p>
    <w:p w:rsidR="00FD4499" w:rsidRPr="00981FB0" w:rsidRDefault="00E0477F" w:rsidP="00DB6DCD">
      <w:pPr>
        <w:pStyle w:val="Betarp"/>
        <w:ind w:firstLine="720"/>
        <w:jc w:val="both"/>
      </w:pPr>
      <w:r w:rsidRPr="00DB6DCD">
        <w:rPr>
          <w:rFonts w:ascii="Times New Roman" w:hAnsi="Times New Roman"/>
          <w:sz w:val="24"/>
          <w:szCs w:val="24"/>
        </w:rPr>
        <w:t>Siekiant aukštesnės mokinių ugdymo(si) kokybės, Š</w:t>
      </w:r>
      <w:r w:rsidR="001238F4">
        <w:rPr>
          <w:rFonts w:ascii="Times New Roman" w:hAnsi="Times New Roman"/>
          <w:sz w:val="24"/>
          <w:szCs w:val="24"/>
        </w:rPr>
        <w:t>vietimo, mokslo ir sporto ministerija</w:t>
      </w:r>
      <w:r w:rsidRPr="00DB6DCD">
        <w:rPr>
          <w:rFonts w:ascii="Times New Roman" w:hAnsi="Times New Roman"/>
          <w:sz w:val="24"/>
          <w:szCs w:val="24"/>
        </w:rPr>
        <w:t xml:space="preserve"> rekomenduoja kryptingai tobulinti mokytojų kvalifikaciją ir ieškoti būdų pritraukti į mokyklas jaunų mokytojų.</w:t>
      </w:r>
    </w:p>
    <w:p w:rsidR="000C2D6C" w:rsidRPr="001238F4" w:rsidRDefault="000C2D6C" w:rsidP="00DB6DCD">
      <w:pPr>
        <w:pStyle w:val="Betarp"/>
        <w:jc w:val="both"/>
        <w:rPr>
          <w:rFonts w:ascii="Times New Roman" w:hAnsi="Times New Roman"/>
          <w:sz w:val="24"/>
          <w:szCs w:val="24"/>
        </w:rPr>
      </w:pPr>
    </w:p>
    <w:p w:rsidR="00BD3DE9" w:rsidRPr="008913E3" w:rsidRDefault="006F0728" w:rsidP="00DB6DCD">
      <w:pPr>
        <w:pStyle w:val="Betarp"/>
        <w:ind w:firstLine="720"/>
        <w:jc w:val="both"/>
        <w:rPr>
          <w:rFonts w:ascii="Times New Roman" w:hAnsi="Times New Roman"/>
          <w:sz w:val="24"/>
          <w:szCs w:val="24"/>
        </w:rPr>
      </w:pPr>
      <w:r w:rsidRPr="00DB6DCD">
        <w:rPr>
          <w:rFonts w:ascii="Times New Roman" w:hAnsi="Times New Roman"/>
          <w:b/>
          <w:sz w:val="24"/>
          <w:szCs w:val="24"/>
        </w:rPr>
        <w:t>11</w:t>
      </w:r>
      <w:r w:rsidR="006434E5" w:rsidRPr="00DB6DCD">
        <w:rPr>
          <w:rFonts w:ascii="Times New Roman" w:hAnsi="Times New Roman"/>
          <w:b/>
          <w:sz w:val="24"/>
          <w:szCs w:val="24"/>
        </w:rPr>
        <w:t xml:space="preserve">. </w:t>
      </w:r>
      <w:r w:rsidR="000915E8" w:rsidRPr="00DB6DCD">
        <w:rPr>
          <w:rFonts w:ascii="Times New Roman" w:hAnsi="Times New Roman"/>
          <w:b/>
          <w:sz w:val="24"/>
          <w:szCs w:val="24"/>
        </w:rPr>
        <w:t>Spręstinos problemos ir SSGG analizė</w:t>
      </w:r>
    </w:p>
    <w:p w:rsidR="00DB029D" w:rsidRPr="008913E3" w:rsidRDefault="000C0D84" w:rsidP="00DB6DCD">
      <w:pPr>
        <w:pStyle w:val="Betarp"/>
        <w:ind w:firstLine="720"/>
        <w:jc w:val="both"/>
        <w:rPr>
          <w:rFonts w:ascii="Times New Roman" w:hAnsi="Times New Roman"/>
          <w:sz w:val="24"/>
          <w:szCs w:val="24"/>
        </w:rPr>
      </w:pPr>
      <w:r w:rsidRPr="008913E3">
        <w:rPr>
          <w:rFonts w:ascii="Times New Roman" w:hAnsi="Times New Roman"/>
          <w:sz w:val="24"/>
          <w:szCs w:val="24"/>
        </w:rPr>
        <w:t xml:space="preserve">    </w:t>
      </w:r>
    </w:p>
    <w:p w:rsidR="00DB029D" w:rsidRPr="008913E3" w:rsidRDefault="008913E3" w:rsidP="00DB6DCD">
      <w:pPr>
        <w:pStyle w:val="Betarp"/>
        <w:ind w:firstLine="720"/>
        <w:jc w:val="both"/>
        <w:rPr>
          <w:rFonts w:ascii="Times New Roman" w:hAnsi="Times New Roman"/>
          <w:sz w:val="24"/>
          <w:szCs w:val="24"/>
        </w:rPr>
      </w:pPr>
      <w:r w:rsidRPr="008913E3">
        <w:rPr>
          <w:rFonts w:ascii="Times New Roman" w:hAnsi="Times New Roman"/>
          <w:sz w:val="24"/>
          <w:szCs w:val="24"/>
        </w:rPr>
        <w:t>3</w:t>
      </w:r>
      <w:r w:rsidR="00DB029D" w:rsidRPr="008913E3">
        <w:rPr>
          <w:rFonts w:ascii="Times New Roman" w:hAnsi="Times New Roman"/>
          <w:sz w:val="24"/>
          <w:szCs w:val="24"/>
        </w:rPr>
        <w:t>1 lentelė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8"/>
        <w:gridCol w:w="5884"/>
      </w:tblGrid>
      <w:tr w:rsidR="00DB029D" w:rsidTr="008913E3">
        <w:trPr>
          <w:trHeight w:val="325"/>
        </w:trPr>
        <w:tc>
          <w:tcPr>
            <w:tcW w:w="6698" w:type="dxa"/>
            <w:tcBorders>
              <w:top w:val="single" w:sz="4" w:space="0" w:color="auto"/>
              <w:left w:val="single" w:sz="4" w:space="0" w:color="auto"/>
              <w:bottom w:val="single" w:sz="4" w:space="0" w:color="auto"/>
              <w:right w:val="single" w:sz="4" w:space="0" w:color="auto"/>
            </w:tcBorders>
            <w:hideMark/>
          </w:tcPr>
          <w:p w:rsidR="00DB029D" w:rsidRPr="00CA4698" w:rsidRDefault="00DB029D">
            <w:pPr>
              <w:spacing w:line="276" w:lineRule="auto"/>
              <w:jc w:val="center"/>
              <w:rPr>
                <w:lang w:eastAsia="en-US"/>
              </w:rPr>
            </w:pPr>
            <w:r w:rsidRPr="00DB6DCD">
              <w:rPr>
                <w:lang w:eastAsia="en-US"/>
              </w:rPr>
              <w:t>Stiprybės</w:t>
            </w:r>
          </w:p>
        </w:tc>
        <w:tc>
          <w:tcPr>
            <w:tcW w:w="5884" w:type="dxa"/>
            <w:tcBorders>
              <w:top w:val="single" w:sz="4" w:space="0" w:color="auto"/>
              <w:left w:val="single" w:sz="4" w:space="0" w:color="auto"/>
              <w:bottom w:val="single" w:sz="4" w:space="0" w:color="auto"/>
              <w:right w:val="single" w:sz="4" w:space="0" w:color="auto"/>
            </w:tcBorders>
            <w:hideMark/>
          </w:tcPr>
          <w:p w:rsidR="00DB029D" w:rsidRPr="00CA4698" w:rsidRDefault="00DB029D">
            <w:pPr>
              <w:spacing w:line="276" w:lineRule="auto"/>
              <w:jc w:val="center"/>
              <w:rPr>
                <w:lang w:eastAsia="en-US"/>
              </w:rPr>
            </w:pPr>
            <w:r w:rsidRPr="00DB6DCD">
              <w:rPr>
                <w:lang w:eastAsia="en-US"/>
              </w:rPr>
              <w:t>Silpnybės</w:t>
            </w:r>
          </w:p>
        </w:tc>
      </w:tr>
      <w:tr w:rsidR="00DB029D" w:rsidTr="008913E3">
        <w:trPr>
          <w:trHeight w:val="675"/>
        </w:trPr>
        <w:tc>
          <w:tcPr>
            <w:tcW w:w="6698" w:type="dxa"/>
            <w:tcBorders>
              <w:top w:val="single" w:sz="4" w:space="0" w:color="auto"/>
              <w:left w:val="single" w:sz="4" w:space="0" w:color="auto"/>
              <w:bottom w:val="single" w:sz="4" w:space="0" w:color="auto"/>
              <w:right w:val="single" w:sz="4" w:space="0" w:color="auto"/>
            </w:tcBorders>
            <w:hideMark/>
          </w:tcPr>
          <w:p w:rsidR="00DB029D" w:rsidRDefault="00DB029D">
            <w:pPr>
              <w:pStyle w:val="Betarp"/>
              <w:rPr>
                <w:rFonts w:ascii="Times New Roman" w:hAnsi="Times New Roman"/>
                <w:sz w:val="24"/>
                <w:szCs w:val="24"/>
              </w:rPr>
            </w:pPr>
            <w:r>
              <w:rPr>
                <w:rFonts w:ascii="Times New Roman" w:hAnsi="Times New Roman"/>
                <w:sz w:val="24"/>
                <w:szCs w:val="24"/>
              </w:rPr>
              <w:t>Įgyvendintas Panevėžio rajono savivaldybės mokyklų tinklo pertvarkos 2016–2020 metų bendrasis planas.</w:t>
            </w:r>
          </w:p>
          <w:p w:rsidR="00DB029D" w:rsidRPr="00CA4698" w:rsidRDefault="001238F4">
            <w:pPr>
              <w:pStyle w:val="Betarp"/>
              <w:rPr>
                <w:rFonts w:ascii="Times New Roman" w:hAnsi="Times New Roman"/>
                <w:sz w:val="24"/>
                <w:szCs w:val="24"/>
              </w:rPr>
            </w:pPr>
            <w:r w:rsidRPr="00CA4698">
              <w:rPr>
                <w:rFonts w:ascii="Times New Roman" w:hAnsi="Times New Roman"/>
                <w:sz w:val="24"/>
                <w:szCs w:val="24"/>
              </w:rPr>
              <w:t>V</w:t>
            </w:r>
            <w:r w:rsidR="00DB029D" w:rsidRPr="00CA4698">
              <w:rPr>
                <w:rFonts w:ascii="Times New Roman" w:hAnsi="Times New Roman"/>
                <w:sz w:val="24"/>
                <w:szCs w:val="24"/>
              </w:rPr>
              <w:t>eikia įvairių tipų mokyklos.</w:t>
            </w:r>
          </w:p>
          <w:p w:rsidR="00DB029D" w:rsidRDefault="00DB029D">
            <w:pPr>
              <w:pStyle w:val="Betarp"/>
              <w:rPr>
                <w:rFonts w:ascii="Times New Roman" w:hAnsi="Times New Roman"/>
                <w:sz w:val="24"/>
                <w:szCs w:val="24"/>
              </w:rPr>
            </w:pPr>
            <w:r>
              <w:rPr>
                <w:rFonts w:ascii="Times New Roman" w:hAnsi="Times New Roman"/>
                <w:sz w:val="24"/>
                <w:szCs w:val="24"/>
              </w:rPr>
              <w:t>Mažėja jungtinių klasių skaičius.</w:t>
            </w:r>
          </w:p>
          <w:p w:rsidR="00DB029D" w:rsidRDefault="00DB029D">
            <w:pPr>
              <w:pStyle w:val="Betarp"/>
              <w:rPr>
                <w:rFonts w:ascii="Times New Roman" w:hAnsi="Times New Roman"/>
                <w:sz w:val="24"/>
                <w:szCs w:val="24"/>
              </w:rPr>
            </w:pPr>
            <w:r>
              <w:rPr>
                <w:rFonts w:ascii="Times New Roman" w:hAnsi="Times New Roman"/>
                <w:sz w:val="24"/>
                <w:szCs w:val="24"/>
              </w:rPr>
              <w:t>Mokytojams kompensuojamos kelionės į darbą išlaidos.</w:t>
            </w:r>
          </w:p>
          <w:p w:rsidR="00DB029D" w:rsidRDefault="00DB029D">
            <w:pPr>
              <w:pStyle w:val="Betarp"/>
              <w:rPr>
                <w:rFonts w:ascii="Times New Roman" w:hAnsi="Times New Roman"/>
                <w:sz w:val="24"/>
                <w:szCs w:val="24"/>
              </w:rPr>
            </w:pPr>
            <w:r>
              <w:rPr>
                <w:rFonts w:ascii="Times New Roman" w:hAnsi="Times New Roman"/>
                <w:sz w:val="24"/>
                <w:szCs w:val="24"/>
              </w:rPr>
              <w:t>Atnaujinami mokyklų pastatai, gerinamos ugdymo sąlygos, edukacinė aplinka.</w:t>
            </w:r>
          </w:p>
          <w:p w:rsidR="00DB029D" w:rsidRDefault="00DB029D">
            <w:pPr>
              <w:pStyle w:val="Betarp"/>
              <w:rPr>
                <w:rFonts w:ascii="Times New Roman" w:hAnsi="Times New Roman"/>
                <w:sz w:val="24"/>
                <w:szCs w:val="24"/>
              </w:rPr>
            </w:pPr>
            <w:r>
              <w:rPr>
                <w:rFonts w:ascii="Times New Roman" w:hAnsi="Times New Roman"/>
                <w:sz w:val="24"/>
                <w:szCs w:val="24"/>
              </w:rPr>
              <w:t>Švietimo pagalbos institucijos (Š</w:t>
            </w:r>
            <w:r w:rsidR="001238F4">
              <w:rPr>
                <w:rFonts w:ascii="Times New Roman" w:hAnsi="Times New Roman"/>
                <w:sz w:val="24"/>
                <w:szCs w:val="24"/>
              </w:rPr>
              <w:t>vietimo centras</w:t>
            </w:r>
            <w:r>
              <w:rPr>
                <w:rFonts w:ascii="Times New Roman" w:hAnsi="Times New Roman"/>
                <w:sz w:val="24"/>
                <w:szCs w:val="24"/>
              </w:rPr>
              <w:t xml:space="preserve"> ir P</w:t>
            </w:r>
            <w:r w:rsidR="001238F4">
              <w:rPr>
                <w:rFonts w:ascii="Times New Roman" w:hAnsi="Times New Roman"/>
                <w:sz w:val="24"/>
                <w:szCs w:val="24"/>
              </w:rPr>
              <w:t>edagoginė psichologinė tarnyba</w:t>
            </w:r>
            <w:r>
              <w:rPr>
                <w:rFonts w:ascii="Times New Roman" w:hAnsi="Times New Roman"/>
                <w:sz w:val="24"/>
                <w:szCs w:val="24"/>
              </w:rPr>
              <w:t>) aktyviai dalyvauja projektinėje veikloje.</w:t>
            </w:r>
          </w:p>
          <w:p w:rsidR="00DB029D" w:rsidRDefault="00DB029D">
            <w:pPr>
              <w:pStyle w:val="Betarp"/>
              <w:rPr>
                <w:rFonts w:ascii="Times New Roman" w:hAnsi="Times New Roman"/>
                <w:sz w:val="24"/>
                <w:szCs w:val="24"/>
              </w:rPr>
            </w:pPr>
            <w:r>
              <w:rPr>
                <w:rFonts w:ascii="Times New Roman" w:hAnsi="Times New Roman"/>
                <w:sz w:val="24"/>
                <w:szCs w:val="24"/>
              </w:rPr>
              <w:t>Veikia formalųjį švietimą papildančio muzikinio ugdymo mokykla – Muzikos mokykla.</w:t>
            </w:r>
          </w:p>
          <w:p w:rsidR="00DB029D" w:rsidRDefault="00DB029D">
            <w:pPr>
              <w:pStyle w:val="Betarp"/>
              <w:rPr>
                <w:rFonts w:ascii="Times New Roman" w:hAnsi="Times New Roman"/>
                <w:sz w:val="24"/>
                <w:szCs w:val="24"/>
              </w:rPr>
            </w:pPr>
            <w:r>
              <w:rPr>
                <w:rFonts w:ascii="Times New Roman" w:hAnsi="Times New Roman"/>
                <w:sz w:val="24"/>
                <w:szCs w:val="24"/>
              </w:rPr>
              <w:t>Mokyklos, dalyvaudamos ES finansuojamuose projektuose, aprūpinamos IKT bei šiuolaikiškomis mokymo priemonėmis. Mokytojai turi galimybę susipažinti su užsienio mokyklų darbo patirtimi.</w:t>
            </w:r>
          </w:p>
          <w:p w:rsidR="00DB029D" w:rsidRDefault="00DB029D">
            <w:pPr>
              <w:pStyle w:val="Betarp"/>
              <w:rPr>
                <w:rFonts w:ascii="Times New Roman" w:hAnsi="Times New Roman"/>
                <w:sz w:val="24"/>
                <w:szCs w:val="24"/>
              </w:rPr>
            </w:pPr>
            <w:r>
              <w:rPr>
                <w:rFonts w:ascii="Times New Roman" w:hAnsi="Times New Roman"/>
                <w:sz w:val="24"/>
                <w:szCs w:val="24"/>
              </w:rPr>
              <w:t>Didėja mokinių, lankančių neformaliojo vaikų švietimo veiklas, skaičius.</w:t>
            </w:r>
          </w:p>
          <w:p w:rsidR="00DB029D" w:rsidRDefault="00DB029D">
            <w:pPr>
              <w:pStyle w:val="Betarp"/>
            </w:pPr>
            <w:r>
              <w:rPr>
                <w:rFonts w:ascii="Times New Roman" w:hAnsi="Times New Roman"/>
                <w:sz w:val="24"/>
                <w:szCs w:val="24"/>
              </w:rPr>
              <w:t>Vaikų socializacijos, vaikų vasaros užimtumo ir poilsio, smurto ir patyčių prevencijos programos suteikia galimybę dideliam skaičiui mokinių dalyvauti kitose įvairiose veiklose.</w:t>
            </w:r>
          </w:p>
        </w:tc>
        <w:tc>
          <w:tcPr>
            <w:tcW w:w="5884" w:type="dxa"/>
            <w:tcBorders>
              <w:top w:val="single" w:sz="4" w:space="0" w:color="auto"/>
              <w:left w:val="single" w:sz="4" w:space="0" w:color="auto"/>
              <w:bottom w:val="single" w:sz="4" w:space="0" w:color="auto"/>
              <w:right w:val="single" w:sz="4" w:space="0" w:color="auto"/>
            </w:tcBorders>
            <w:hideMark/>
          </w:tcPr>
          <w:p w:rsidR="00DB029D" w:rsidRDefault="00DB029D">
            <w:pPr>
              <w:pStyle w:val="Betarp"/>
              <w:rPr>
                <w:rFonts w:ascii="Times New Roman" w:hAnsi="Times New Roman"/>
                <w:sz w:val="24"/>
                <w:szCs w:val="24"/>
              </w:rPr>
            </w:pPr>
            <w:r>
              <w:rPr>
                <w:rFonts w:ascii="Times New Roman" w:hAnsi="Times New Roman"/>
                <w:sz w:val="24"/>
                <w:szCs w:val="24"/>
              </w:rPr>
              <w:t>Mažėjantis mokinių skaičius.</w:t>
            </w:r>
          </w:p>
          <w:p w:rsidR="00DB029D" w:rsidRPr="00DD1595" w:rsidRDefault="00DB029D">
            <w:pPr>
              <w:pStyle w:val="Betarp"/>
              <w:rPr>
                <w:rFonts w:ascii="Times New Roman" w:hAnsi="Times New Roman"/>
                <w:sz w:val="24"/>
                <w:szCs w:val="24"/>
              </w:rPr>
            </w:pPr>
            <w:r>
              <w:rPr>
                <w:rFonts w:ascii="Times New Roman" w:hAnsi="Times New Roman"/>
                <w:sz w:val="24"/>
                <w:szCs w:val="24"/>
              </w:rPr>
              <w:t>Rajonas neturi centro. Panevėžio miesto mokyklų trauka.</w:t>
            </w:r>
          </w:p>
          <w:p w:rsidR="00DB029D" w:rsidRPr="00CA4698" w:rsidRDefault="00DB029D">
            <w:pPr>
              <w:pStyle w:val="Betarp"/>
              <w:rPr>
                <w:rFonts w:ascii="Times New Roman" w:hAnsi="Times New Roman"/>
                <w:sz w:val="24"/>
                <w:szCs w:val="24"/>
              </w:rPr>
            </w:pPr>
            <w:r w:rsidRPr="00CA4698">
              <w:rPr>
                <w:rFonts w:ascii="Times New Roman" w:hAnsi="Times New Roman"/>
                <w:sz w:val="24"/>
                <w:szCs w:val="24"/>
              </w:rPr>
              <w:t>Nepakankamas neformaliojo vaikų švietimo įstaigų tinklas.</w:t>
            </w:r>
          </w:p>
          <w:p w:rsidR="00DB029D" w:rsidRDefault="00DB029D">
            <w:pPr>
              <w:pStyle w:val="Betarp"/>
              <w:rPr>
                <w:rFonts w:ascii="Times New Roman" w:hAnsi="Times New Roman"/>
                <w:sz w:val="24"/>
                <w:szCs w:val="24"/>
              </w:rPr>
            </w:pPr>
            <w:r>
              <w:rPr>
                <w:rFonts w:ascii="Times New Roman" w:hAnsi="Times New Roman"/>
                <w:sz w:val="24"/>
                <w:szCs w:val="24"/>
              </w:rPr>
              <w:t>Mokytojų kvalifikacinė</w:t>
            </w:r>
            <w:r w:rsidR="001238F4">
              <w:rPr>
                <w:rFonts w:ascii="Times New Roman" w:hAnsi="Times New Roman"/>
                <w:sz w:val="24"/>
                <w:szCs w:val="24"/>
              </w:rPr>
              <w:t>s</w:t>
            </w:r>
            <w:r>
              <w:rPr>
                <w:rFonts w:ascii="Times New Roman" w:hAnsi="Times New Roman"/>
                <w:sz w:val="24"/>
                <w:szCs w:val="24"/>
              </w:rPr>
              <w:t xml:space="preserve"> kategorij</w:t>
            </w:r>
            <w:r w:rsidR="001238F4">
              <w:rPr>
                <w:rFonts w:ascii="Times New Roman" w:hAnsi="Times New Roman"/>
                <w:sz w:val="24"/>
                <w:szCs w:val="24"/>
              </w:rPr>
              <w:t>os</w:t>
            </w:r>
            <w:r>
              <w:rPr>
                <w:rFonts w:ascii="Times New Roman" w:hAnsi="Times New Roman"/>
                <w:sz w:val="24"/>
                <w:szCs w:val="24"/>
              </w:rPr>
              <w:t xml:space="preserve"> nekoreliuoja su mokinių rezultatais.</w:t>
            </w:r>
          </w:p>
          <w:p w:rsidR="00DB029D" w:rsidRDefault="00DB029D">
            <w:pPr>
              <w:pStyle w:val="Betarp"/>
              <w:rPr>
                <w:rFonts w:ascii="Times New Roman" w:hAnsi="Times New Roman"/>
                <w:sz w:val="24"/>
                <w:szCs w:val="24"/>
              </w:rPr>
            </w:pPr>
            <w:r>
              <w:rPr>
                <w:rFonts w:ascii="Times New Roman" w:hAnsi="Times New Roman"/>
                <w:sz w:val="24"/>
                <w:szCs w:val="24"/>
              </w:rPr>
              <w:t>Nemažėja mokinių, gaunančių nemokamą maitinimą, skaičius.</w:t>
            </w:r>
          </w:p>
          <w:p w:rsidR="00DB029D" w:rsidRDefault="00DB029D">
            <w:pPr>
              <w:pStyle w:val="Betarp"/>
              <w:rPr>
                <w:rFonts w:ascii="Times New Roman" w:hAnsi="Times New Roman"/>
                <w:sz w:val="24"/>
                <w:szCs w:val="24"/>
              </w:rPr>
            </w:pPr>
            <w:r>
              <w:rPr>
                <w:rFonts w:ascii="Times New Roman" w:hAnsi="Times New Roman"/>
                <w:sz w:val="24"/>
                <w:szCs w:val="24"/>
              </w:rPr>
              <w:t>Per mažas mokinių, tenkančių vienam mokytojui, skaičius.</w:t>
            </w:r>
          </w:p>
          <w:p w:rsidR="00DB029D" w:rsidRDefault="00DB029D">
            <w:pPr>
              <w:pStyle w:val="Betarp"/>
              <w:rPr>
                <w:rFonts w:ascii="Times New Roman" w:hAnsi="Times New Roman"/>
                <w:sz w:val="24"/>
                <w:szCs w:val="24"/>
              </w:rPr>
            </w:pPr>
            <w:r>
              <w:rPr>
                <w:rFonts w:ascii="Times New Roman" w:hAnsi="Times New Roman"/>
                <w:sz w:val="24"/>
                <w:szCs w:val="24"/>
              </w:rPr>
              <w:t>Žemas apibendrintas VBE rodiklis.</w:t>
            </w:r>
          </w:p>
          <w:p w:rsidR="00DB029D" w:rsidRDefault="00DB029D">
            <w:pPr>
              <w:pStyle w:val="Betarp"/>
              <w:rPr>
                <w:rFonts w:ascii="Times New Roman" w:hAnsi="Times New Roman"/>
                <w:sz w:val="24"/>
                <w:szCs w:val="24"/>
              </w:rPr>
            </w:pPr>
            <w:r>
              <w:rPr>
                <w:rFonts w:ascii="Times New Roman" w:hAnsi="Times New Roman"/>
                <w:sz w:val="24"/>
                <w:szCs w:val="24"/>
              </w:rPr>
              <w:t>Per didelis mokyklų patalpų plotas, tenkantis vienam mokiniui.</w:t>
            </w:r>
          </w:p>
          <w:p w:rsidR="00DB029D" w:rsidRDefault="00DB029D">
            <w:pPr>
              <w:pStyle w:val="Betarp"/>
              <w:rPr>
                <w:rFonts w:ascii="Times New Roman" w:hAnsi="Times New Roman"/>
                <w:sz w:val="24"/>
                <w:szCs w:val="24"/>
              </w:rPr>
            </w:pPr>
            <w:r>
              <w:rPr>
                <w:rFonts w:ascii="Times New Roman" w:hAnsi="Times New Roman"/>
                <w:sz w:val="24"/>
                <w:szCs w:val="24"/>
              </w:rPr>
              <w:t>Per didelės Mokymo lėšos ir aplinkos lėšos, tenkančios vienam mokiniui.</w:t>
            </w:r>
          </w:p>
          <w:p w:rsidR="00DB029D" w:rsidRDefault="00DB029D" w:rsidP="00DD1595">
            <w:pPr>
              <w:pStyle w:val="Betarp"/>
            </w:pPr>
            <w:r w:rsidRPr="00DB029D">
              <w:rPr>
                <w:rFonts w:ascii="Times New Roman" w:hAnsi="Times New Roman"/>
                <w:sz w:val="24"/>
                <w:szCs w:val="24"/>
              </w:rPr>
              <w:t>Trūksta lėšų mokytojų kvalifikacijos tobulinimu</w:t>
            </w:r>
            <w:r w:rsidR="001238F4">
              <w:rPr>
                <w:rFonts w:ascii="Times New Roman" w:hAnsi="Times New Roman"/>
                <w:sz w:val="24"/>
                <w:szCs w:val="24"/>
              </w:rPr>
              <w:t>i.</w:t>
            </w:r>
          </w:p>
        </w:tc>
      </w:tr>
      <w:tr w:rsidR="008913E3" w:rsidRPr="008913E3" w:rsidTr="008913E3">
        <w:trPr>
          <w:trHeight w:val="334"/>
        </w:trPr>
        <w:tc>
          <w:tcPr>
            <w:tcW w:w="6698" w:type="dxa"/>
            <w:tcBorders>
              <w:top w:val="single" w:sz="4" w:space="0" w:color="auto"/>
              <w:left w:val="single" w:sz="4" w:space="0" w:color="auto"/>
              <w:bottom w:val="single" w:sz="4" w:space="0" w:color="auto"/>
              <w:right w:val="single" w:sz="4" w:space="0" w:color="auto"/>
            </w:tcBorders>
            <w:hideMark/>
          </w:tcPr>
          <w:p w:rsidR="008913E3" w:rsidRPr="008913E3" w:rsidRDefault="008913E3" w:rsidP="008913E3">
            <w:pPr>
              <w:pStyle w:val="Betarp"/>
              <w:jc w:val="center"/>
              <w:rPr>
                <w:rFonts w:ascii="Times New Roman" w:hAnsi="Times New Roman"/>
                <w:sz w:val="24"/>
                <w:szCs w:val="24"/>
              </w:rPr>
            </w:pPr>
            <w:r w:rsidRPr="008913E3">
              <w:rPr>
                <w:rFonts w:ascii="Times New Roman" w:hAnsi="Times New Roman"/>
                <w:b/>
                <w:sz w:val="24"/>
                <w:szCs w:val="24"/>
              </w:rPr>
              <w:t>Grėsmės</w:t>
            </w:r>
          </w:p>
        </w:tc>
        <w:tc>
          <w:tcPr>
            <w:tcW w:w="5884" w:type="dxa"/>
            <w:tcBorders>
              <w:top w:val="single" w:sz="4" w:space="0" w:color="auto"/>
              <w:left w:val="single" w:sz="4" w:space="0" w:color="auto"/>
              <w:bottom w:val="single" w:sz="4" w:space="0" w:color="auto"/>
              <w:right w:val="single" w:sz="4" w:space="0" w:color="auto"/>
            </w:tcBorders>
            <w:hideMark/>
          </w:tcPr>
          <w:p w:rsidR="008913E3" w:rsidRPr="008913E3" w:rsidRDefault="008913E3" w:rsidP="008913E3">
            <w:pPr>
              <w:pStyle w:val="Betarp"/>
              <w:jc w:val="center"/>
              <w:rPr>
                <w:rFonts w:ascii="Times New Roman" w:hAnsi="Times New Roman"/>
                <w:sz w:val="24"/>
                <w:szCs w:val="24"/>
              </w:rPr>
            </w:pPr>
            <w:r w:rsidRPr="008913E3">
              <w:rPr>
                <w:rFonts w:ascii="Times New Roman" w:hAnsi="Times New Roman"/>
                <w:b/>
                <w:sz w:val="24"/>
                <w:szCs w:val="24"/>
              </w:rPr>
              <w:t>Galimybės</w:t>
            </w:r>
          </w:p>
        </w:tc>
      </w:tr>
      <w:tr w:rsidR="008913E3" w:rsidRPr="008913E3" w:rsidTr="008913E3">
        <w:trPr>
          <w:trHeight w:val="334"/>
        </w:trPr>
        <w:tc>
          <w:tcPr>
            <w:tcW w:w="6698" w:type="dxa"/>
            <w:tcBorders>
              <w:top w:val="single" w:sz="4" w:space="0" w:color="auto"/>
              <w:left w:val="single" w:sz="4" w:space="0" w:color="auto"/>
              <w:bottom w:val="single" w:sz="4" w:space="0" w:color="auto"/>
              <w:right w:val="single" w:sz="4" w:space="0" w:color="auto"/>
            </w:tcBorders>
            <w:hideMark/>
          </w:tcPr>
          <w:p w:rsidR="008913E3" w:rsidRDefault="008913E3" w:rsidP="008913E3">
            <w:pPr>
              <w:pStyle w:val="Betarp"/>
              <w:rPr>
                <w:rFonts w:ascii="Times New Roman" w:hAnsi="Times New Roman"/>
                <w:sz w:val="24"/>
                <w:szCs w:val="24"/>
              </w:rPr>
            </w:pPr>
            <w:r>
              <w:rPr>
                <w:rFonts w:ascii="Times New Roman" w:hAnsi="Times New Roman"/>
                <w:sz w:val="24"/>
                <w:szCs w:val="24"/>
              </w:rPr>
              <w:t xml:space="preserve">Esant sudėtingai situacijai ir mokymą organizuojant nuotoliniu </w:t>
            </w:r>
            <w:r>
              <w:rPr>
                <w:rFonts w:ascii="Times New Roman" w:hAnsi="Times New Roman"/>
                <w:sz w:val="24"/>
                <w:szCs w:val="24"/>
              </w:rPr>
              <w:lastRenderedPageBreak/>
              <w:t>būdu, prastės ugdymo(si) kokybė.</w:t>
            </w:r>
          </w:p>
          <w:p w:rsidR="008913E3" w:rsidRDefault="008913E3" w:rsidP="008913E3">
            <w:pPr>
              <w:pStyle w:val="Betarp"/>
              <w:rPr>
                <w:rFonts w:ascii="Times New Roman" w:hAnsi="Times New Roman"/>
                <w:sz w:val="24"/>
                <w:szCs w:val="24"/>
              </w:rPr>
            </w:pPr>
            <w:r>
              <w:rPr>
                <w:rFonts w:ascii="Times New Roman" w:hAnsi="Times New Roman"/>
                <w:sz w:val="24"/>
                <w:szCs w:val="24"/>
              </w:rPr>
              <w:t>Dėl mažo mokinių skaičiaus klasėse reikės papildomų savivaldybės biudžeto lėšų.</w:t>
            </w:r>
          </w:p>
          <w:p w:rsidR="008913E3" w:rsidRDefault="008913E3" w:rsidP="008913E3">
            <w:pPr>
              <w:pStyle w:val="Betarp"/>
              <w:rPr>
                <w:rFonts w:ascii="Times New Roman" w:hAnsi="Times New Roman"/>
                <w:sz w:val="24"/>
                <w:szCs w:val="24"/>
              </w:rPr>
            </w:pPr>
            <w:r>
              <w:rPr>
                <w:rFonts w:ascii="Times New Roman" w:hAnsi="Times New Roman"/>
                <w:sz w:val="24"/>
                <w:szCs w:val="24"/>
              </w:rPr>
              <w:t>Didės išlaidos mokinių vežimui.</w:t>
            </w:r>
          </w:p>
          <w:p w:rsidR="008913E3" w:rsidRDefault="008913E3" w:rsidP="008913E3">
            <w:pPr>
              <w:pStyle w:val="Betarp"/>
              <w:rPr>
                <w:rFonts w:ascii="Times New Roman" w:hAnsi="Times New Roman"/>
                <w:sz w:val="24"/>
                <w:szCs w:val="24"/>
              </w:rPr>
            </w:pPr>
            <w:r>
              <w:rPr>
                <w:rFonts w:ascii="Times New Roman" w:hAnsi="Times New Roman"/>
                <w:sz w:val="24"/>
                <w:szCs w:val="24"/>
              </w:rPr>
              <w:t>Aktuali mokytojų trūkumo problema.</w:t>
            </w:r>
          </w:p>
          <w:p w:rsidR="008913E3" w:rsidRDefault="008913E3" w:rsidP="008913E3">
            <w:pPr>
              <w:pStyle w:val="Betarp"/>
              <w:rPr>
                <w:rFonts w:ascii="Times New Roman" w:hAnsi="Times New Roman"/>
                <w:sz w:val="24"/>
                <w:szCs w:val="24"/>
              </w:rPr>
            </w:pPr>
            <w:r>
              <w:rPr>
                <w:rFonts w:ascii="Times New Roman" w:hAnsi="Times New Roman"/>
                <w:sz w:val="24"/>
                <w:szCs w:val="24"/>
              </w:rPr>
              <w:t>Mažės mokytojų darbo krūvis.</w:t>
            </w:r>
          </w:p>
          <w:p w:rsidR="008913E3" w:rsidRDefault="008913E3" w:rsidP="008913E3">
            <w:pPr>
              <w:pStyle w:val="Betarp"/>
              <w:rPr>
                <w:rFonts w:ascii="Times New Roman" w:hAnsi="Times New Roman"/>
                <w:sz w:val="24"/>
                <w:szCs w:val="24"/>
              </w:rPr>
            </w:pPr>
          </w:p>
          <w:p w:rsidR="008913E3" w:rsidRDefault="008913E3" w:rsidP="008913E3">
            <w:pPr>
              <w:pStyle w:val="Betarp"/>
              <w:rPr>
                <w:rFonts w:ascii="Times New Roman" w:hAnsi="Times New Roman"/>
                <w:b/>
                <w:sz w:val="24"/>
                <w:szCs w:val="24"/>
              </w:rPr>
            </w:pPr>
          </w:p>
          <w:p w:rsidR="008913E3" w:rsidRPr="008913E3" w:rsidRDefault="008913E3" w:rsidP="008913E3">
            <w:pPr>
              <w:pStyle w:val="Betarp"/>
              <w:jc w:val="center"/>
              <w:rPr>
                <w:rFonts w:ascii="Times New Roman" w:hAnsi="Times New Roman"/>
                <w:b/>
                <w:sz w:val="24"/>
                <w:szCs w:val="24"/>
              </w:rPr>
            </w:pPr>
          </w:p>
        </w:tc>
        <w:tc>
          <w:tcPr>
            <w:tcW w:w="5884" w:type="dxa"/>
            <w:tcBorders>
              <w:top w:val="single" w:sz="4" w:space="0" w:color="auto"/>
              <w:left w:val="single" w:sz="4" w:space="0" w:color="auto"/>
              <w:bottom w:val="single" w:sz="4" w:space="0" w:color="auto"/>
              <w:right w:val="single" w:sz="4" w:space="0" w:color="auto"/>
            </w:tcBorders>
            <w:hideMark/>
          </w:tcPr>
          <w:p w:rsidR="008913E3" w:rsidRDefault="008913E3" w:rsidP="008913E3">
            <w:pPr>
              <w:pStyle w:val="Betarp"/>
              <w:rPr>
                <w:rFonts w:ascii="Times New Roman" w:hAnsi="Times New Roman"/>
                <w:sz w:val="24"/>
                <w:szCs w:val="24"/>
              </w:rPr>
            </w:pPr>
            <w:r>
              <w:rPr>
                <w:rFonts w:ascii="Times New Roman" w:hAnsi="Times New Roman"/>
                <w:sz w:val="24"/>
                <w:szCs w:val="24"/>
              </w:rPr>
              <w:lastRenderedPageBreak/>
              <w:t xml:space="preserve">Bendrojo ugdymo mokyklų tinklo pertvarkos plano </w:t>
            </w:r>
            <w:r>
              <w:rPr>
                <w:rFonts w:ascii="Times New Roman" w:hAnsi="Times New Roman"/>
                <w:sz w:val="24"/>
                <w:szCs w:val="24"/>
              </w:rPr>
              <w:lastRenderedPageBreak/>
              <w:t>įgyvendinimas ir tęstinumas.</w:t>
            </w:r>
          </w:p>
          <w:p w:rsidR="008913E3" w:rsidRDefault="008913E3" w:rsidP="008913E3">
            <w:pPr>
              <w:pStyle w:val="Betarp"/>
              <w:rPr>
                <w:rFonts w:ascii="Times New Roman" w:hAnsi="Times New Roman"/>
                <w:sz w:val="24"/>
                <w:szCs w:val="24"/>
              </w:rPr>
            </w:pPr>
            <w:r>
              <w:rPr>
                <w:rFonts w:ascii="Times New Roman" w:hAnsi="Times New Roman"/>
                <w:sz w:val="24"/>
                <w:szCs w:val="24"/>
              </w:rPr>
              <w:t>Ikimokyklinio ugdymo aprėpties ir prieinamumo didinimas.</w:t>
            </w:r>
          </w:p>
          <w:p w:rsidR="008913E3" w:rsidRDefault="008913E3" w:rsidP="008913E3">
            <w:pPr>
              <w:pStyle w:val="Betarp"/>
              <w:rPr>
                <w:rFonts w:ascii="Times New Roman" w:hAnsi="Times New Roman"/>
                <w:sz w:val="24"/>
                <w:szCs w:val="24"/>
              </w:rPr>
            </w:pPr>
            <w:r>
              <w:rPr>
                <w:rFonts w:ascii="Times New Roman" w:hAnsi="Times New Roman"/>
                <w:sz w:val="24"/>
                <w:szCs w:val="24"/>
              </w:rPr>
              <w:t xml:space="preserve">Švietimo įstaigų paskirties keitimas jas pertvarkant į daugiafunkcius arba vaikų dienos centrus. </w:t>
            </w:r>
          </w:p>
          <w:p w:rsidR="008913E3" w:rsidRDefault="008913E3" w:rsidP="008913E3">
            <w:pPr>
              <w:pStyle w:val="Betarp"/>
              <w:rPr>
                <w:rFonts w:ascii="Times New Roman" w:hAnsi="Times New Roman"/>
                <w:sz w:val="24"/>
                <w:szCs w:val="24"/>
              </w:rPr>
            </w:pPr>
            <w:r>
              <w:rPr>
                <w:rFonts w:ascii="Times New Roman" w:hAnsi="Times New Roman"/>
                <w:sz w:val="24"/>
                <w:szCs w:val="24"/>
              </w:rPr>
              <w:t>Švietimo įstaigų modernizavimas, materialinių išteklių atnaujinimas ir veiklos kokybės gerinimas.</w:t>
            </w:r>
          </w:p>
          <w:p w:rsidR="008913E3" w:rsidRDefault="008913E3" w:rsidP="008913E3">
            <w:pPr>
              <w:pStyle w:val="Betarp"/>
              <w:rPr>
                <w:rFonts w:ascii="Times New Roman" w:hAnsi="Times New Roman"/>
                <w:sz w:val="24"/>
                <w:szCs w:val="24"/>
              </w:rPr>
            </w:pPr>
            <w:r>
              <w:rPr>
                <w:rFonts w:ascii="Times New Roman" w:hAnsi="Times New Roman"/>
                <w:sz w:val="24"/>
                <w:szCs w:val="24"/>
              </w:rPr>
              <w:t>Projektinės veiklos plėtojimas. ES fondų lėšų pritraukimas ir racionalus jų panaudojimas.</w:t>
            </w:r>
          </w:p>
          <w:p w:rsidR="008913E3" w:rsidRPr="008913E3" w:rsidRDefault="008913E3" w:rsidP="008913E3">
            <w:pPr>
              <w:pStyle w:val="Betarp"/>
              <w:rPr>
                <w:rFonts w:ascii="Times New Roman" w:hAnsi="Times New Roman"/>
                <w:b/>
                <w:sz w:val="24"/>
                <w:szCs w:val="24"/>
              </w:rPr>
            </w:pPr>
            <w:r w:rsidRPr="001238F4">
              <w:rPr>
                <w:rFonts w:ascii="Times New Roman" w:hAnsi="Times New Roman"/>
                <w:sz w:val="24"/>
                <w:szCs w:val="24"/>
              </w:rPr>
              <w:t>Neformaliojo vaikų švietimo įstaigų plėtra.</w:t>
            </w:r>
          </w:p>
        </w:tc>
      </w:tr>
    </w:tbl>
    <w:p w:rsidR="00F07D4E" w:rsidRPr="00DB6DCD" w:rsidRDefault="00F07D4E" w:rsidP="00DB029D">
      <w:pPr>
        <w:pStyle w:val="Default"/>
        <w:rPr>
          <w:bCs/>
        </w:rPr>
      </w:pPr>
    </w:p>
    <w:p w:rsidR="00F07D4E" w:rsidRDefault="00F07D4E" w:rsidP="00F07D4E">
      <w:pPr>
        <w:pStyle w:val="Default"/>
        <w:jc w:val="center"/>
        <w:rPr>
          <w:b/>
          <w:bCs/>
        </w:rPr>
      </w:pPr>
      <w:r>
        <w:rPr>
          <w:b/>
          <w:bCs/>
        </w:rPr>
        <w:t>IV SKYRIUS</w:t>
      </w:r>
    </w:p>
    <w:p w:rsidR="00F07D4E" w:rsidRPr="0005035C" w:rsidRDefault="00F07D4E" w:rsidP="00F07D4E">
      <w:pPr>
        <w:pStyle w:val="Default"/>
        <w:jc w:val="center"/>
        <w:rPr>
          <w:b/>
          <w:bCs/>
          <w:color w:val="5B9BD5"/>
        </w:rPr>
      </w:pPr>
      <w:r>
        <w:rPr>
          <w:b/>
          <w:bCs/>
        </w:rPr>
        <w:t xml:space="preserve">MOKYKLŲ </w:t>
      </w:r>
      <w:r w:rsidRPr="00E917A0">
        <w:rPr>
          <w:b/>
          <w:bCs/>
        </w:rPr>
        <w:t>TINKLO PERTVARKOS STRATEGINIS TIKSLAS IR UŽDAVINIAI</w:t>
      </w:r>
      <w:r>
        <w:rPr>
          <w:b/>
          <w:bCs/>
        </w:rPr>
        <w:t xml:space="preserve">   </w:t>
      </w:r>
    </w:p>
    <w:p w:rsidR="00F07D4E" w:rsidRPr="00981FB0" w:rsidRDefault="00F07D4E" w:rsidP="00DB6DCD">
      <w:pPr>
        <w:pStyle w:val="Betarp"/>
        <w:jc w:val="both"/>
      </w:pPr>
    </w:p>
    <w:p w:rsidR="00F07D4E" w:rsidRPr="00981FB0" w:rsidRDefault="00F07D4E" w:rsidP="00DB6DCD">
      <w:pPr>
        <w:pStyle w:val="Betarp"/>
        <w:ind w:firstLine="720"/>
        <w:jc w:val="both"/>
      </w:pPr>
      <w:r w:rsidRPr="002B1682">
        <w:rPr>
          <w:rFonts w:ascii="Times New Roman" w:hAnsi="Times New Roman"/>
          <w:b/>
          <w:bCs/>
          <w:sz w:val="24"/>
          <w:szCs w:val="24"/>
        </w:rPr>
        <w:t>Strateginis tikslas.</w:t>
      </w:r>
      <w:r w:rsidR="001238F4" w:rsidRPr="002B1682">
        <w:rPr>
          <w:rFonts w:ascii="Times New Roman" w:hAnsi="Times New Roman"/>
          <w:sz w:val="24"/>
          <w:szCs w:val="24"/>
        </w:rPr>
        <w:t xml:space="preserve"> </w:t>
      </w:r>
      <w:r w:rsidRPr="002B1682">
        <w:rPr>
          <w:rFonts w:ascii="Times New Roman" w:hAnsi="Times New Roman"/>
          <w:sz w:val="24"/>
          <w:szCs w:val="24"/>
        </w:rPr>
        <w:t>Sudaryti</w:t>
      </w:r>
      <w:r w:rsidRPr="00DB6DCD">
        <w:rPr>
          <w:rFonts w:ascii="Times New Roman" w:hAnsi="Times New Roman"/>
          <w:sz w:val="24"/>
          <w:szCs w:val="24"/>
        </w:rPr>
        <w:t xml:space="preserve"> prielaidas ir sąlygas kelti mokyklų, įgyvendinančių bendrojo ugdymo programas, veiklos kokybės lygį, </w:t>
      </w:r>
      <w:r w:rsidRPr="00DB6DCD">
        <w:rPr>
          <w:rFonts w:ascii="Times New Roman" w:hAnsi="Times New Roman"/>
          <w:sz w:val="24"/>
          <w:szCs w:val="24"/>
          <w:lang w:eastAsia="lt-LT"/>
        </w:rPr>
        <w:t>veiksmingiau panaudoti žmogiškuosius, materialinius ir finansinius išteklius, tinkamai reaguojant į socialinio, ekonominio, kultūrinio konteksto pokyčius, švietimo procesus ir rezultatus.</w:t>
      </w:r>
    </w:p>
    <w:p w:rsidR="00F07D4E" w:rsidRPr="00981FB0" w:rsidRDefault="00F07D4E" w:rsidP="00DB6DCD">
      <w:pPr>
        <w:pStyle w:val="Betarp"/>
        <w:ind w:firstLine="720"/>
        <w:jc w:val="both"/>
        <w:rPr>
          <w:b/>
        </w:rPr>
      </w:pPr>
      <w:r w:rsidRPr="00DB6DCD">
        <w:rPr>
          <w:rFonts w:ascii="Times New Roman" w:hAnsi="Times New Roman"/>
          <w:b/>
          <w:sz w:val="24"/>
          <w:szCs w:val="24"/>
        </w:rPr>
        <w:t xml:space="preserve">Uždaviniai: </w:t>
      </w:r>
    </w:p>
    <w:p w:rsidR="00F07D4E" w:rsidRPr="00981FB0" w:rsidRDefault="00F07D4E" w:rsidP="00DB6DCD">
      <w:pPr>
        <w:pStyle w:val="Betarp"/>
        <w:ind w:firstLine="720"/>
        <w:jc w:val="both"/>
      </w:pPr>
      <w:r w:rsidRPr="00DB6DCD">
        <w:rPr>
          <w:rFonts w:ascii="Times New Roman" w:hAnsi="Times New Roman"/>
          <w:sz w:val="24"/>
          <w:szCs w:val="24"/>
        </w:rPr>
        <w:t>1. Švietimo įstaigų tinklą išdėstyti taip, kad mokyklos, įgyvendinančios pradinio ugdymo programas ir pagrindinio ugdymo programos pirmąją dalį, būtų arčiau mokinių gyvenamosios vietos.</w:t>
      </w:r>
    </w:p>
    <w:p w:rsidR="00F07D4E" w:rsidRPr="00981FB0" w:rsidRDefault="00F07D4E" w:rsidP="00DB6DCD">
      <w:pPr>
        <w:pStyle w:val="Betarp"/>
        <w:ind w:firstLine="720"/>
        <w:jc w:val="both"/>
      </w:pPr>
      <w:r w:rsidRPr="00DB6DCD">
        <w:rPr>
          <w:rFonts w:ascii="Times New Roman" w:hAnsi="Times New Roman"/>
          <w:sz w:val="24"/>
          <w:szCs w:val="24"/>
        </w:rPr>
        <w:t>2. Pagerinti mokytojų kokybinę sudėtį, skatinant mokytojų kūrybiškumą, sudarant jiems palankias sąlygas kelti kvalifikaciją, pritraukiant į mokyklas jaunų mokytojų.</w:t>
      </w:r>
    </w:p>
    <w:p w:rsidR="00F07D4E" w:rsidRPr="00981FB0" w:rsidRDefault="00F07D4E" w:rsidP="00DB6DCD">
      <w:pPr>
        <w:pStyle w:val="Betarp"/>
        <w:ind w:firstLine="720"/>
        <w:jc w:val="both"/>
      </w:pPr>
      <w:r w:rsidRPr="00DB6DCD">
        <w:rPr>
          <w:rFonts w:ascii="Times New Roman" w:hAnsi="Times New Roman"/>
          <w:sz w:val="24"/>
          <w:szCs w:val="24"/>
        </w:rPr>
        <w:t>3. Veiksmingiau panaudoti mokymo lėšas ir savivaldybės mokyklų aplinkai skirtas lėšas ugdymo kokybei ir mokymo materialiniams ištekliams gerinti, užtikrinti saugų mokinių vežimą.</w:t>
      </w:r>
    </w:p>
    <w:p w:rsidR="003C1B52" w:rsidRPr="00981FB0" w:rsidRDefault="00F07D4E" w:rsidP="00DB6DCD">
      <w:pPr>
        <w:pStyle w:val="Betarp"/>
        <w:ind w:firstLine="720"/>
        <w:jc w:val="both"/>
      </w:pPr>
      <w:r w:rsidRPr="00DB6DCD">
        <w:rPr>
          <w:rFonts w:ascii="Times New Roman" w:hAnsi="Times New Roman"/>
          <w:sz w:val="24"/>
          <w:szCs w:val="24"/>
        </w:rPr>
        <w:t>Mokyklų tinklo pertvarka grindžiama ne atskirų mokyklų, mokytojų poreikių tenkinimu, bet yra susijusi su platesnių švietimo siekių ir mokinių poreikių tenkinimu už protingus kaštus. Ateities tendencija – nuo švietimo visiems pereiti prie švietimo kiekvienam (personalizuotas, suasmenintas ugdymas(is) ir mokymas(is), pripažįstant, kad žmonių patirtys, poreikiai, siekiai skiriasi ir mokomasi skirtingais tempais ir būdais; mokyti(s) partneriškai, grupėse, komandose, įvairiuose socialiniuose ir virtualiuose tinkluose. Mokyklos, kaip organizacijos, veiklos veiksniai – ugdymo ir ugdymosi aplinka, ugdymas (mokymas), mokyklos darbuotojai, mokyklos bendruomenė ir jos mokymasis, lyderystė ir vadyba – yra veiksniai, lemiantys mokyklos misijos įgyvendinimą. Pagrindiniai ir pageidaujami mokyklos veiklos rezultatai – mokinių asmenybės branda, individualias galimybes atitinkantys ugdymo(si) pasiekimai ir nuolatinė ugdymo(si) pažanga.</w:t>
      </w:r>
    </w:p>
    <w:p w:rsidR="000C2D6C" w:rsidRDefault="000C2D6C" w:rsidP="00DB6DCD">
      <w:pPr>
        <w:pStyle w:val="Betarp"/>
        <w:jc w:val="both"/>
        <w:rPr>
          <w:rFonts w:ascii="Times New Roman" w:hAnsi="Times New Roman"/>
          <w:sz w:val="24"/>
          <w:szCs w:val="24"/>
        </w:rPr>
      </w:pPr>
    </w:p>
    <w:p w:rsidR="00716578" w:rsidRDefault="00716578" w:rsidP="00DB6DCD">
      <w:pPr>
        <w:pStyle w:val="Betarp"/>
        <w:jc w:val="both"/>
        <w:rPr>
          <w:rFonts w:ascii="Times New Roman" w:hAnsi="Times New Roman"/>
          <w:sz w:val="24"/>
          <w:szCs w:val="24"/>
        </w:rPr>
      </w:pPr>
    </w:p>
    <w:p w:rsidR="00716578" w:rsidRDefault="00716578" w:rsidP="00DB6DCD">
      <w:pPr>
        <w:pStyle w:val="Betarp"/>
        <w:jc w:val="both"/>
        <w:rPr>
          <w:rFonts w:ascii="Times New Roman" w:hAnsi="Times New Roman"/>
          <w:sz w:val="24"/>
          <w:szCs w:val="24"/>
        </w:rPr>
      </w:pPr>
    </w:p>
    <w:p w:rsidR="00716578" w:rsidRPr="002B1682" w:rsidRDefault="00716578" w:rsidP="00DB6DCD">
      <w:pPr>
        <w:pStyle w:val="Betarp"/>
        <w:jc w:val="both"/>
        <w:rPr>
          <w:rFonts w:ascii="Times New Roman" w:hAnsi="Times New Roman"/>
          <w:sz w:val="24"/>
          <w:szCs w:val="24"/>
        </w:rPr>
      </w:pPr>
    </w:p>
    <w:p w:rsidR="00F07D4E" w:rsidRPr="00DB6DCD" w:rsidRDefault="00F07D4E" w:rsidP="00DB6DCD">
      <w:pPr>
        <w:pStyle w:val="Betarp"/>
        <w:jc w:val="center"/>
        <w:rPr>
          <w:b/>
        </w:rPr>
      </w:pPr>
      <w:r w:rsidRPr="00DB6DCD">
        <w:rPr>
          <w:rFonts w:ascii="Times New Roman" w:hAnsi="Times New Roman"/>
          <w:b/>
          <w:sz w:val="24"/>
          <w:szCs w:val="24"/>
        </w:rPr>
        <w:lastRenderedPageBreak/>
        <w:t>V SKYRIUS</w:t>
      </w:r>
    </w:p>
    <w:p w:rsidR="00F07D4E" w:rsidRPr="00DB6DCD" w:rsidRDefault="00F07D4E" w:rsidP="00DB6DCD">
      <w:pPr>
        <w:pStyle w:val="Betarp"/>
        <w:jc w:val="center"/>
        <w:rPr>
          <w:b/>
          <w:color w:val="5B9BD5"/>
        </w:rPr>
      </w:pPr>
      <w:r w:rsidRPr="00DB6DCD">
        <w:rPr>
          <w:rFonts w:ascii="Times New Roman" w:hAnsi="Times New Roman"/>
          <w:b/>
          <w:sz w:val="24"/>
          <w:szCs w:val="24"/>
        </w:rPr>
        <w:t>MOKYKLŲ TINKLO PERTVARKOS PAGRINDINIŲ REZULTATŲ RODIKLIAI IR VERTINIMAS</w:t>
      </w:r>
    </w:p>
    <w:p w:rsidR="00F07D4E" w:rsidRPr="002B1682" w:rsidRDefault="00F07D4E" w:rsidP="00DB6DCD">
      <w:pPr>
        <w:pStyle w:val="Betarp"/>
        <w:jc w:val="center"/>
        <w:rPr>
          <w:rFonts w:ascii="Times New Roman" w:hAnsi="Times New Roman"/>
          <w:sz w:val="24"/>
          <w:szCs w:val="24"/>
        </w:rPr>
      </w:pPr>
    </w:p>
    <w:p w:rsidR="00F07D4E" w:rsidRPr="008913E3" w:rsidRDefault="008913E3" w:rsidP="00DB6DCD">
      <w:pPr>
        <w:pStyle w:val="Betarp"/>
        <w:ind w:firstLine="720"/>
      </w:pPr>
      <w:r w:rsidRPr="008913E3">
        <w:rPr>
          <w:rFonts w:ascii="Times New Roman" w:hAnsi="Times New Roman"/>
          <w:sz w:val="24"/>
          <w:szCs w:val="24"/>
        </w:rPr>
        <w:t>32</w:t>
      </w:r>
      <w:r w:rsidR="00F07D4E" w:rsidRPr="008913E3">
        <w:rPr>
          <w:rFonts w:ascii="Times New Roman" w:hAnsi="Times New Roman"/>
          <w:sz w:val="24"/>
          <w:szCs w:val="24"/>
        </w:rPr>
        <w:t xml:space="preserve"> lentelė.</w:t>
      </w:r>
    </w:p>
    <w:tbl>
      <w:tblPr>
        <w:tblW w:w="12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4962"/>
        <w:gridCol w:w="4394"/>
      </w:tblGrid>
      <w:tr w:rsidR="00F07D4E" w:rsidRPr="00515C48" w:rsidTr="00E83B26">
        <w:tc>
          <w:tcPr>
            <w:tcW w:w="567" w:type="dxa"/>
          </w:tcPr>
          <w:p w:rsidR="00F07D4E" w:rsidRPr="007840C2" w:rsidRDefault="00F07D4E" w:rsidP="00E83B26">
            <w:pPr>
              <w:jc w:val="center"/>
            </w:pPr>
            <w:r w:rsidRPr="007840C2">
              <w:t>Eil.</w:t>
            </w:r>
          </w:p>
          <w:p w:rsidR="00F07D4E" w:rsidRPr="007840C2" w:rsidRDefault="00F07D4E" w:rsidP="00E83B26">
            <w:pPr>
              <w:jc w:val="center"/>
            </w:pPr>
            <w:r w:rsidRPr="007840C2">
              <w:t>Nr.</w:t>
            </w:r>
          </w:p>
        </w:tc>
        <w:tc>
          <w:tcPr>
            <w:tcW w:w="2835" w:type="dxa"/>
          </w:tcPr>
          <w:p w:rsidR="00F07D4E" w:rsidRPr="004835E2" w:rsidRDefault="00F07D4E" w:rsidP="00E83B26">
            <w:pPr>
              <w:jc w:val="center"/>
              <w:rPr>
                <w:b/>
              </w:rPr>
            </w:pPr>
            <w:r w:rsidRPr="004835E2">
              <w:rPr>
                <w:b/>
              </w:rPr>
              <w:t>Rodiklis</w:t>
            </w:r>
          </w:p>
        </w:tc>
        <w:tc>
          <w:tcPr>
            <w:tcW w:w="4962" w:type="dxa"/>
          </w:tcPr>
          <w:p w:rsidR="00F07D4E" w:rsidRPr="004835E2" w:rsidRDefault="00F07D4E" w:rsidP="00E83B26">
            <w:pPr>
              <w:jc w:val="center"/>
              <w:rPr>
                <w:b/>
              </w:rPr>
            </w:pPr>
            <w:r w:rsidRPr="004835E2">
              <w:rPr>
                <w:b/>
              </w:rPr>
              <w:t>Minimalus rezultatas</w:t>
            </w:r>
          </w:p>
        </w:tc>
        <w:tc>
          <w:tcPr>
            <w:tcW w:w="4394" w:type="dxa"/>
          </w:tcPr>
          <w:p w:rsidR="00F07D4E" w:rsidRPr="004835E2" w:rsidRDefault="00F07D4E" w:rsidP="00E83B26">
            <w:pPr>
              <w:jc w:val="center"/>
              <w:rPr>
                <w:b/>
              </w:rPr>
            </w:pPr>
            <w:r w:rsidRPr="004835E2">
              <w:rPr>
                <w:b/>
              </w:rPr>
              <w:t>Maksimalus rezultatas</w:t>
            </w:r>
          </w:p>
        </w:tc>
      </w:tr>
      <w:tr w:rsidR="00F07D4E" w:rsidRPr="00515C48" w:rsidTr="00E83B26">
        <w:tc>
          <w:tcPr>
            <w:tcW w:w="567" w:type="dxa"/>
          </w:tcPr>
          <w:p w:rsidR="00F07D4E" w:rsidRPr="007840C2" w:rsidRDefault="00F07D4E" w:rsidP="00E83B26">
            <w:pPr>
              <w:jc w:val="center"/>
            </w:pPr>
            <w:r>
              <w:t>1</w:t>
            </w:r>
            <w:r w:rsidRPr="007840C2">
              <w:t>.</w:t>
            </w:r>
          </w:p>
        </w:tc>
        <w:tc>
          <w:tcPr>
            <w:tcW w:w="2835" w:type="dxa"/>
          </w:tcPr>
          <w:p w:rsidR="00F07D4E" w:rsidRPr="007840C2" w:rsidRDefault="00F07D4E" w:rsidP="00E83B26">
            <w:r w:rsidRPr="007840C2">
              <w:t>Mokyklų ir klasių užpildomumas</w:t>
            </w:r>
          </w:p>
        </w:tc>
        <w:tc>
          <w:tcPr>
            <w:tcW w:w="4962" w:type="dxa"/>
          </w:tcPr>
          <w:p w:rsidR="00F07D4E" w:rsidRPr="0063743D" w:rsidRDefault="00F07D4E" w:rsidP="00E83B26">
            <w:r w:rsidRPr="0063743D">
              <w:t>Mokyklos užpildomumas:</w:t>
            </w:r>
          </w:p>
          <w:p w:rsidR="00F07D4E" w:rsidRDefault="00F07D4E" w:rsidP="00E83B26">
            <w:r>
              <w:t>Patalpų</w:t>
            </w:r>
            <w:r w:rsidRPr="0063743D">
              <w:t xml:space="preserve"> </w:t>
            </w:r>
            <w:r>
              <w:t xml:space="preserve">plotas, tenkantis </w:t>
            </w:r>
            <w:r w:rsidRPr="0063743D">
              <w:t xml:space="preserve">vienam </w:t>
            </w:r>
            <w:r>
              <w:t xml:space="preserve">mokiniui – </w:t>
            </w:r>
            <w:r>
              <w:br/>
              <w:t>7,67 m</w:t>
            </w:r>
            <w:r>
              <w:rPr>
                <w:vertAlign w:val="superscript"/>
              </w:rPr>
              <w:t>2</w:t>
            </w:r>
            <w:r>
              <w:t>;</w:t>
            </w:r>
          </w:p>
          <w:p w:rsidR="00F07D4E" w:rsidRPr="0063743D" w:rsidRDefault="00F07D4E" w:rsidP="00E83B26">
            <w:r>
              <w:t>Vidutinis klasės dydis – 15,5</w:t>
            </w:r>
            <w:r w:rsidRPr="0063743D">
              <w:t xml:space="preserve"> </w:t>
            </w:r>
          </w:p>
        </w:tc>
        <w:tc>
          <w:tcPr>
            <w:tcW w:w="4394" w:type="dxa"/>
          </w:tcPr>
          <w:p w:rsidR="00F07D4E" w:rsidRPr="0063743D" w:rsidRDefault="00F07D4E" w:rsidP="00E83B26"/>
          <w:p w:rsidR="00F07D4E" w:rsidRPr="00556645" w:rsidRDefault="00F07D4E" w:rsidP="00E83B26">
            <w:r>
              <w:t>Patalpų ploto, tenkančio</w:t>
            </w:r>
            <w:r w:rsidRPr="0063743D">
              <w:t xml:space="preserve"> vienam </w:t>
            </w:r>
            <w:r>
              <w:t>mokiniui, rodiklis gerėja;</w:t>
            </w:r>
          </w:p>
          <w:p w:rsidR="00F07D4E" w:rsidRPr="0063743D" w:rsidRDefault="00F07D4E" w:rsidP="00E83B26">
            <w:r>
              <w:t>Vidutinio klasės dydžio rodikl</w:t>
            </w:r>
            <w:r w:rsidRPr="0063743D">
              <w:t xml:space="preserve">is </w:t>
            </w:r>
            <w:r>
              <w:t>gerėja</w:t>
            </w:r>
          </w:p>
        </w:tc>
      </w:tr>
      <w:tr w:rsidR="00F07D4E" w:rsidRPr="00515C48" w:rsidTr="00E83B26">
        <w:tc>
          <w:tcPr>
            <w:tcW w:w="567" w:type="dxa"/>
          </w:tcPr>
          <w:p w:rsidR="00F07D4E" w:rsidRDefault="00F07D4E" w:rsidP="00E83B26">
            <w:pPr>
              <w:jc w:val="center"/>
            </w:pPr>
            <w:r>
              <w:t>2.</w:t>
            </w:r>
          </w:p>
        </w:tc>
        <w:tc>
          <w:tcPr>
            <w:tcW w:w="2835" w:type="dxa"/>
          </w:tcPr>
          <w:p w:rsidR="00F07D4E" w:rsidRPr="007840C2" w:rsidRDefault="00F07D4E" w:rsidP="00E83B26">
            <w:r>
              <w:t xml:space="preserve">Jungtinių klasių skaičius </w:t>
            </w:r>
          </w:p>
        </w:tc>
        <w:tc>
          <w:tcPr>
            <w:tcW w:w="4962" w:type="dxa"/>
          </w:tcPr>
          <w:p w:rsidR="00F07D4E" w:rsidRPr="00020D6E" w:rsidRDefault="00F07D4E" w:rsidP="00E83B26">
            <w:pPr>
              <w:autoSpaceDE w:val="0"/>
              <w:autoSpaceDN w:val="0"/>
              <w:adjustRightInd w:val="0"/>
              <w:rPr>
                <w:rFonts w:eastAsia="Microsoft YaHei"/>
              </w:rPr>
            </w:pPr>
            <w:r>
              <w:rPr>
                <w:rFonts w:eastAsia="Microsoft YaHei"/>
              </w:rPr>
              <w:t>1–8 jungtinių klasių dalis 2019-09-01</w:t>
            </w:r>
            <w:r>
              <w:t xml:space="preserve"> – </w:t>
            </w:r>
            <w:r>
              <w:br/>
              <w:t>19,1 proc.</w:t>
            </w:r>
          </w:p>
        </w:tc>
        <w:tc>
          <w:tcPr>
            <w:tcW w:w="4394" w:type="dxa"/>
          </w:tcPr>
          <w:p w:rsidR="00F07D4E" w:rsidRPr="0063743D" w:rsidRDefault="00F07D4E" w:rsidP="00E83B26">
            <w:r>
              <w:t>1–8 jungtinių klasių dalies rodiklis gerėja</w:t>
            </w:r>
          </w:p>
        </w:tc>
      </w:tr>
      <w:tr w:rsidR="00F07D4E" w:rsidRPr="00515C48" w:rsidTr="00E83B26">
        <w:tc>
          <w:tcPr>
            <w:tcW w:w="567" w:type="dxa"/>
          </w:tcPr>
          <w:p w:rsidR="00F07D4E" w:rsidRDefault="00F07D4E" w:rsidP="00E83B26">
            <w:pPr>
              <w:jc w:val="center"/>
            </w:pPr>
            <w:r>
              <w:t>3.</w:t>
            </w:r>
          </w:p>
        </w:tc>
        <w:tc>
          <w:tcPr>
            <w:tcW w:w="2835" w:type="dxa"/>
          </w:tcPr>
          <w:p w:rsidR="00F07D4E" w:rsidRDefault="00F07D4E" w:rsidP="00E83B26">
            <w:r>
              <w:rPr>
                <w:rFonts w:eastAsia="Microsoft YaHei"/>
              </w:rPr>
              <w:t>Klasių, kuriose yra mažiau kaip 8 mokiniai, dalis</w:t>
            </w:r>
          </w:p>
        </w:tc>
        <w:tc>
          <w:tcPr>
            <w:tcW w:w="4962" w:type="dxa"/>
          </w:tcPr>
          <w:p w:rsidR="00F07D4E" w:rsidRDefault="00F07D4E" w:rsidP="00E83B26">
            <w:pPr>
              <w:autoSpaceDE w:val="0"/>
              <w:autoSpaceDN w:val="0"/>
              <w:adjustRightInd w:val="0"/>
              <w:rPr>
                <w:rFonts w:eastAsia="Microsoft YaHei"/>
              </w:rPr>
            </w:pPr>
            <w:r>
              <w:rPr>
                <w:rFonts w:eastAsia="Microsoft YaHei"/>
              </w:rPr>
              <w:t>Klasių, kuriose yra mažiau kaip 8 mokiniai, dalis 2019-09-01 – 6,2 proc.</w:t>
            </w:r>
          </w:p>
        </w:tc>
        <w:tc>
          <w:tcPr>
            <w:tcW w:w="4394" w:type="dxa"/>
          </w:tcPr>
          <w:p w:rsidR="00F07D4E" w:rsidRDefault="00F07D4E" w:rsidP="00E83B26">
            <w:r>
              <w:rPr>
                <w:rFonts w:eastAsia="Microsoft YaHei"/>
              </w:rPr>
              <w:t xml:space="preserve">Klasių, kuriose yra mažiau kaip </w:t>
            </w:r>
            <w:r>
              <w:rPr>
                <w:rFonts w:eastAsia="Microsoft YaHei"/>
              </w:rPr>
              <w:br/>
              <w:t>8 mokiniai, dalies rodiklis gerėja</w:t>
            </w:r>
          </w:p>
        </w:tc>
      </w:tr>
      <w:tr w:rsidR="00F07D4E" w:rsidRPr="00515C48" w:rsidTr="00E83B26">
        <w:tc>
          <w:tcPr>
            <w:tcW w:w="567" w:type="dxa"/>
          </w:tcPr>
          <w:p w:rsidR="00F07D4E" w:rsidRPr="007840C2" w:rsidRDefault="00F07D4E" w:rsidP="00E83B26">
            <w:pPr>
              <w:jc w:val="center"/>
            </w:pPr>
            <w:r>
              <w:t>4.</w:t>
            </w:r>
          </w:p>
        </w:tc>
        <w:tc>
          <w:tcPr>
            <w:tcW w:w="2835" w:type="dxa"/>
          </w:tcPr>
          <w:p w:rsidR="00F07D4E" w:rsidRPr="007840C2" w:rsidRDefault="00F07D4E" w:rsidP="00E83B26">
            <w:pPr>
              <w:ind w:left="-68"/>
            </w:pPr>
            <w:r>
              <w:t xml:space="preserve"> Mokinių ir mokytojų santykis</w:t>
            </w:r>
          </w:p>
        </w:tc>
        <w:tc>
          <w:tcPr>
            <w:tcW w:w="4962" w:type="dxa"/>
          </w:tcPr>
          <w:p w:rsidR="00F07D4E" w:rsidRPr="009C1FBB" w:rsidRDefault="00F07D4E" w:rsidP="00E83B26">
            <w:pPr>
              <w:autoSpaceDE w:val="0"/>
              <w:autoSpaceDN w:val="0"/>
              <w:adjustRightInd w:val="0"/>
              <w:rPr>
                <w:rFonts w:eastAsia="Microsoft YaHei"/>
              </w:rPr>
            </w:pPr>
            <w:r>
              <w:rPr>
                <w:rFonts w:eastAsia="Microsoft YaHei"/>
              </w:rPr>
              <w:t>Vienai sąlyginei mokytojo pareigybei tenkančių mokinių skaičius 2019-09-01 – 9,8</w:t>
            </w:r>
          </w:p>
        </w:tc>
        <w:tc>
          <w:tcPr>
            <w:tcW w:w="4394" w:type="dxa"/>
          </w:tcPr>
          <w:p w:rsidR="00F07D4E" w:rsidRPr="0063743D" w:rsidRDefault="00F07D4E" w:rsidP="00E83B26">
            <w:r>
              <w:rPr>
                <w:rFonts w:eastAsia="Microsoft YaHei"/>
              </w:rPr>
              <w:t>Vienai sąlyginei mokytojo pareigybei</w:t>
            </w:r>
            <w:r w:rsidRPr="0063743D">
              <w:t xml:space="preserve"> tenkančių </w:t>
            </w:r>
            <w:r>
              <w:t>m</w:t>
            </w:r>
            <w:r w:rsidRPr="0063743D">
              <w:t>okinių</w:t>
            </w:r>
            <w:r>
              <w:t xml:space="preserve"> skaičiaus rodiklis gerėja</w:t>
            </w:r>
          </w:p>
        </w:tc>
      </w:tr>
      <w:tr w:rsidR="00F07D4E" w:rsidRPr="00515C48" w:rsidTr="00E83B26">
        <w:tc>
          <w:tcPr>
            <w:tcW w:w="567" w:type="dxa"/>
          </w:tcPr>
          <w:p w:rsidR="00F07D4E" w:rsidRDefault="00F07D4E" w:rsidP="00E83B26">
            <w:pPr>
              <w:jc w:val="center"/>
            </w:pPr>
            <w:r>
              <w:t>5</w:t>
            </w:r>
            <w:r w:rsidRPr="007840C2">
              <w:t>.</w:t>
            </w:r>
          </w:p>
          <w:p w:rsidR="00F07D4E" w:rsidRPr="007840C2" w:rsidRDefault="00F07D4E" w:rsidP="00E83B26">
            <w:pPr>
              <w:jc w:val="center"/>
            </w:pPr>
          </w:p>
        </w:tc>
        <w:tc>
          <w:tcPr>
            <w:tcW w:w="2835" w:type="dxa"/>
          </w:tcPr>
          <w:p w:rsidR="00F07D4E" w:rsidRPr="007840C2" w:rsidRDefault="00F07D4E" w:rsidP="00E83B26">
            <w:pPr>
              <w:rPr>
                <w:highlight w:val="green"/>
              </w:rPr>
            </w:pPr>
            <w:r>
              <w:t>Švietimo p</w:t>
            </w:r>
            <w:r w:rsidRPr="007840C2">
              <w:t>agalbą mokiniui</w:t>
            </w:r>
            <w:r>
              <w:t xml:space="preserve"> teikiančių specialist</w:t>
            </w:r>
            <w:r w:rsidRPr="007840C2">
              <w:t>ų skaičius</w:t>
            </w:r>
          </w:p>
        </w:tc>
        <w:tc>
          <w:tcPr>
            <w:tcW w:w="4962" w:type="dxa"/>
          </w:tcPr>
          <w:p w:rsidR="00F07D4E" w:rsidRPr="007840C2" w:rsidRDefault="00F07D4E" w:rsidP="00E83B26">
            <w:r w:rsidRPr="00003A8F">
              <w:t>Švietimo pagalbos specialistų, tenkančių 100-ui mokinių, skaičius – 1,1</w:t>
            </w:r>
          </w:p>
        </w:tc>
        <w:tc>
          <w:tcPr>
            <w:tcW w:w="4394" w:type="dxa"/>
          </w:tcPr>
          <w:p w:rsidR="00F07D4E" w:rsidRPr="007840C2" w:rsidRDefault="00F07D4E" w:rsidP="00E83B26">
            <w:r w:rsidRPr="007840C2">
              <w:t xml:space="preserve">Pagalbą teikiančių specialistų ir mokinių skaičiaus santykis gerėja </w:t>
            </w:r>
          </w:p>
        </w:tc>
      </w:tr>
      <w:tr w:rsidR="00F07D4E" w:rsidRPr="00515C48" w:rsidTr="00E83B26">
        <w:tc>
          <w:tcPr>
            <w:tcW w:w="567" w:type="dxa"/>
          </w:tcPr>
          <w:p w:rsidR="00F07D4E" w:rsidRDefault="001238F4" w:rsidP="00E83B26">
            <w:pPr>
              <w:jc w:val="center"/>
            </w:pPr>
            <w:r>
              <w:t>6</w:t>
            </w:r>
            <w:r w:rsidR="00F07D4E">
              <w:t>.</w:t>
            </w:r>
          </w:p>
        </w:tc>
        <w:tc>
          <w:tcPr>
            <w:tcW w:w="2835" w:type="dxa"/>
          </w:tcPr>
          <w:p w:rsidR="00F07D4E" w:rsidRDefault="00F07D4E" w:rsidP="00E83B26">
            <w:pPr>
              <w:ind w:left="-68"/>
            </w:pPr>
            <w:r>
              <w:rPr>
                <w:rFonts w:eastAsia="Microsoft YaHei"/>
              </w:rPr>
              <w:t>Valstybinių brandos egzaminų rezultatai (proc.)</w:t>
            </w:r>
          </w:p>
        </w:tc>
        <w:tc>
          <w:tcPr>
            <w:tcW w:w="4962" w:type="dxa"/>
          </w:tcPr>
          <w:p w:rsidR="00F07D4E" w:rsidRPr="000E5FB7" w:rsidRDefault="00F07D4E" w:rsidP="00E83B26">
            <w:pPr>
              <w:autoSpaceDE w:val="0"/>
              <w:autoSpaceDN w:val="0"/>
              <w:adjustRightInd w:val="0"/>
              <w:rPr>
                <w:rFonts w:eastAsia="Microsoft YaHei"/>
              </w:rPr>
            </w:pPr>
            <w:r>
              <w:rPr>
                <w:rFonts w:eastAsia="Microsoft YaHei"/>
              </w:rPr>
              <w:t>Tris ir daugiau valstybinių brandos egzaminų išlaikiusių abiturientų dalis 2018–2019 m. m. – 65,5 proc.</w:t>
            </w:r>
          </w:p>
        </w:tc>
        <w:tc>
          <w:tcPr>
            <w:tcW w:w="4394" w:type="dxa"/>
          </w:tcPr>
          <w:p w:rsidR="00F07D4E" w:rsidRDefault="00F07D4E" w:rsidP="00E83B26">
            <w:pPr>
              <w:pStyle w:val="Default"/>
              <w:rPr>
                <w:lang w:val="lt-LT"/>
              </w:rPr>
            </w:pPr>
            <w:r>
              <w:rPr>
                <w:rFonts w:eastAsia="Microsoft YaHei"/>
              </w:rPr>
              <w:t>Tris ir daugiau valstybinių brandos egzaminų išlaikiusių abiturientų dallies rodiklis gerėja</w:t>
            </w:r>
          </w:p>
        </w:tc>
      </w:tr>
      <w:tr w:rsidR="00F07D4E" w:rsidRPr="00515C48" w:rsidTr="00E83B26">
        <w:tc>
          <w:tcPr>
            <w:tcW w:w="567" w:type="dxa"/>
          </w:tcPr>
          <w:p w:rsidR="00F07D4E" w:rsidRPr="007840C2" w:rsidRDefault="001238F4" w:rsidP="00E83B26">
            <w:pPr>
              <w:jc w:val="center"/>
            </w:pPr>
            <w:r>
              <w:t>7</w:t>
            </w:r>
            <w:r w:rsidR="00F07D4E">
              <w:t>.</w:t>
            </w:r>
          </w:p>
        </w:tc>
        <w:tc>
          <w:tcPr>
            <w:tcW w:w="2835" w:type="dxa"/>
          </w:tcPr>
          <w:p w:rsidR="00F07D4E" w:rsidRPr="007840C2" w:rsidRDefault="00F07D4E" w:rsidP="00E83B26">
            <w:pPr>
              <w:tabs>
                <w:tab w:val="left" w:pos="900"/>
                <w:tab w:val="left" w:pos="9638"/>
                <w:tab w:val="left" w:pos="9720"/>
              </w:tabs>
            </w:pPr>
            <w:r>
              <w:t>Apibendrintas VBE rodiklis</w:t>
            </w:r>
          </w:p>
        </w:tc>
        <w:tc>
          <w:tcPr>
            <w:tcW w:w="4962" w:type="dxa"/>
          </w:tcPr>
          <w:p w:rsidR="00F07D4E" w:rsidRDefault="00F07D4E" w:rsidP="00E83B26">
            <w:r>
              <w:t>Apibendrintas VBE rodiklis – 145</w:t>
            </w:r>
          </w:p>
        </w:tc>
        <w:tc>
          <w:tcPr>
            <w:tcW w:w="4394" w:type="dxa"/>
          </w:tcPr>
          <w:p w:rsidR="00F07D4E" w:rsidRDefault="00F07D4E" w:rsidP="00E83B26">
            <w:r>
              <w:t>Apibendrintas VBE rodiklis gerėja</w:t>
            </w:r>
          </w:p>
        </w:tc>
      </w:tr>
      <w:tr w:rsidR="00F07D4E" w:rsidRPr="00515C48" w:rsidTr="00E83B26">
        <w:tc>
          <w:tcPr>
            <w:tcW w:w="567" w:type="dxa"/>
          </w:tcPr>
          <w:p w:rsidR="00F07D4E" w:rsidRPr="007840C2" w:rsidRDefault="001238F4" w:rsidP="00E83B26">
            <w:pPr>
              <w:jc w:val="center"/>
            </w:pPr>
            <w:r>
              <w:t>8</w:t>
            </w:r>
            <w:r w:rsidR="00F07D4E">
              <w:t>.</w:t>
            </w:r>
          </w:p>
        </w:tc>
        <w:tc>
          <w:tcPr>
            <w:tcW w:w="2835" w:type="dxa"/>
          </w:tcPr>
          <w:p w:rsidR="00F07D4E" w:rsidRDefault="00F07D4E" w:rsidP="00E83B26">
            <w:pPr>
              <w:tabs>
                <w:tab w:val="left" w:pos="900"/>
                <w:tab w:val="left" w:pos="9638"/>
                <w:tab w:val="left" w:pos="9720"/>
              </w:tabs>
            </w:pPr>
            <w:r>
              <w:t>Pasiekusių bent pagrindinį PUPP pasiekimų lygį mokinių dalis (proc.)</w:t>
            </w:r>
          </w:p>
        </w:tc>
        <w:tc>
          <w:tcPr>
            <w:tcW w:w="4962" w:type="dxa"/>
          </w:tcPr>
          <w:p w:rsidR="00F07D4E" w:rsidRDefault="00F07D4E" w:rsidP="00E83B26">
            <w:r>
              <w:t>Pasiekusių bent pagrindinį PUPP pasiekimų lygį mokinių dalis 2019-09-01:</w:t>
            </w:r>
          </w:p>
          <w:p w:rsidR="00F07D4E" w:rsidRDefault="00F07D4E" w:rsidP="00E83B26">
            <w:r>
              <w:t>Lietuvių kalba – 63,2 proc.</w:t>
            </w:r>
          </w:p>
          <w:p w:rsidR="00F07D4E" w:rsidRDefault="00F07D4E" w:rsidP="00E83B26">
            <w:r>
              <w:t>Matematika – 35,9 proc.</w:t>
            </w:r>
          </w:p>
        </w:tc>
        <w:tc>
          <w:tcPr>
            <w:tcW w:w="4394" w:type="dxa"/>
          </w:tcPr>
          <w:p w:rsidR="00F07D4E" w:rsidRDefault="00F07D4E" w:rsidP="00E83B26">
            <w:r>
              <w:t>Pasiekusių bent pagrindinį PUPP pasiekimų lygį mokinių dalies (proc.) rodiklis gerėja</w:t>
            </w:r>
          </w:p>
        </w:tc>
      </w:tr>
      <w:tr w:rsidR="00D23C9A" w:rsidRPr="00D23C9A" w:rsidTr="00E83B26">
        <w:tc>
          <w:tcPr>
            <w:tcW w:w="567" w:type="dxa"/>
          </w:tcPr>
          <w:p w:rsidR="00F07D4E" w:rsidRPr="00D23C9A" w:rsidRDefault="00D23C9A" w:rsidP="00E83B26">
            <w:pPr>
              <w:jc w:val="center"/>
            </w:pPr>
            <w:r w:rsidRPr="00D23C9A">
              <w:t>9.</w:t>
            </w:r>
          </w:p>
        </w:tc>
        <w:tc>
          <w:tcPr>
            <w:tcW w:w="2835" w:type="dxa"/>
          </w:tcPr>
          <w:p w:rsidR="00F07D4E" w:rsidRPr="00D23C9A" w:rsidRDefault="00D23C9A" w:rsidP="00E83B26">
            <w:pPr>
              <w:tabs>
                <w:tab w:val="left" w:pos="900"/>
                <w:tab w:val="left" w:pos="9638"/>
                <w:tab w:val="left" w:pos="9720"/>
              </w:tabs>
            </w:pPr>
            <w:r w:rsidRPr="00D23C9A">
              <w:t>Padariusių pažangą mokinių dalis (proc.)</w:t>
            </w:r>
          </w:p>
        </w:tc>
        <w:tc>
          <w:tcPr>
            <w:tcW w:w="4962" w:type="dxa"/>
          </w:tcPr>
          <w:p w:rsidR="00D23C9A" w:rsidRPr="00D23C9A" w:rsidRDefault="00D23C9A" w:rsidP="00D23C9A">
            <w:r w:rsidRPr="00D23C9A">
              <w:t>Padariusių pažangą mokinių dalis (proc.):</w:t>
            </w:r>
          </w:p>
          <w:p w:rsidR="00D23C9A" w:rsidRPr="00D23C9A" w:rsidRDefault="00D23C9A" w:rsidP="00D23C9A">
            <w:r w:rsidRPr="00D23C9A">
              <w:t>2019 m. – 59,9</w:t>
            </w:r>
          </w:p>
          <w:p w:rsidR="00F07D4E" w:rsidRPr="00D23C9A" w:rsidRDefault="00D23C9A" w:rsidP="00D23C9A">
            <w:r w:rsidRPr="00D23C9A">
              <w:t>2020 m. (padariusių pažangą 6 klasės mokinių dalis) – 61,8</w:t>
            </w:r>
          </w:p>
        </w:tc>
        <w:tc>
          <w:tcPr>
            <w:tcW w:w="4394" w:type="dxa"/>
          </w:tcPr>
          <w:p w:rsidR="00F07D4E" w:rsidRPr="00D23C9A" w:rsidRDefault="00D23C9A" w:rsidP="00E83B26">
            <w:r w:rsidRPr="00D23C9A">
              <w:t>Padariusių pažangą mokinių dalis (proc.) didėja</w:t>
            </w:r>
          </w:p>
        </w:tc>
      </w:tr>
      <w:tr w:rsidR="00D23C9A" w:rsidRPr="00D23C9A" w:rsidTr="00E83B26">
        <w:tc>
          <w:tcPr>
            <w:tcW w:w="567" w:type="dxa"/>
          </w:tcPr>
          <w:p w:rsidR="00D23C9A" w:rsidRPr="00D23C9A" w:rsidRDefault="00D23C9A" w:rsidP="00E83B26">
            <w:pPr>
              <w:jc w:val="center"/>
            </w:pPr>
            <w:r w:rsidRPr="00D23C9A">
              <w:t>10.</w:t>
            </w:r>
          </w:p>
        </w:tc>
        <w:tc>
          <w:tcPr>
            <w:tcW w:w="2835" w:type="dxa"/>
          </w:tcPr>
          <w:p w:rsidR="00D23C9A" w:rsidRPr="00D23C9A" w:rsidRDefault="00D23C9A" w:rsidP="00E83B26">
            <w:pPr>
              <w:tabs>
                <w:tab w:val="left" w:pos="900"/>
                <w:tab w:val="left" w:pos="9638"/>
                <w:tab w:val="left" w:pos="9720"/>
              </w:tabs>
            </w:pPr>
            <w:r w:rsidRPr="00D23C9A">
              <w:t>Mokinių, kurie mokykloje jaučiasi gerai, dalis (proc.)</w:t>
            </w:r>
          </w:p>
        </w:tc>
        <w:tc>
          <w:tcPr>
            <w:tcW w:w="4962" w:type="dxa"/>
          </w:tcPr>
          <w:p w:rsidR="00D23C9A" w:rsidRPr="00D23C9A" w:rsidRDefault="00D23C9A" w:rsidP="00D23C9A">
            <w:r w:rsidRPr="00D23C9A">
              <w:t>Mokinių, kurie mokykloje jaučiasi gerai, dalis (proc.):</w:t>
            </w:r>
          </w:p>
          <w:p w:rsidR="00D23C9A" w:rsidRPr="00D23C9A" w:rsidRDefault="00D23C9A" w:rsidP="00D23C9A">
            <w:r w:rsidRPr="00D23C9A">
              <w:t>2019 m. – 60,9</w:t>
            </w:r>
          </w:p>
          <w:p w:rsidR="00D23C9A" w:rsidRPr="00D23C9A" w:rsidRDefault="00D23C9A" w:rsidP="00D23C9A">
            <w:r w:rsidRPr="00D23C9A">
              <w:lastRenderedPageBreak/>
              <w:t>2020 m. – 55,5</w:t>
            </w:r>
          </w:p>
        </w:tc>
        <w:tc>
          <w:tcPr>
            <w:tcW w:w="4394" w:type="dxa"/>
          </w:tcPr>
          <w:p w:rsidR="00D23C9A" w:rsidRPr="00D23C9A" w:rsidRDefault="00D23C9A" w:rsidP="00E83B26">
            <w:r w:rsidRPr="00D23C9A">
              <w:lastRenderedPageBreak/>
              <w:t>Mokinių, kurie mokykloje jaučiasi gerai, dalis (proc.), didėja</w:t>
            </w:r>
          </w:p>
        </w:tc>
      </w:tr>
      <w:tr w:rsidR="00D23C9A" w:rsidRPr="00D23C9A" w:rsidTr="00E83B26">
        <w:tc>
          <w:tcPr>
            <w:tcW w:w="567" w:type="dxa"/>
          </w:tcPr>
          <w:p w:rsidR="00F07D4E" w:rsidRPr="00D23C9A" w:rsidRDefault="00F07D4E" w:rsidP="00E83B26">
            <w:pPr>
              <w:jc w:val="center"/>
            </w:pPr>
            <w:r w:rsidRPr="00D23C9A">
              <w:t>1</w:t>
            </w:r>
            <w:r w:rsidR="00D23C9A" w:rsidRPr="00D23C9A">
              <w:t>1</w:t>
            </w:r>
            <w:r w:rsidRPr="00D23C9A">
              <w:t>.</w:t>
            </w:r>
          </w:p>
        </w:tc>
        <w:tc>
          <w:tcPr>
            <w:tcW w:w="2835" w:type="dxa"/>
          </w:tcPr>
          <w:p w:rsidR="00F07D4E" w:rsidRPr="00D23C9A" w:rsidRDefault="00F07D4E" w:rsidP="00E83B26">
            <w:pPr>
              <w:tabs>
                <w:tab w:val="left" w:pos="900"/>
                <w:tab w:val="left" w:pos="9638"/>
                <w:tab w:val="left" w:pos="9720"/>
              </w:tabs>
            </w:pPr>
            <w:r w:rsidRPr="00D23C9A">
              <w:t>Vaikų užimtumas neformaliojo vaikų švietimo srityje</w:t>
            </w:r>
          </w:p>
        </w:tc>
        <w:tc>
          <w:tcPr>
            <w:tcW w:w="4962" w:type="dxa"/>
          </w:tcPr>
          <w:p w:rsidR="00F07D4E" w:rsidRPr="00D23C9A" w:rsidRDefault="00F07D4E" w:rsidP="00E83B26">
            <w:pPr>
              <w:tabs>
                <w:tab w:val="left" w:pos="900"/>
                <w:tab w:val="left" w:pos="9638"/>
                <w:tab w:val="left" w:pos="9720"/>
              </w:tabs>
            </w:pPr>
            <w:r w:rsidRPr="00D23C9A">
              <w:t>Stabilus vaikų užimtumas</w:t>
            </w:r>
          </w:p>
          <w:p w:rsidR="00F07D4E" w:rsidRPr="00D23C9A" w:rsidRDefault="00F07D4E" w:rsidP="00E83B26">
            <w:pPr>
              <w:tabs>
                <w:tab w:val="left" w:pos="900"/>
                <w:tab w:val="left" w:pos="9638"/>
                <w:tab w:val="left" w:pos="9720"/>
              </w:tabs>
            </w:pPr>
          </w:p>
        </w:tc>
        <w:tc>
          <w:tcPr>
            <w:tcW w:w="4394" w:type="dxa"/>
          </w:tcPr>
          <w:p w:rsidR="00F07D4E" w:rsidRPr="00D23C9A" w:rsidRDefault="00F07D4E" w:rsidP="00E83B26">
            <w:pPr>
              <w:tabs>
                <w:tab w:val="left" w:pos="900"/>
                <w:tab w:val="left" w:pos="9638"/>
                <w:tab w:val="left" w:pos="9720"/>
              </w:tabs>
              <w:jc w:val="both"/>
            </w:pPr>
            <w:r w:rsidRPr="00D23C9A">
              <w:t>Vaikų užimtumas nuolat gerėja</w:t>
            </w:r>
          </w:p>
        </w:tc>
      </w:tr>
      <w:tr w:rsidR="00F07D4E" w:rsidRPr="00515C48" w:rsidTr="00E83B26">
        <w:tc>
          <w:tcPr>
            <w:tcW w:w="567" w:type="dxa"/>
          </w:tcPr>
          <w:p w:rsidR="00F07D4E" w:rsidRPr="007840C2" w:rsidRDefault="00F07D4E" w:rsidP="00E83B26">
            <w:pPr>
              <w:jc w:val="center"/>
            </w:pPr>
            <w:r>
              <w:t>1</w:t>
            </w:r>
            <w:r w:rsidR="00D23C9A">
              <w:t>2</w:t>
            </w:r>
            <w:r w:rsidRPr="007840C2">
              <w:t>.</w:t>
            </w:r>
          </w:p>
        </w:tc>
        <w:tc>
          <w:tcPr>
            <w:tcW w:w="2835" w:type="dxa"/>
          </w:tcPr>
          <w:p w:rsidR="00F07D4E" w:rsidRPr="007840C2" w:rsidRDefault="00F07D4E" w:rsidP="00E83B26">
            <w:r>
              <w:t>Mokym</w:t>
            </w:r>
            <w:r w:rsidRPr="007840C2">
              <w:t>o lėšų pakankamumas</w:t>
            </w:r>
          </w:p>
        </w:tc>
        <w:tc>
          <w:tcPr>
            <w:tcW w:w="4962" w:type="dxa"/>
          </w:tcPr>
          <w:p w:rsidR="00F07D4E" w:rsidRPr="007840C2" w:rsidRDefault="00F07D4E" w:rsidP="00E83B26">
            <w:r>
              <w:t>Mokym</w:t>
            </w:r>
            <w:r w:rsidRPr="007840C2">
              <w:t xml:space="preserve">o lėšų dalis darbo užmokesčiui </w:t>
            </w:r>
            <w:r>
              <w:t xml:space="preserve">mokytojams </w:t>
            </w:r>
            <w:r w:rsidRPr="007840C2">
              <w:t>pakankama visose švietimo įstaigose</w:t>
            </w:r>
          </w:p>
          <w:p w:rsidR="00F07D4E" w:rsidRPr="007840C2" w:rsidRDefault="00F07D4E" w:rsidP="00E83B26"/>
        </w:tc>
        <w:tc>
          <w:tcPr>
            <w:tcW w:w="4394" w:type="dxa"/>
          </w:tcPr>
          <w:p w:rsidR="00F07D4E" w:rsidRPr="007840C2" w:rsidRDefault="00F07D4E" w:rsidP="00E83B26">
            <w:r>
              <w:t>Mokym</w:t>
            </w:r>
            <w:r w:rsidRPr="007840C2">
              <w:t>o lėšų pakanka darbo užmokesčiui, mokytojų kvalifikacijai ir mokymo priemonėms. Užtikrinamas švietimo įstaigos pareigybių skaičiaus finansavimo būtinumas. Užtikrinamos sanitarinės ir higienos sąlygos</w:t>
            </w:r>
          </w:p>
        </w:tc>
      </w:tr>
      <w:tr w:rsidR="00F07D4E" w:rsidRPr="00515C48" w:rsidTr="003D784A">
        <w:tc>
          <w:tcPr>
            <w:tcW w:w="567" w:type="dxa"/>
            <w:tcBorders>
              <w:bottom w:val="single" w:sz="4" w:space="0" w:color="auto"/>
            </w:tcBorders>
          </w:tcPr>
          <w:p w:rsidR="00F07D4E" w:rsidRPr="007840C2" w:rsidRDefault="00F07D4E" w:rsidP="00E83B26">
            <w:pPr>
              <w:jc w:val="center"/>
            </w:pPr>
            <w:r>
              <w:t>1</w:t>
            </w:r>
            <w:r w:rsidR="00D23C9A">
              <w:t>3</w:t>
            </w:r>
            <w:r w:rsidRPr="007840C2">
              <w:t>.</w:t>
            </w:r>
          </w:p>
        </w:tc>
        <w:tc>
          <w:tcPr>
            <w:tcW w:w="2835" w:type="dxa"/>
            <w:tcBorders>
              <w:bottom w:val="single" w:sz="4" w:space="0" w:color="auto"/>
            </w:tcBorders>
          </w:tcPr>
          <w:p w:rsidR="00F07D4E" w:rsidRPr="00A85E64" w:rsidRDefault="00F07D4E" w:rsidP="00E83B26">
            <w:pPr>
              <w:tabs>
                <w:tab w:val="left" w:pos="900"/>
                <w:tab w:val="left" w:pos="9638"/>
                <w:tab w:val="left" w:pos="9720"/>
              </w:tabs>
            </w:pPr>
            <w:r w:rsidRPr="007840C2">
              <w:t>Vieno mokinio ugdymo kaina</w:t>
            </w:r>
          </w:p>
        </w:tc>
        <w:tc>
          <w:tcPr>
            <w:tcW w:w="4962" w:type="dxa"/>
            <w:tcBorders>
              <w:bottom w:val="single" w:sz="4" w:space="0" w:color="auto"/>
            </w:tcBorders>
          </w:tcPr>
          <w:p w:rsidR="00F07D4E" w:rsidRPr="007840C2" w:rsidRDefault="00F07D4E" w:rsidP="00E83B26">
            <w:pPr>
              <w:rPr>
                <w:highlight w:val="green"/>
              </w:rPr>
            </w:pPr>
            <w:r>
              <w:t>Vieno mokinio ugdymo kaina dera su tais metais nustatytu mokymo lėšų dydžiu</w:t>
            </w:r>
          </w:p>
        </w:tc>
        <w:tc>
          <w:tcPr>
            <w:tcW w:w="4394" w:type="dxa"/>
            <w:tcBorders>
              <w:bottom w:val="single" w:sz="4" w:space="0" w:color="auto"/>
            </w:tcBorders>
          </w:tcPr>
          <w:p w:rsidR="00F07D4E" w:rsidRPr="007840C2" w:rsidRDefault="00F07D4E" w:rsidP="00E83B26">
            <w:r>
              <w:t xml:space="preserve">Vieno mokinio ugdymo kaina </w:t>
            </w:r>
            <w:r w:rsidRPr="007840C2">
              <w:t>atiti</w:t>
            </w:r>
            <w:r>
              <w:t>nka ar viršija mokymo</w:t>
            </w:r>
            <w:r w:rsidRPr="007840C2">
              <w:t xml:space="preserve"> lėšų dydį</w:t>
            </w:r>
          </w:p>
        </w:tc>
      </w:tr>
      <w:tr w:rsidR="00F07D4E" w:rsidRPr="00515C48" w:rsidTr="003D784A">
        <w:tc>
          <w:tcPr>
            <w:tcW w:w="567" w:type="dxa"/>
            <w:tcBorders>
              <w:bottom w:val="single" w:sz="4" w:space="0" w:color="auto"/>
            </w:tcBorders>
          </w:tcPr>
          <w:p w:rsidR="00F07D4E" w:rsidRDefault="00F07D4E" w:rsidP="00E83B26">
            <w:pPr>
              <w:jc w:val="center"/>
            </w:pPr>
            <w:r>
              <w:t>1</w:t>
            </w:r>
            <w:r w:rsidR="00D23C9A">
              <w:t>4</w:t>
            </w:r>
            <w:r>
              <w:t>.</w:t>
            </w:r>
          </w:p>
        </w:tc>
        <w:tc>
          <w:tcPr>
            <w:tcW w:w="2835" w:type="dxa"/>
            <w:tcBorders>
              <w:bottom w:val="single" w:sz="4" w:space="0" w:color="auto"/>
            </w:tcBorders>
          </w:tcPr>
          <w:p w:rsidR="00F07D4E" w:rsidRPr="007840C2" w:rsidRDefault="00F07D4E" w:rsidP="00E83B26">
            <w:r>
              <w:t>S</w:t>
            </w:r>
            <w:r w:rsidRPr="001B733F">
              <w:t>aug</w:t>
            </w:r>
            <w:r>
              <w:t>us mokinių vežimas</w:t>
            </w:r>
          </w:p>
        </w:tc>
        <w:tc>
          <w:tcPr>
            <w:tcW w:w="4962" w:type="dxa"/>
            <w:tcBorders>
              <w:bottom w:val="single" w:sz="4" w:space="0" w:color="auto"/>
            </w:tcBorders>
          </w:tcPr>
          <w:p w:rsidR="00F07D4E" w:rsidRPr="007840C2" w:rsidRDefault="00F07D4E" w:rsidP="00E83B26">
            <w:r>
              <w:t>Aprūpinimas transportu ir kitų vežiojimo būdų užtikrinimas stabilus</w:t>
            </w:r>
          </w:p>
        </w:tc>
        <w:tc>
          <w:tcPr>
            <w:tcW w:w="4394" w:type="dxa"/>
            <w:tcBorders>
              <w:bottom w:val="single" w:sz="4" w:space="0" w:color="auto"/>
            </w:tcBorders>
          </w:tcPr>
          <w:p w:rsidR="00F07D4E" w:rsidRPr="007840C2" w:rsidRDefault="00F07D4E" w:rsidP="00E83B26">
            <w:r>
              <w:t>Aprūpinimas transportu ir kitų vežiojimo būdų užtikrinimas gerėja</w:t>
            </w:r>
          </w:p>
        </w:tc>
      </w:tr>
    </w:tbl>
    <w:p w:rsidR="00B11FDB" w:rsidRPr="00E917A0" w:rsidRDefault="00B11FDB" w:rsidP="00B11FDB">
      <w:pPr>
        <w:pStyle w:val="Default"/>
        <w:jc w:val="center"/>
      </w:pPr>
    </w:p>
    <w:p w:rsidR="0001783D" w:rsidRPr="00DB6DCD" w:rsidRDefault="003541E9" w:rsidP="00DB6DCD">
      <w:pPr>
        <w:pStyle w:val="Betarp"/>
        <w:jc w:val="center"/>
        <w:rPr>
          <w:b/>
        </w:rPr>
      </w:pPr>
      <w:r w:rsidRPr="00DB6DCD">
        <w:rPr>
          <w:rFonts w:ascii="Times New Roman" w:hAnsi="Times New Roman"/>
          <w:b/>
          <w:sz w:val="24"/>
          <w:szCs w:val="24"/>
        </w:rPr>
        <w:t>V</w:t>
      </w:r>
      <w:r w:rsidR="006C725F" w:rsidRPr="00DB6DCD">
        <w:rPr>
          <w:rFonts w:ascii="Times New Roman" w:hAnsi="Times New Roman"/>
          <w:b/>
          <w:sz w:val="24"/>
          <w:szCs w:val="24"/>
        </w:rPr>
        <w:t>I</w:t>
      </w:r>
      <w:r w:rsidR="0001783D" w:rsidRPr="00DB6DCD">
        <w:rPr>
          <w:rFonts w:ascii="Times New Roman" w:hAnsi="Times New Roman"/>
          <w:b/>
          <w:sz w:val="24"/>
          <w:szCs w:val="24"/>
        </w:rPr>
        <w:t xml:space="preserve"> SKYRIUS</w:t>
      </w:r>
    </w:p>
    <w:p w:rsidR="002A57DA" w:rsidRPr="00DB6DCD" w:rsidRDefault="003541E9" w:rsidP="00DB6DCD">
      <w:pPr>
        <w:pStyle w:val="Betarp"/>
        <w:jc w:val="center"/>
        <w:rPr>
          <w:b/>
          <w:color w:val="FF0000"/>
        </w:rPr>
      </w:pPr>
      <w:r w:rsidRPr="00DB6DCD">
        <w:rPr>
          <w:rFonts w:ascii="Times New Roman" w:hAnsi="Times New Roman"/>
          <w:b/>
          <w:sz w:val="24"/>
          <w:szCs w:val="24"/>
        </w:rPr>
        <w:t>BAIGIAMOSIOS NUOSTATOS</w:t>
      </w:r>
    </w:p>
    <w:p w:rsidR="00BD3DE9" w:rsidRPr="003E066E" w:rsidRDefault="00BD3DE9" w:rsidP="00DB6DCD">
      <w:pPr>
        <w:pStyle w:val="Betarp"/>
        <w:ind w:firstLine="720"/>
        <w:jc w:val="both"/>
        <w:rPr>
          <w:rFonts w:ascii="Times New Roman" w:hAnsi="Times New Roman"/>
          <w:sz w:val="24"/>
          <w:szCs w:val="24"/>
        </w:rPr>
      </w:pPr>
    </w:p>
    <w:p w:rsidR="00BB4CBD" w:rsidRPr="00981FB0" w:rsidRDefault="00A27318" w:rsidP="00DB6DCD">
      <w:pPr>
        <w:pStyle w:val="Betarp"/>
        <w:ind w:firstLine="720"/>
        <w:jc w:val="both"/>
      </w:pPr>
      <w:r w:rsidRPr="00DB6DCD">
        <w:rPr>
          <w:rFonts w:ascii="Times New Roman" w:hAnsi="Times New Roman"/>
          <w:sz w:val="24"/>
          <w:szCs w:val="24"/>
        </w:rPr>
        <w:t xml:space="preserve">Keičiantis faktinei situacijai, Lietuvos Respublikos Vyriausybės </w:t>
      </w:r>
      <w:r w:rsidR="00E86653">
        <w:rPr>
          <w:rFonts w:ascii="Times New Roman" w:hAnsi="Times New Roman"/>
          <w:sz w:val="24"/>
          <w:szCs w:val="24"/>
        </w:rPr>
        <w:t>teisės ak</w:t>
      </w:r>
      <w:r w:rsidRPr="00DB6DCD">
        <w:rPr>
          <w:rFonts w:ascii="Times New Roman" w:hAnsi="Times New Roman"/>
          <w:sz w:val="24"/>
          <w:szCs w:val="24"/>
        </w:rPr>
        <w:t>tams ir nuo</w:t>
      </w:r>
      <w:r w:rsidR="00E86653">
        <w:rPr>
          <w:rFonts w:ascii="Times New Roman" w:hAnsi="Times New Roman"/>
          <w:sz w:val="24"/>
          <w:szCs w:val="24"/>
        </w:rPr>
        <w:t>s</w:t>
      </w:r>
      <w:r w:rsidRPr="00DB6DCD">
        <w:rPr>
          <w:rFonts w:ascii="Times New Roman" w:hAnsi="Times New Roman"/>
          <w:sz w:val="24"/>
          <w:szCs w:val="24"/>
        </w:rPr>
        <w:t xml:space="preserve">tatoms bei pageidaujant bendruomenėms </w:t>
      </w:r>
      <w:r w:rsidR="007D345A" w:rsidRPr="00DB6DCD">
        <w:rPr>
          <w:rFonts w:ascii="Times New Roman" w:hAnsi="Times New Roman"/>
          <w:sz w:val="24"/>
          <w:szCs w:val="24"/>
        </w:rPr>
        <w:t>Bendrojo ugdymo mokyklų tinklos pertvarkos</w:t>
      </w:r>
      <w:r w:rsidRPr="00DB6DCD">
        <w:rPr>
          <w:rFonts w:ascii="Times New Roman" w:hAnsi="Times New Roman"/>
          <w:sz w:val="24"/>
          <w:szCs w:val="24"/>
        </w:rPr>
        <w:t xml:space="preserve"> </w:t>
      </w:r>
      <w:r w:rsidR="00E86653">
        <w:rPr>
          <w:rFonts w:ascii="Times New Roman" w:hAnsi="Times New Roman"/>
          <w:sz w:val="24"/>
          <w:szCs w:val="24"/>
        </w:rPr>
        <w:t xml:space="preserve">2021–2025 m. bendrąjį </w:t>
      </w:r>
      <w:r w:rsidRPr="00DB6DCD">
        <w:rPr>
          <w:rFonts w:ascii="Times New Roman" w:hAnsi="Times New Roman"/>
          <w:sz w:val="24"/>
          <w:szCs w:val="24"/>
        </w:rPr>
        <w:t>planą galima</w:t>
      </w:r>
      <w:r w:rsidR="0005502B" w:rsidRPr="00DB6DCD">
        <w:rPr>
          <w:rFonts w:ascii="Times New Roman" w:hAnsi="Times New Roman"/>
          <w:sz w:val="24"/>
          <w:szCs w:val="24"/>
        </w:rPr>
        <w:t xml:space="preserve"> kasmet </w:t>
      </w:r>
      <w:r w:rsidRPr="00DB6DCD">
        <w:rPr>
          <w:rFonts w:ascii="Times New Roman" w:hAnsi="Times New Roman"/>
          <w:sz w:val="24"/>
          <w:szCs w:val="24"/>
        </w:rPr>
        <w:t xml:space="preserve">tikslinti ir </w:t>
      </w:r>
      <w:r w:rsidR="00600B0E">
        <w:rPr>
          <w:rFonts w:ascii="Times New Roman" w:hAnsi="Times New Roman"/>
          <w:sz w:val="24"/>
          <w:szCs w:val="24"/>
        </w:rPr>
        <w:t>keis</w:t>
      </w:r>
      <w:r w:rsidRPr="00DB6DCD">
        <w:rPr>
          <w:rFonts w:ascii="Times New Roman" w:hAnsi="Times New Roman"/>
          <w:sz w:val="24"/>
          <w:szCs w:val="24"/>
        </w:rPr>
        <w:t>ti.</w:t>
      </w:r>
    </w:p>
    <w:p w:rsidR="00732BE9" w:rsidRPr="00CC6B10" w:rsidRDefault="00CC6B10" w:rsidP="00CC6B10">
      <w:pPr>
        <w:pStyle w:val="Betarp"/>
        <w:jc w:val="center"/>
        <w:rPr>
          <w:rFonts w:ascii="Times New Roman" w:hAnsi="Times New Roman"/>
          <w:sz w:val="24"/>
          <w:szCs w:val="24"/>
        </w:rPr>
      </w:pPr>
      <w:r>
        <w:rPr>
          <w:rFonts w:ascii="Times New Roman" w:hAnsi="Times New Roman"/>
          <w:sz w:val="24"/>
          <w:szCs w:val="24"/>
        </w:rPr>
        <w:t>___________________________________</w:t>
      </w:r>
    </w:p>
    <w:sectPr w:rsidR="00732BE9" w:rsidRPr="00CC6B10" w:rsidSect="00FC056C">
      <w:headerReference w:type="even" r:id="rId22"/>
      <w:headerReference w:type="default" r:id="rId23"/>
      <w:footerReference w:type="even" r:id="rId24"/>
      <w:footerReference w:type="default" r:id="rId25"/>
      <w:pgSz w:w="15840" w:h="12240" w:orient="landscape"/>
      <w:pgMar w:top="709" w:right="1239" w:bottom="709" w:left="1985"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A3A" w:rsidRDefault="00556A3A">
      <w:r>
        <w:separator/>
      </w:r>
    </w:p>
  </w:endnote>
  <w:endnote w:type="continuationSeparator" w:id="0">
    <w:p w:rsidR="00556A3A" w:rsidRDefault="0055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801" w:rsidRDefault="009A3A5B" w:rsidP="005C78A1">
    <w:pPr>
      <w:pStyle w:val="Porat"/>
      <w:framePr w:wrap="around" w:vAnchor="text" w:hAnchor="margin" w:xAlign="right" w:y="1"/>
      <w:rPr>
        <w:rStyle w:val="Puslapionumeris"/>
      </w:rPr>
    </w:pPr>
    <w:r>
      <w:rPr>
        <w:rStyle w:val="Puslapionumeris"/>
      </w:rPr>
      <w:fldChar w:fldCharType="begin"/>
    </w:r>
    <w:r w:rsidR="00C21801">
      <w:rPr>
        <w:rStyle w:val="Puslapionumeris"/>
      </w:rPr>
      <w:instrText xml:space="preserve">PAGE  </w:instrText>
    </w:r>
    <w:r>
      <w:rPr>
        <w:rStyle w:val="Puslapionumeris"/>
      </w:rPr>
      <w:fldChar w:fldCharType="end"/>
    </w:r>
  </w:p>
  <w:p w:rsidR="00C21801" w:rsidRDefault="00C21801" w:rsidP="005C78A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801" w:rsidRDefault="00C21801" w:rsidP="005C78A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A3A" w:rsidRDefault="00556A3A">
      <w:r>
        <w:separator/>
      </w:r>
    </w:p>
  </w:footnote>
  <w:footnote w:type="continuationSeparator" w:id="0">
    <w:p w:rsidR="00556A3A" w:rsidRDefault="00556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801" w:rsidRDefault="009A3A5B">
    <w:pPr>
      <w:pStyle w:val="Antrats"/>
      <w:framePr w:wrap="around" w:vAnchor="text" w:hAnchor="margin" w:xAlign="center" w:y="1"/>
      <w:rPr>
        <w:rStyle w:val="Puslapionumeris"/>
      </w:rPr>
    </w:pPr>
    <w:r>
      <w:rPr>
        <w:rStyle w:val="Puslapionumeris"/>
      </w:rPr>
      <w:fldChar w:fldCharType="begin"/>
    </w:r>
    <w:r w:rsidR="00C21801">
      <w:rPr>
        <w:rStyle w:val="Puslapionumeris"/>
      </w:rPr>
      <w:instrText xml:space="preserve">PAGE  </w:instrText>
    </w:r>
    <w:r>
      <w:rPr>
        <w:rStyle w:val="Puslapionumeris"/>
      </w:rPr>
      <w:fldChar w:fldCharType="end"/>
    </w:r>
  </w:p>
  <w:p w:rsidR="00C21801" w:rsidRDefault="00C2180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801" w:rsidRDefault="009A3A5B">
    <w:pPr>
      <w:pStyle w:val="Antrats"/>
      <w:jc w:val="center"/>
    </w:pPr>
    <w:r>
      <w:rPr>
        <w:noProof/>
      </w:rPr>
      <w:fldChar w:fldCharType="begin"/>
    </w:r>
    <w:r w:rsidR="00C21801">
      <w:rPr>
        <w:noProof/>
      </w:rPr>
      <w:instrText>PAGE   \* MERGEFORMAT</w:instrText>
    </w:r>
    <w:r>
      <w:rPr>
        <w:noProof/>
      </w:rPr>
      <w:fldChar w:fldCharType="separate"/>
    </w:r>
    <w:r w:rsidR="00DC47AC">
      <w:rPr>
        <w:noProof/>
      </w:rPr>
      <w:t>24</w:t>
    </w:r>
    <w:r>
      <w:rPr>
        <w:noProof/>
      </w:rPr>
      <w:fldChar w:fldCharType="end"/>
    </w:r>
  </w:p>
  <w:p w:rsidR="00C21801" w:rsidRDefault="00C2180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5FD"/>
    <w:multiLevelType w:val="hybridMultilevel"/>
    <w:tmpl w:val="BEF0B2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654E2"/>
    <w:multiLevelType w:val="multilevel"/>
    <w:tmpl w:val="643826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15:restartNumberingAfterBreak="0">
    <w:nsid w:val="12C11DE5"/>
    <w:multiLevelType w:val="hybridMultilevel"/>
    <w:tmpl w:val="891A3C60"/>
    <w:lvl w:ilvl="0" w:tplc="B4B40DB6">
      <w:start w:val="1"/>
      <w:numFmt w:val="upperRoman"/>
      <w:lvlText w:val="%1."/>
      <w:lvlJc w:val="left"/>
      <w:pPr>
        <w:tabs>
          <w:tab w:val="num" w:pos="1440"/>
        </w:tabs>
        <w:ind w:left="1440" w:hanging="720"/>
      </w:pPr>
      <w:rPr>
        <w:rFonts w:hint="default"/>
      </w:rPr>
    </w:lvl>
    <w:lvl w:ilvl="1" w:tplc="6030AB4C">
      <w:numFmt w:val="bullet"/>
      <w:lvlText w:val="-"/>
      <w:lvlJc w:val="left"/>
      <w:pPr>
        <w:tabs>
          <w:tab w:val="num" w:pos="1800"/>
        </w:tabs>
        <w:ind w:left="1800" w:hanging="360"/>
      </w:pPr>
      <w:rPr>
        <w:rFonts w:ascii="Times New Roman" w:eastAsia="Times New Roman" w:hAnsi="Times New Roman" w:cs="Times New Roman" w:hint="default"/>
      </w:rPr>
    </w:lvl>
    <w:lvl w:ilvl="2" w:tplc="36DE38A4" w:tentative="1">
      <w:start w:val="1"/>
      <w:numFmt w:val="lowerRoman"/>
      <w:lvlText w:val="%3."/>
      <w:lvlJc w:val="right"/>
      <w:pPr>
        <w:tabs>
          <w:tab w:val="num" w:pos="2520"/>
        </w:tabs>
        <w:ind w:left="2520" w:hanging="180"/>
      </w:pPr>
    </w:lvl>
    <w:lvl w:ilvl="3" w:tplc="49CED904" w:tentative="1">
      <w:start w:val="1"/>
      <w:numFmt w:val="decimal"/>
      <w:lvlText w:val="%4."/>
      <w:lvlJc w:val="left"/>
      <w:pPr>
        <w:tabs>
          <w:tab w:val="num" w:pos="3240"/>
        </w:tabs>
        <w:ind w:left="3240" w:hanging="360"/>
      </w:pPr>
    </w:lvl>
    <w:lvl w:ilvl="4" w:tplc="0310C062" w:tentative="1">
      <w:start w:val="1"/>
      <w:numFmt w:val="lowerLetter"/>
      <w:lvlText w:val="%5."/>
      <w:lvlJc w:val="left"/>
      <w:pPr>
        <w:tabs>
          <w:tab w:val="num" w:pos="3960"/>
        </w:tabs>
        <w:ind w:left="3960" w:hanging="360"/>
      </w:pPr>
    </w:lvl>
    <w:lvl w:ilvl="5" w:tplc="148A4EDE" w:tentative="1">
      <w:start w:val="1"/>
      <w:numFmt w:val="lowerRoman"/>
      <w:lvlText w:val="%6."/>
      <w:lvlJc w:val="right"/>
      <w:pPr>
        <w:tabs>
          <w:tab w:val="num" w:pos="4680"/>
        </w:tabs>
        <w:ind w:left="4680" w:hanging="180"/>
      </w:pPr>
    </w:lvl>
    <w:lvl w:ilvl="6" w:tplc="07D4CF24" w:tentative="1">
      <w:start w:val="1"/>
      <w:numFmt w:val="decimal"/>
      <w:lvlText w:val="%7."/>
      <w:lvlJc w:val="left"/>
      <w:pPr>
        <w:tabs>
          <w:tab w:val="num" w:pos="5400"/>
        </w:tabs>
        <w:ind w:left="5400" w:hanging="360"/>
      </w:pPr>
    </w:lvl>
    <w:lvl w:ilvl="7" w:tplc="3DA8BA4E" w:tentative="1">
      <w:start w:val="1"/>
      <w:numFmt w:val="lowerLetter"/>
      <w:lvlText w:val="%8."/>
      <w:lvlJc w:val="left"/>
      <w:pPr>
        <w:tabs>
          <w:tab w:val="num" w:pos="6120"/>
        </w:tabs>
        <w:ind w:left="6120" w:hanging="360"/>
      </w:pPr>
    </w:lvl>
    <w:lvl w:ilvl="8" w:tplc="B9687F00" w:tentative="1">
      <w:start w:val="1"/>
      <w:numFmt w:val="lowerRoman"/>
      <w:lvlText w:val="%9."/>
      <w:lvlJc w:val="right"/>
      <w:pPr>
        <w:tabs>
          <w:tab w:val="num" w:pos="6840"/>
        </w:tabs>
        <w:ind w:left="6840" w:hanging="180"/>
      </w:pPr>
    </w:lvl>
  </w:abstractNum>
  <w:abstractNum w:abstractNumId="3" w15:restartNumberingAfterBreak="0">
    <w:nsid w:val="14B94077"/>
    <w:multiLevelType w:val="hybridMultilevel"/>
    <w:tmpl w:val="AAA613F8"/>
    <w:lvl w:ilvl="0" w:tplc="F99A3D2E">
      <w:start w:val="1"/>
      <w:numFmt w:val="bullet"/>
      <w:lvlText w:val=""/>
      <w:lvlJc w:val="left"/>
      <w:pPr>
        <w:tabs>
          <w:tab w:val="num" w:pos="792"/>
        </w:tabs>
        <w:ind w:left="792" w:hanging="360"/>
      </w:pPr>
      <w:rPr>
        <w:rFonts w:ascii="Wingdings" w:hAnsi="Wingdings" w:hint="default"/>
      </w:rPr>
    </w:lvl>
    <w:lvl w:ilvl="1" w:tplc="9D2AC674">
      <w:start w:val="1"/>
      <w:numFmt w:val="decimal"/>
      <w:lvlText w:val="%2."/>
      <w:lvlJc w:val="left"/>
      <w:pPr>
        <w:tabs>
          <w:tab w:val="num" w:pos="1440"/>
        </w:tabs>
        <w:ind w:left="1440" w:hanging="360"/>
      </w:pPr>
    </w:lvl>
    <w:lvl w:ilvl="2" w:tplc="FD5684F8">
      <w:start w:val="1"/>
      <w:numFmt w:val="decimal"/>
      <w:lvlText w:val="%3."/>
      <w:lvlJc w:val="left"/>
      <w:pPr>
        <w:tabs>
          <w:tab w:val="num" w:pos="2160"/>
        </w:tabs>
        <w:ind w:left="2160" w:hanging="360"/>
      </w:pPr>
    </w:lvl>
    <w:lvl w:ilvl="3" w:tplc="95882218">
      <w:start w:val="1"/>
      <w:numFmt w:val="decimal"/>
      <w:lvlText w:val="%4."/>
      <w:lvlJc w:val="left"/>
      <w:pPr>
        <w:tabs>
          <w:tab w:val="num" w:pos="2880"/>
        </w:tabs>
        <w:ind w:left="2880" w:hanging="360"/>
      </w:pPr>
    </w:lvl>
    <w:lvl w:ilvl="4" w:tplc="617EAC0A">
      <w:start w:val="1"/>
      <w:numFmt w:val="decimal"/>
      <w:lvlText w:val="%5."/>
      <w:lvlJc w:val="left"/>
      <w:pPr>
        <w:tabs>
          <w:tab w:val="num" w:pos="3600"/>
        </w:tabs>
        <w:ind w:left="3600" w:hanging="360"/>
      </w:pPr>
    </w:lvl>
    <w:lvl w:ilvl="5" w:tplc="80E68FA2">
      <w:start w:val="1"/>
      <w:numFmt w:val="decimal"/>
      <w:lvlText w:val="%6."/>
      <w:lvlJc w:val="left"/>
      <w:pPr>
        <w:tabs>
          <w:tab w:val="num" w:pos="4320"/>
        </w:tabs>
        <w:ind w:left="4320" w:hanging="360"/>
      </w:pPr>
    </w:lvl>
    <w:lvl w:ilvl="6" w:tplc="DB3658D2">
      <w:start w:val="1"/>
      <w:numFmt w:val="decimal"/>
      <w:lvlText w:val="%7."/>
      <w:lvlJc w:val="left"/>
      <w:pPr>
        <w:tabs>
          <w:tab w:val="num" w:pos="5040"/>
        </w:tabs>
        <w:ind w:left="5040" w:hanging="360"/>
      </w:pPr>
    </w:lvl>
    <w:lvl w:ilvl="7" w:tplc="EA00AD92">
      <w:start w:val="1"/>
      <w:numFmt w:val="decimal"/>
      <w:lvlText w:val="%8."/>
      <w:lvlJc w:val="left"/>
      <w:pPr>
        <w:tabs>
          <w:tab w:val="num" w:pos="5760"/>
        </w:tabs>
        <w:ind w:left="5760" w:hanging="360"/>
      </w:pPr>
    </w:lvl>
    <w:lvl w:ilvl="8" w:tplc="4CB8B894">
      <w:start w:val="1"/>
      <w:numFmt w:val="decimal"/>
      <w:lvlText w:val="%9."/>
      <w:lvlJc w:val="left"/>
      <w:pPr>
        <w:tabs>
          <w:tab w:val="num" w:pos="6480"/>
        </w:tabs>
        <w:ind w:left="6480" w:hanging="360"/>
      </w:pPr>
    </w:lvl>
  </w:abstractNum>
  <w:abstractNum w:abstractNumId="4" w15:restartNumberingAfterBreak="0">
    <w:nsid w:val="182E6141"/>
    <w:multiLevelType w:val="hybridMultilevel"/>
    <w:tmpl w:val="8B34EDFA"/>
    <w:lvl w:ilvl="0" w:tplc="0427000B">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5" w15:restartNumberingAfterBreak="0">
    <w:nsid w:val="2C002DC5"/>
    <w:multiLevelType w:val="multilevel"/>
    <w:tmpl w:val="1D28F98A"/>
    <w:lvl w:ilvl="0">
      <w:start w:val="10"/>
      <w:numFmt w:val="decimal"/>
      <w:lvlText w:val="%1."/>
      <w:lvlJc w:val="left"/>
      <w:pPr>
        <w:tabs>
          <w:tab w:val="num" w:pos="660"/>
        </w:tabs>
        <w:ind w:left="660" w:hanging="660"/>
      </w:pPr>
    </w:lvl>
    <w:lvl w:ilvl="1">
      <w:start w:val="2"/>
      <w:numFmt w:val="decimal"/>
      <w:lvlText w:val="%1.%2."/>
      <w:lvlJc w:val="left"/>
      <w:pPr>
        <w:tabs>
          <w:tab w:val="num" w:pos="1110"/>
        </w:tabs>
        <w:ind w:left="1110" w:hanging="660"/>
      </w:pPr>
    </w:lvl>
    <w:lvl w:ilvl="2">
      <w:start w:val="5"/>
      <w:numFmt w:val="decimal"/>
      <w:lvlText w:val="%1.%2.%3."/>
      <w:lvlJc w:val="left"/>
      <w:pPr>
        <w:tabs>
          <w:tab w:val="num" w:pos="1620"/>
        </w:tabs>
        <w:ind w:left="1620" w:hanging="720"/>
      </w:pPr>
    </w:lvl>
    <w:lvl w:ilvl="3">
      <w:start w:val="1"/>
      <w:numFmt w:val="decimal"/>
      <w:lvlText w:val="%1.%2.%3.%4."/>
      <w:lvlJc w:val="left"/>
      <w:pPr>
        <w:tabs>
          <w:tab w:val="num" w:pos="2070"/>
        </w:tabs>
        <w:ind w:left="207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6" w15:restartNumberingAfterBreak="0">
    <w:nsid w:val="42C37349"/>
    <w:multiLevelType w:val="hybridMultilevel"/>
    <w:tmpl w:val="43A456E4"/>
    <w:lvl w:ilvl="0" w:tplc="F22E7B7C">
      <w:start w:val="1"/>
      <w:numFmt w:val="decimal"/>
      <w:lvlText w:val="%1."/>
      <w:lvlJc w:val="left"/>
      <w:pPr>
        <w:tabs>
          <w:tab w:val="num" w:pos="720"/>
        </w:tabs>
        <w:ind w:left="720" w:hanging="360"/>
      </w:pPr>
      <w:rPr>
        <w:rFonts w:hint="default"/>
      </w:rPr>
    </w:lvl>
    <w:lvl w:ilvl="1" w:tplc="C69C0CE2" w:tentative="1">
      <w:start w:val="1"/>
      <w:numFmt w:val="lowerLetter"/>
      <w:lvlText w:val="%2."/>
      <w:lvlJc w:val="left"/>
      <w:pPr>
        <w:tabs>
          <w:tab w:val="num" w:pos="1440"/>
        </w:tabs>
        <w:ind w:left="1440" w:hanging="360"/>
      </w:pPr>
    </w:lvl>
    <w:lvl w:ilvl="2" w:tplc="9564BBD2" w:tentative="1">
      <w:start w:val="1"/>
      <w:numFmt w:val="lowerRoman"/>
      <w:lvlText w:val="%3."/>
      <w:lvlJc w:val="right"/>
      <w:pPr>
        <w:tabs>
          <w:tab w:val="num" w:pos="2160"/>
        </w:tabs>
        <w:ind w:left="2160" w:hanging="180"/>
      </w:pPr>
    </w:lvl>
    <w:lvl w:ilvl="3" w:tplc="1284C988" w:tentative="1">
      <w:start w:val="1"/>
      <w:numFmt w:val="decimal"/>
      <w:lvlText w:val="%4."/>
      <w:lvlJc w:val="left"/>
      <w:pPr>
        <w:tabs>
          <w:tab w:val="num" w:pos="2880"/>
        </w:tabs>
        <w:ind w:left="2880" w:hanging="360"/>
      </w:pPr>
    </w:lvl>
    <w:lvl w:ilvl="4" w:tplc="24261846" w:tentative="1">
      <w:start w:val="1"/>
      <w:numFmt w:val="lowerLetter"/>
      <w:lvlText w:val="%5."/>
      <w:lvlJc w:val="left"/>
      <w:pPr>
        <w:tabs>
          <w:tab w:val="num" w:pos="3600"/>
        </w:tabs>
        <w:ind w:left="3600" w:hanging="360"/>
      </w:pPr>
    </w:lvl>
    <w:lvl w:ilvl="5" w:tplc="A49A46C2" w:tentative="1">
      <w:start w:val="1"/>
      <w:numFmt w:val="lowerRoman"/>
      <w:lvlText w:val="%6."/>
      <w:lvlJc w:val="right"/>
      <w:pPr>
        <w:tabs>
          <w:tab w:val="num" w:pos="4320"/>
        </w:tabs>
        <w:ind w:left="4320" w:hanging="180"/>
      </w:pPr>
    </w:lvl>
    <w:lvl w:ilvl="6" w:tplc="0BDAE476" w:tentative="1">
      <w:start w:val="1"/>
      <w:numFmt w:val="decimal"/>
      <w:lvlText w:val="%7."/>
      <w:lvlJc w:val="left"/>
      <w:pPr>
        <w:tabs>
          <w:tab w:val="num" w:pos="5040"/>
        </w:tabs>
        <w:ind w:left="5040" w:hanging="360"/>
      </w:pPr>
    </w:lvl>
    <w:lvl w:ilvl="7" w:tplc="1B2E3C20" w:tentative="1">
      <w:start w:val="1"/>
      <w:numFmt w:val="lowerLetter"/>
      <w:lvlText w:val="%8."/>
      <w:lvlJc w:val="left"/>
      <w:pPr>
        <w:tabs>
          <w:tab w:val="num" w:pos="5760"/>
        </w:tabs>
        <w:ind w:left="5760" w:hanging="360"/>
      </w:pPr>
    </w:lvl>
    <w:lvl w:ilvl="8" w:tplc="1C4E5FCE" w:tentative="1">
      <w:start w:val="1"/>
      <w:numFmt w:val="lowerRoman"/>
      <w:lvlText w:val="%9."/>
      <w:lvlJc w:val="right"/>
      <w:pPr>
        <w:tabs>
          <w:tab w:val="num" w:pos="6480"/>
        </w:tabs>
        <w:ind w:left="6480" w:hanging="180"/>
      </w:pPr>
    </w:lvl>
  </w:abstractNum>
  <w:abstractNum w:abstractNumId="7" w15:restartNumberingAfterBreak="0">
    <w:nsid w:val="43636003"/>
    <w:multiLevelType w:val="hybridMultilevel"/>
    <w:tmpl w:val="827A2720"/>
    <w:lvl w:ilvl="0" w:tplc="AA68E3DE">
      <w:start w:val="2"/>
      <w:numFmt w:val="upperRoman"/>
      <w:lvlText w:val="%1."/>
      <w:lvlJc w:val="left"/>
      <w:pPr>
        <w:tabs>
          <w:tab w:val="num" w:pos="5040"/>
        </w:tabs>
        <w:ind w:left="5040" w:hanging="720"/>
      </w:pPr>
      <w:rPr>
        <w:rFonts w:hint="default"/>
      </w:rPr>
    </w:lvl>
    <w:lvl w:ilvl="1" w:tplc="7CC86EFC">
      <w:start w:val="1"/>
      <w:numFmt w:val="decimal"/>
      <w:lvlText w:val="%2."/>
      <w:lvlJc w:val="left"/>
      <w:pPr>
        <w:tabs>
          <w:tab w:val="num" w:pos="5400"/>
        </w:tabs>
        <w:ind w:left="5400" w:hanging="360"/>
      </w:pPr>
      <w:rPr>
        <w:rFonts w:hint="default"/>
      </w:rPr>
    </w:lvl>
    <w:lvl w:ilvl="2" w:tplc="29400202" w:tentative="1">
      <w:start w:val="1"/>
      <w:numFmt w:val="lowerRoman"/>
      <w:lvlText w:val="%3."/>
      <w:lvlJc w:val="right"/>
      <w:pPr>
        <w:tabs>
          <w:tab w:val="num" w:pos="6120"/>
        </w:tabs>
        <w:ind w:left="6120" w:hanging="180"/>
      </w:pPr>
    </w:lvl>
    <w:lvl w:ilvl="3" w:tplc="712E6FB0" w:tentative="1">
      <w:start w:val="1"/>
      <w:numFmt w:val="decimal"/>
      <w:lvlText w:val="%4."/>
      <w:lvlJc w:val="left"/>
      <w:pPr>
        <w:tabs>
          <w:tab w:val="num" w:pos="6840"/>
        </w:tabs>
        <w:ind w:left="6840" w:hanging="360"/>
      </w:pPr>
    </w:lvl>
    <w:lvl w:ilvl="4" w:tplc="0D96774A" w:tentative="1">
      <w:start w:val="1"/>
      <w:numFmt w:val="lowerLetter"/>
      <w:lvlText w:val="%5."/>
      <w:lvlJc w:val="left"/>
      <w:pPr>
        <w:tabs>
          <w:tab w:val="num" w:pos="7560"/>
        </w:tabs>
        <w:ind w:left="7560" w:hanging="360"/>
      </w:pPr>
    </w:lvl>
    <w:lvl w:ilvl="5" w:tplc="DC42865C" w:tentative="1">
      <w:start w:val="1"/>
      <w:numFmt w:val="lowerRoman"/>
      <w:lvlText w:val="%6."/>
      <w:lvlJc w:val="right"/>
      <w:pPr>
        <w:tabs>
          <w:tab w:val="num" w:pos="8280"/>
        </w:tabs>
        <w:ind w:left="8280" w:hanging="180"/>
      </w:pPr>
    </w:lvl>
    <w:lvl w:ilvl="6" w:tplc="06F2B23A" w:tentative="1">
      <w:start w:val="1"/>
      <w:numFmt w:val="decimal"/>
      <w:lvlText w:val="%7."/>
      <w:lvlJc w:val="left"/>
      <w:pPr>
        <w:tabs>
          <w:tab w:val="num" w:pos="9000"/>
        </w:tabs>
        <w:ind w:left="9000" w:hanging="360"/>
      </w:pPr>
    </w:lvl>
    <w:lvl w:ilvl="7" w:tplc="E8ACD5D8" w:tentative="1">
      <w:start w:val="1"/>
      <w:numFmt w:val="lowerLetter"/>
      <w:lvlText w:val="%8."/>
      <w:lvlJc w:val="left"/>
      <w:pPr>
        <w:tabs>
          <w:tab w:val="num" w:pos="9720"/>
        </w:tabs>
        <w:ind w:left="9720" w:hanging="360"/>
      </w:pPr>
    </w:lvl>
    <w:lvl w:ilvl="8" w:tplc="64A0AF14" w:tentative="1">
      <w:start w:val="1"/>
      <w:numFmt w:val="lowerRoman"/>
      <w:lvlText w:val="%9."/>
      <w:lvlJc w:val="right"/>
      <w:pPr>
        <w:tabs>
          <w:tab w:val="num" w:pos="10440"/>
        </w:tabs>
        <w:ind w:left="10440" w:hanging="180"/>
      </w:pPr>
    </w:lvl>
  </w:abstractNum>
  <w:abstractNum w:abstractNumId="8" w15:restartNumberingAfterBreak="0">
    <w:nsid w:val="443C615D"/>
    <w:multiLevelType w:val="singleLevel"/>
    <w:tmpl w:val="DD8861B0"/>
    <w:lvl w:ilvl="0">
      <w:start w:val="7"/>
      <w:numFmt w:val="upperRoman"/>
      <w:pStyle w:val="Antrat6"/>
      <w:lvlText w:val="%1."/>
      <w:lvlJc w:val="left"/>
      <w:pPr>
        <w:tabs>
          <w:tab w:val="num" w:pos="720"/>
        </w:tabs>
        <w:ind w:left="720" w:hanging="720"/>
      </w:pPr>
    </w:lvl>
  </w:abstractNum>
  <w:abstractNum w:abstractNumId="9" w15:restartNumberingAfterBreak="0">
    <w:nsid w:val="49ED3FE0"/>
    <w:multiLevelType w:val="multilevel"/>
    <w:tmpl w:val="6DE2D1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15:restartNumberingAfterBreak="0">
    <w:nsid w:val="53A9472F"/>
    <w:multiLevelType w:val="multilevel"/>
    <w:tmpl w:val="145C57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15:restartNumberingAfterBreak="0">
    <w:nsid w:val="5C46279B"/>
    <w:multiLevelType w:val="multilevel"/>
    <w:tmpl w:val="410A7A52"/>
    <w:lvl w:ilvl="0">
      <w:start w:val="11"/>
      <w:numFmt w:val="decimal"/>
      <w:lvlText w:val="%1."/>
      <w:lvlJc w:val="left"/>
      <w:pPr>
        <w:tabs>
          <w:tab w:val="num" w:pos="480"/>
        </w:tabs>
        <w:ind w:left="480" w:hanging="480"/>
      </w:pPr>
    </w:lvl>
    <w:lvl w:ilvl="1">
      <w:start w:val="8"/>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2" w15:restartNumberingAfterBreak="0">
    <w:nsid w:val="6DCC6C72"/>
    <w:multiLevelType w:val="multilevel"/>
    <w:tmpl w:val="6396F55E"/>
    <w:lvl w:ilvl="0">
      <w:start w:val="11"/>
      <w:numFmt w:val="decimal"/>
      <w:lvlText w:val="%1."/>
      <w:lvlJc w:val="left"/>
      <w:pPr>
        <w:tabs>
          <w:tab w:val="num" w:pos="480"/>
        </w:tabs>
        <w:ind w:left="480" w:hanging="480"/>
      </w:pPr>
    </w:lvl>
    <w:lvl w:ilvl="1">
      <w:start w:val="1"/>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3" w15:restartNumberingAfterBreak="0">
    <w:nsid w:val="6FB1388C"/>
    <w:multiLevelType w:val="hybridMultilevel"/>
    <w:tmpl w:val="E474EDD4"/>
    <w:lvl w:ilvl="0" w:tplc="3926D360">
      <w:start w:val="1"/>
      <w:numFmt w:val="decimal"/>
      <w:lvlText w:val="%1."/>
      <w:lvlJc w:val="left"/>
      <w:pPr>
        <w:tabs>
          <w:tab w:val="num" w:pos="1065"/>
        </w:tabs>
        <w:ind w:left="1065" w:hanging="705"/>
      </w:pPr>
      <w:rPr>
        <w:rFonts w:hint="default"/>
      </w:rPr>
    </w:lvl>
    <w:lvl w:ilvl="1" w:tplc="9AF29FF4" w:tentative="1">
      <w:start w:val="1"/>
      <w:numFmt w:val="lowerLetter"/>
      <w:lvlText w:val="%2."/>
      <w:lvlJc w:val="left"/>
      <w:pPr>
        <w:tabs>
          <w:tab w:val="num" w:pos="1440"/>
        </w:tabs>
        <w:ind w:left="1440" w:hanging="360"/>
      </w:pPr>
    </w:lvl>
    <w:lvl w:ilvl="2" w:tplc="EFC4D3C4" w:tentative="1">
      <w:start w:val="1"/>
      <w:numFmt w:val="lowerRoman"/>
      <w:lvlText w:val="%3."/>
      <w:lvlJc w:val="right"/>
      <w:pPr>
        <w:tabs>
          <w:tab w:val="num" w:pos="2160"/>
        </w:tabs>
        <w:ind w:left="2160" w:hanging="180"/>
      </w:pPr>
    </w:lvl>
    <w:lvl w:ilvl="3" w:tplc="B30679BA" w:tentative="1">
      <w:start w:val="1"/>
      <w:numFmt w:val="decimal"/>
      <w:lvlText w:val="%4."/>
      <w:lvlJc w:val="left"/>
      <w:pPr>
        <w:tabs>
          <w:tab w:val="num" w:pos="2880"/>
        </w:tabs>
        <w:ind w:left="2880" w:hanging="360"/>
      </w:pPr>
    </w:lvl>
    <w:lvl w:ilvl="4" w:tplc="6638E510" w:tentative="1">
      <w:start w:val="1"/>
      <w:numFmt w:val="lowerLetter"/>
      <w:lvlText w:val="%5."/>
      <w:lvlJc w:val="left"/>
      <w:pPr>
        <w:tabs>
          <w:tab w:val="num" w:pos="3600"/>
        </w:tabs>
        <w:ind w:left="3600" w:hanging="360"/>
      </w:pPr>
    </w:lvl>
    <w:lvl w:ilvl="5" w:tplc="42C0496C" w:tentative="1">
      <w:start w:val="1"/>
      <w:numFmt w:val="lowerRoman"/>
      <w:lvlText w:val="%6."/>
      <w:lvlJc w:val="right"/>
      <w:pPr>
        <w:tabs>
          <w:tab w:val="num" w:pos="4320"/>
        </w:tabs>
        <w:ind w:left="4320" w:hanging="180"/>
      </w:pPr>
    </w:lvl>
    <w:lvl w:ilvl="6" w:tplc="27625EC4" w:tentative="1">
      <w:start w:val="1"/>
      <w:numFmt w:val="decimal"/>
      <w:lvlText w:val="%7."/>
      <w:lvlJc w:val="left"/>
      <w:pPr>
        <w:tabs>
          <w:tab w:val="num" w:pos="5040"/>
        </w:tabs>
        <w:ind w:left="5040" w:hanging="360"/>
      </w:pPr>
    </w:lvl>
    <w:lvl w:ilvl="7" w:tplc="1F5EC63A" w:tentative="1">
      <w:start w:val="1"/>
      <w:numFmt w:val="lowerLetter"/>
      <w:lvlText w:val="%8."/>
      <w:lvlJc w:val="left"/>
      <w:pPr>
        <w:tabs>
          <w:tab w:val="num" w:pos="5760"/>
        </w:tabs>
        <w:ind w:left="5760" w:hanging="360"/>
      </w:pPr>
    </w:lvl>
    <w:lvl w:ilvl="8" w:tplc="1E4A50D2" w:tentative="1">
      <w:start w:val="1"/>
      <w:numFmt w:val="lowerRoman"/>
      <w:lvlText w:val="%9."/>
      <w:lvlJc w:val="right"/>
      <w:pPr>
        <w:tabs>
          <w:tab w:val="num" w:pos="6480"/>
        </w:tabs>
        <w:ind w:left="6480" w:hanging="180"/>
      </w:pPr>
    </w:lvl>
  </w:abstractNum>
  <w:abstractNum w:abstractNumId="14" w15:restartNumberingAfterBreak="0">
    <w:nsid w:val="74D855B4"/>
    <w:multiLevelType w:val="hybridMultilevel"/>
    <w:tmpl w:val="CD86378A"/>
    <w:lvl w:ilvl="0" w:tplc="8200DD8C">
      <w:start w:val="1"/>
      <w:numFmt w:val="upperLetter"/>
      <w:lvlText w:val="%1."/>
      <w:lvlJc w:val="left"/>
      <w:pPr>
        <w:tabs>
          <w:tab w:val="num" w:pos="720"/>
        </w:tabs>
        <w:ind w:left="720" w:hanging="360"/>
      </w:pPr>
      <w:rPr>
        <w:rFonts w:hint="default"/>
      </w:rPr>
    </w:lvl>
    <w:lvl w:ilvl="1" w:tplc="065E9F86" w:tentative="1">
      <w:start w:val="1"/>
      <w:numFmt w:val="lowerLetter"/>
      <w:lvlText w:val="%2."/>
      <w:lvlJc w:val="left"/>
      <w:pPr>
        <w:tabs>
          <w:tab w:val="num" w:pos="1440"/>
        </w:tabs>
        <w:ind w:left="1440" w:hanging="360"/>
      </w:pPr>
    </w:lvl>
    <w:lvl w:ilvl="2" w:tplc="727098B8" w:tentative="1">
      <w:start w:val="1"/>
      <w:numFmt w:val="lowerRoman"/>
      <w:lvlText w:val="%3."/>
      <w:lvlJc w:val="right"/>
      <w:pPr>
        <w:tabs>
          <w:tab w:val="num" w:pos="2160"/>
        </w:tabs>
        <w:ind w:left="2160" w:hanging="180"/>
      </w:pPr>
    </w:lvl>
    <w:lvl w:ilvl="3" w:tplc="75FE30BE" w:tentative="1">
      <w:start w:val="1"/>
      <w:numFmt w:val="decimal"/>
      <w:lvlText w:val="%4."/>
      <w:lvlJc w:val="left"/>
      <w:pPr>
        <w:tabs>
          <w:tab w:val="num" w:pos="2880"/>
        </w:tabs>
        <w:ind w:left="2880" w:hanging="360"/>
      </w:pPr>
    </w:lvl>
    <w:lvl w:ilvl="4" w:tplc="62B06734" w:tentative="1">
      <w:start w:val="1"/>
      <w:numFmt w:val="lowerLetter"/>
      <w:lvlText w:val="%5."/>
      <w:lvlJc w:val="left"/>
      <w:pPr>
        <w:tabs>
          <w:tab w:val="num" w:pos="3600"/>
        </w:tabs>
        <w:ind w:left="3600" w:hanging="360"/>
      </w:pPr>
    </w:lvl>
    <w:lvl w:ilvl="5" w:tplc="C926444E" w:tentative="1">
      <w:start w:val="1"/>
      <w:numFmt w:val="lowerRoman"/>
      <w:lvlText w:val="%6."/>
      <w:lvlJc w:val="right"/>
      <w:pPr>
        <w:tabs>
          <w:tab w:val="num" w:pos="4320"/>
        </w:tabs>
        <w:ind w:left="4320" w:hanging="180"/>
      </w:pPr>
    </w:lvl>
    <w:lvl w:ilvl="6" w:tplc="DDD6DE7A" w:tentative="1">
      <w:start w:val="1"/>
      <w:numFmt w:val="decimal"/>
      <w:lvlText w:val="%7."/>
      <w:lvlJc w:val="left"/>
      <w:pPr>
        <w:tabs>
          <w:tab w:val="num" w:pos="5040"/>
        </w:tabs>
        <w:ind w:left="5040" w:hanging="360"/>
      </w:pPr>
    </w:lvl>
    <w:lvl w:ilvl="7" w:tplc="94064114" w:tentative="1">
      <w:start w:val="1"/>
      <w:numFmt w:val="lowerLetter"/>
      <w:lvlText w:val="%8."/>
      <w:lvlJc w:val="left"/>
      <w:pPr>
        <w:tabs>
          <w:tab w:val="num" w:pos="5760"/>
        </w:tabs>
        <w:ind w:left="5760" w:hanging="360"/>
      </w:pPr>
    </w:lvl>
    <w:lvl w:ilvl="8" w:tplc="262E1A54" w:tentative="1">
      <w:start w:val="1"/>
      <w:numFmt w:val="lowerRoman"/>
      <w:lvlText w:val="%9."/>
      <w:lvlJc w:val="right"/>
      <w:pPr>
        <w:tabs>
          <w:tab w:val="num" w:pos="6480"/>
        </w:tabs>
        <w:ind w:left="6480" w:hanging="180"/>
      </w:pPr>
    </w:lvl>
  </w:abstractNum>
  <w:abstractNum w:abstractNumId="15" w15:restartNumberingAfterBreak="0">
    <w:nsid w:val="76EB682B"/>
    <w:multiLevelType w:val="multilevel"/>
    <w:tmpl w:val="1CE26D1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6" w15:restartNumberingAfterBreak="0">
    <w:nsid w:val="7C9004C6"/>
    <w:multiLevelType w:val="hybridMultilevel"/>
    <w:tmpl w:val="CAD84A32"/>
    <w:lvl w:ilvl="0" w:tplc="9EB2C13A">
      <w:start w:val="4"/>
      <w:numFmt w:val="upperRoman"/>
      <w:lvlText w:val="%1."/>
      <w:lvlJc w:val="left"/>
      <w:pPr>
        <w:tabs>
          <w:tab w:val="num" w:pos="1080"/>
        </w:tabs>
        <w:ind w:left="1080" w:hanging="720"/>
      </w:pPr>
      <w:rPr>
        <w:rFonts w:hint="default"/>
      </w:rPr>
    </w:lvl>
    <w:lvl w:ilvl="1" w:tplc="5CB62B4A" w:tentative="1">
      <w:start w:val="1"/>
      <w:numFmt w:val="lowerLetter"/>
      <w:lvlText w:val="%2."/>
      <w:lvlJc w:val="left"/>
      <w:pPr>
        <w:tabs>
          <w:tab w:val="num" w:pos="1440"/>
        </w:tabs>
        <w:ind w:left="1440" w:hanging="360"/>
      </w:pPr>
    </w:lvl>
    <w:lvl w:ilvl="2" w:tplc="30F6AB14" w:tentative="1">
      <w:start w:val="1"/>
      <w:numFmt w:val="lowerRoman"/>
      <w:lvlText w:val="%3."/>
      <w:lvlJc w:val="right"/>
      <w:pPr>
        <w:tabs>
          <w:tab w:val="num" w:pos="2160"/>
        </w:tabs>
        <w:ind w:left="2160" w:hanging="180"/>
      </w:pPr>
    </w:lvl>
    <w:lvl w:ilvl="3" w:tplc="AD4A5B02" w:tentative="1">
      <w:start w:val="1"/>
      <w:numFmt w:val="decimal"/>
      <w:lvlText w:val="%4."/>
      <w:lvlJc w:val="left"/>
      <w:pPr>
        <w:tabs>
          <w:tab w:val="num" w:pos="2880"/>
        </w:tabs>
        <w:ind w:left="2880" w:hanging="360"/>
      </w:pPr>
    </w:lvl>
    <w:lvl w:ilvl="4" w:tplc="E962D2A8" w:tentative="1">
      <w:start w:val="1"/>
      <w:numFmt w:val="lowerLetter"/>
      <w:lvlText w:val="%5."/>
      <w:lvlJc w:val="left"/>
      <w:pPr>
        <w:tabs>
          <w:tab w:val="num" w:pos="3600"/>
        </w:tabs>
        <w:ind w:left="3600" w:hanging="360"/>
      </w:pPr>
    </w:lvl>
    <w:lvl w:ilvl="5" w:tplc="2154130A" w:tentative="1">
      <w:start w:val="1"/>
      <w:numFmt w:val="lowerRoman"/>
      <w:lvlText w:val="%6."/>
      <w:lvlJc w:val="right"/>
      <w:pPr>
        <w:tabs>
          <w:tab w:val="num" w:pos="4320"/>
        </w:tabs>
        <w:ind w:left="4320" w:hanging="180"/>
      </w:pPr>
    </w:lvl>
    <w:lvl w:ilvl="6" w:tplc="D4F2F666" w:tentative="1">
      <w:start w:val="1"/>
      <w:numFmt w:val="decimal"/>
      <w:lvlText w:val="%7."/>
      <w:lvlJc w:val="left"/>
      <w:pPr>
        <w:tabs>
          <w:tab w:val="num" w:pos="5040"/>
        </w:tabs>
        <w:ind w:left="5040" w:hanging="360"/>
      </w:pPr>
    </w:lvl>
    <w:lvl w:ilvl="7" w:tplc="5950C810" w:tentative="1">
      <w:start w:val="1"/>
      <w:numFmt w:val="lowerLetter"/>
      <w:lvlText w:val="%8."/>
      <w:lvlJc w:val="left"/>
      <w:pPr>
        <w:tabs>
          <w:tab w:val="num" w:pos="5760"/>
        </w:tabs>
        <w:ind w:left="5760" w:hanging="360"/>
      </w:pPr>
    </w:lvl>
    <w:lvl w:ilvl="8" w:tplc="C31CA5BE" w:tentative="1">
      <w:start w:val="1"/>
      <w:numFmt w:val="lowerRoman"/>
      <w:lvlText w:val="%9."/>
      <w:lvlJc w:val="right"/>
      <w:pPr>
        <w:tabs>
          <w:tab w:val="num" w:pos="6480"/>
        </w:tabs>
        <w:ind w:left="6480" w:hanging="180"/>
      </w:pPr>
    </w:lvl>
  </w:abstractNum>
  <w:abstractNum w:abstractNumId="17" w15:restartNumberingAfterBreak="0">
    <w:nsid w:val="7D5032D9"/>
    <w:multiLevelType w:val="multilevel"/>
    <w:tmpl w:val="93F46992"/>
    <w:lvl w:ilvl="0">
      <w:start w:val="19"/>
      <w:numFmt w:val="decimal"/>
      <w:lvlText w:val="%1."/>
      <w:lvlJc w:val="left"/>
      <w:pPr>
        <w:tabs>
          <w:tab w:val="num" w:pos="1320"/>
        </w:tabs>
        <w:ind w:left="1320" w:hanging="360"/>
      </w:pPr>
    </w:lvl>
    <w:lvl w:ilvl="1">
      <w:start w:val="1"/>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num w:numId="1">
    <w:abstractNumId w:val="14"/>
  </w:num>
  <w:num w:numId="2">
    <w:abstractNumId w:val="13"/>
  </w:num>
  <w:num w:numId="3">
    <w:abstractNumId w:val="2"/>
  </w:num>
  <w:num w:numId="4">
    <w:abstractNumId w:val="7"/>
  </w:num>
  <w:num w:numId="5">
    <w:abstractNumId w:val="16"/>
  </w:num>
  <w:num w:numId="6">
    <w:abstractNumId w:val="6"/>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lvlOverride w:ilvl="0">
      <w:startOverride w:val="10"/>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num>
  <w:num w:numId="14">
    <w:abstractNumId w:val="8"/>
    <w:lvlOverride w:ilvl="0">
      <w:startOverride w:val="7"/>
    </w:lvlOverride>
  </w:num>
  <w:num w:numId="15">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0"/>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2"/>
  </w:compat>
  <w:rsids>
    <w:rsidRoot w:val="0074017E"/>
    <w:rsid w:val="0000276E"/>
    <w:rsid w:val="00002E14"/>
    <w:rsid w:val="00003134"/>
    <w:rsid w:val="00003721"/>
    <w:rsid w:val="00003A8F"/>
    <w:rsid w:val="00010270"/>
    <w:rsid w:val="00012373"/>
    <w:rsid w:val="00016549"/>
    <w:rsid w:val="00016948"/>
    <w:rsid w:val="0001736C"/>
    <w:rsid w:val="0001783D"/>
    <w:rsid w:val="000244C3"/>
    <w:rsid w:val="0003205F"/>
    <w:rsid w:val="000323E3"/>
    <w:rsid w:val="00033A55"/>
    <w:rsid w:val="00033B76"/>
    <w:rsid w:val="00036393"/>
    <w:rsid w:val="00036411"/>
    <w:rsid w:val="00040934"/>
    <w:rsid w:val="00040ECD"/>
    <w:rsid w:val="000425E7"/>
    <w:rsid w:val="000451A4"/>
    <w:rsid w:val="0005035C"/>
    <w:rsid w:val="00052526"/>
    <w:rsid w:val="0005502B"/>
    <w:rsid w:val="000563D6"/>
    <w:rsid w:val="000569F5"/>
    <w:rsid w:val="00060C2E"/>
    <w:rsid w:val="00066CEC"/>
    <w:rsid w:val="00071FF6"/>
    <w:rsid w:val="0007260A"/>
    <w:rsid w:val="000731F8"/>
    <w:rsid w:val="00073665"/>
    <w:rsid w:val="00074BCF"/>
    <w:rsid w:val="00075EA1"/>
    <w:rsid w:val="00077C10"/>
    <w:rsid w:val="000803A5"/>
    <w:rsid w:val="00086D4F"/>
    <w:rsid w:val="00090770"/>
    <w:rsid w:val="00090854"/>
    <w:rsid w:val="000915E8"/>
    <w:rsid w:val="00092949"/>
    <w:rsid w:val="000956CB"/>
    <w:rsid w:val="00096E77"/>
    <w:rsid w:val="000A037C"/>
    <w:rsid w:val="000A1899"/>
    <w:rsid w:val="000A7C32"/>
    <w:rsid w:val="000B1357"/>
    <w:rsid w:val="000B18DB"/>
    <w:rsid w:val="000B51CF"/>
    <w:rsid w:val="000B6F3B"/>
    <w:rsid w:val="000C0D84"/>
    <w:rsid w:val="000C2D6C"/>
    <w:rsid w:val="000C7B59"/>
    <w:rsid w:val="000D017F"/>
    <w:rsid w:val="000D446B"/>
    <w:rsid w:val="000D5507"/>
    <w:rsid w:val="000D642B"/>
    <w:rsid w:val="000E11E4"/>
    <w:rsid w:val="000E396D"/>
    <w:rsid w:val="000E5581"/>
    <w:rsid w:val="000E6AB2"/>
    <w:rsid w:val="000E6D96"/>
    <w:rsid w:val="000F0BD6"/>
    <w:rsid w:val="000F0D80"/>
    <w:rsid w:val="000F19C4"/>
    <w:rsid w:val="00101288"/>
    <w:rsid w:val="00102661"/>
    <w:rsid w:val="00103792"/>
    <w:rsid w:val="00104B79"/>
    <w:rsid w:val="00104DE8"/>
    <w:rsid w:val="0011045E"/>
    <w:rsid w:val="00111F90"/>
    <w:rsid w:val="001121BB"/>
    <w:rsid w:val="0011272B"/>
    <w:rsid w:val="0011536B"/>
    <w:rsid w:val="00117288"/>
    <w:rsid w:val="00121366"/>
    <w:rsid w:val="00122101"/>
    <w:rsid w:val="001237EE"/>
    <w:rsid w:val="001238F4"/>
    <w:rsid w:val="001241AA"/>
    <w:rsid w:val="00124F1E"/>
    <w:rsid w:val="0012506B"/>
    <w:rsid w:val="00130CD8"/>
    <w:rsid w:val="00132DC3"/>
    <w:rsid w:val="00133728"/>
    <w:rsid w:val="00134D72"/>
    <w:rsid w:val="00136829"/>
    <w:rsid w:val="001374A6"/>
    <w:rsid w:val="0014581F"/>
    <w:rsid w:val="0015097F"/>
    <w:rsid w:val="00150D95"/>
    <w:rsid w:val="001512AB"/>
    <w:rsid w:val="00151784"/>
    <w:rsid w:val="001523E1"/>
    <w:rsid w:val="001530D8"/>
    <w:rsid w:val="00156D0D"/>
    <w:rsid w:val="00160012"/>
    <w:rsid w:val="0016098B"/>
    <w:rsid w:val="00161581"/>
    <w:rsid w:val="001635A1"/>
    <w:rsid w:val="0016403E"/>
    <w:rsid w:val="00165BF3"/>
    <w:rsid w:val="00165EF9"/>
    <w:rsid w:val="00170432"/>
    <w:rsid w:val="001722DE"/>
    <w:rsid w:val="00173526"/>
    <w:rsid w:val="0017387C"/>
    <w:rsid w:val="00173FA9"/>
    <w:rsid w:val="0018156F"/>
    <w:rsid w:val="0018198A"/>
    <w:rsid w:val="00181DB9"/>
    <w:rsid w:val="00183AD0"/>
    <w:rsid w:val="001849E5"/>
    <w:rsid w:val="0019122A"/>
    <w:rsid w:val="00191301"/>
    <w:rsid w:val="0019427A"/>
    <w:rsid w:val="00194B1E"/>
    <w:rsid w:val="001955AF"/>
    <w:rsid w:val="001960B1"/>
    <w:rsid w:val="001A1256"/>
    <w:rsid w:val="001A127A"/>
    <w:rsid w:val="001A3B21"/>
    <w:rsid w:val="001A7951"/>
    <w:rsid w:val="001B09EB"/>
    <w:rsid w:val="001B175B"/>
    <w:rsid w:val="001B381B"/>
    <w:rsid w:val="001B3CF9"/>
    <w:rsid w:val="001B58FA"/>
    <w:rsid w:val="001B62E4"/>
    <w:rsid w:val="001B666B"/>
    <w:rsid w:val="001C00A7"/>
    <w:rsid w:val="001C263B"/>
    <w:rsid w:val="001C4697"/>
    <w:rsid w:val="001C5E6D"/>
    <w:rsid w:val="001C7B1C"/>
    <w:rsid w:val="001D1195"/>
    <w:rsid w:val="001D1E12"/>
    <w:rsid w:val="001D2DCB"/>
    <w:rsid w:val="001D35D1"/>
    <w:rsid w:val="001D4EC3"/>
    <w:rsid w:val="001D6892"/>
    <w:rsid w:val="001D7A2C"/>
    <w:rsid w:val="001E2F23"/>
    <w:rsid w:val="001E3B21"/>
    <w:rsid w:val="001E7A6B"/>
    <w:rsid w:val="001F00D5"/>
    <w:rsid w:val="001F0B89"/>
    <w:rsid w:val="001F0BDA"/>
    <w:rsid w:val="001F1408"/>
    <w:rsid w:val="001F1D90"/>
    <w:rsid w:val="001F555D"/>
    <w:rsid w:val="001F6555"/>
    <w:rsid w:val="00200548"/>
    <w:rsid w:val="00201428"/>
    <w:rsid w:val="002047C5"/>
    <w:rsid w:val="002074C5"/>
    <w:rsid w:val="00213E7D"/>
    <w:rsid w:val="002140BC"/>
    <w:rsid w:val="00215A64"/>
    <w:rsid w:val="002163D2"/>
    <w:rsid w:val="00217FE5"/>
    <w:rsid w:val="00221217"/>
    <w:rsid w:val="002216F6"/>
    <w:rsid w:val="00221C0B"/>
    <w:rsid w:val="002228FB"/>
    <w:rsid w:val="00222CB1"/>
    <w:rsid w:val="0022314C"/>
    <w:rsid w:val="00225C5C"/>
    <w:rsid w:val="00227330"/>
    <w:rsid w:val="002311C8"/>
    <w:rsid w:val="0023308B"/>
    <w:rsid w:val="002344EE"/>
    <w:rsid w:val="00234B8D"/>
    <w:rsid w:val="00235FAC"/>
    <w:rsid w:val="0023652C"/>
    <w:rsid w:val="00237F7F"/>
    <w:rsid w:val="002438F4"/>
    <w:rsid w:val="00245DF8"/>
    <w:rsid w:val="00246FAD"/>
    <w:rsid w:val="002504FE"/>
    <w:rsid w:val="002529FE"/>
    <w:rsid w:val="002548DB"/>
    <w:rsid w:val="00254E34"/>
    <w:rsid w:val="00255195"/>
    <w:rsid w:val="0025542C"/>
    <w:rsid w:val="0025755A"/>
    <w:rsid w:val="0026129E"/>
    <w:rsid w:val="00264842"/>
    <w:rsid w:val="00266D8F"/>
    <w:rsid w:val="002735AF"/>
    <w:rsid w:val="002748D6"/>
    <w:rsid w:val="00277B11"/>
    <w:rsid w:val="00281D62"/>
    <w:rsid w:val="00283FE6"/>
    <w:rsid w:val="0028458E"/>
    <w:rsid w:val="002855C0"/>
    <w:rsid w:val="0028625B"/>
    <w:rsid w:val="00286457"/>
    <w:rsid w:val="00290ACE"/>
    <w:rsid w:val="00294ACA"/>
    <w:rsid w:val="00296451"/>
    <w:rsid w:val="002A2DB6"/>
    <w:rsid w:val="002A37F6"/>
    <w:rsid w:val="002A4314"/>
    <w:rsid w:val="002A4F38"/>
    <w:rsid w:val="002A52F4"/>
    <w:rsid w:val="002A57DA"/>
    <w:rsid w:val="002A5C27"/>
    <w:rsid w:val="002A730D"/>
    <w:rsid w:val="002A7CB2"/>
    <w:rsid w:val="002B0547"/>
    <w:rsid w:val="002B0E52"/>
    <w:rsid w:val="002B1469"/>
    <w:rsid w:val="002B1682"/>
    <w:rsid w:val="002C1595"/>
    <w:rsid w:val="002C505B"/>
    <w:rsid w:val="002C7172"/>
    <w:rsid w:val="002D12F2"/>
    <w:rsid w:val="002D5C0C"/>
    <w:rsid w:val="002D699D"/>
    <w:rsid w:val="002E0D3D"/>
    <w:rsid w:val="002E0FA1"/>
    <w:rsid w:val="002E1B14"/>
    <w:rsid w:val="002F2E1D"/>
    <w:rsid w:val="002F738C"/>
    <w:rsid w:val="00302DF8"/>
    <w:rsid w:val="00305532"/>
    <w:rsid w:val="00306C07"/>
    <w:rsid w:val="00310035"/>
    <w:rsid w:val="00312004"/>
    <w:rsid w:val="00312669"/>
    <w:rsid w:val="00313179"/>
    <w:rsid w:val="003163A5"/>
    <w:rsid w:val="003172ED"/>
    <w:rsid w:val="00317A17"/>
    <w:rsid w:val="0032260B"/>
    <w:rsid w:val="003264AF"/>
    <w:rsid w:val="003305AA"/>
    <w:rsid w:val="00331B05"/>
    <w:rsid w:val="003343BB"/>
    <w:rsid w:val="00334A15"/>
    <w:rsid w:val="00337BE7"/>
    <w:rsid w:val="00340BE1"/>
    <w:rsid w:val="003424F5"/>
    <w:rsid w:val="003454F3"/>
    <w:rsid w:val="003456F0"/>
    <w:rsid w:val="00350FC3"/>
    <w:rsid w:val="00351B1F"/>
    <w:rsid w:val="00352186"/>
    <w:rsid w:val="003541E9"/>
    <w:rsid w:val="00354336"/>
    <w:rsid w:val="00354698"/>
    <w:rsid w:val="0035475B"/>
    <w:rsid w:val="0036330F"/>
    <w:rsid w:val="00365602"/>
    <w:rsid w:val="00365F0A"/>
    <w:rsid w:val="00367290"/>
    <w:rsid w:val="00370255"/>
    <w:rsid w:val="003720FC"/>
    <w:rsid w:val="00373F8E"/>
    <w:rsid w:val="0039355F"/>
    <w:rsid w:val="00393561"/>
    <w:rsid w:val="00394200"/>
    <w:rsid w:val="00394C17"/>
    <w:rsid w:val="003951B0"/>
    <w:rsid w:val="003A0D50"/>
    <w:rsid w:val="003A2E03"/>
    <w:rsid w:val="003A311C"/>
    <w:rsid w:val="003A6ACA"/>
    <w:rsid w:val="003A7BCC"/>
    <w:rsid w:val="003B2CCB"/>
    <w:rsid w:val="003B369D"/>
    <w:rsid w:val="003B4B75"/>
    <w:rsid w:val="003B6441"/>
    <w:rsid w:val="003C0C48"/>
    <w:rsid w:val="003C1137"/>
    <w:rsid w:val="003C1389"/>
    <w:rsid w:val="003C1B52"/>
    <w:rsid w:val="003C36BE"/>
    <w:rsid w:val="003C3961"/>
    <w:rsid w:val="003C6389"/>
    <w:rsid w:val="003D2BC3"/>
    <w:rsid w:val="003D3FEF"/>
    <w:rsid w:val="003D4FD9"/>
    <w:rsid w:val="003D5A34"/>
    <w:rsid w:val="003D784A"/>
    <w:rsid w:val="003E0246"/>
    <w:rsid w:val="003E066E"/>
    <w:rsid w:val="003E0E7A"/>
    <w:rsid w:val="003E290B"/>
    <w:rsid w:val="003E53F0"/>
    <w:rsid w:val="003E66DE"/>
    <w:rsid w:val="003F0DA0"/>
    <w:rsid w:val="003F323D"/>
    <w:rsid w:val="003F3901"/>
    <w:rsid w:val="003F6186"/>
    <w:rsid w:val="003F7D26"/>
    <w:rsid w:val="00402E6F"/>
    <w:rsid w:val="00407D50"/>
    <w:rsid w:val="004151B6"/>
    <w:rsid w:val="0041579F"/>
    <w:rsid w:val="00415CA1"/>
    <w:rsid w:val="00416789"/>
    <w:rsid w:val="004201CE"/>
    <w:rsid w:val="00424818"/>
    <w:rsid w:val="00425C55"/>
    <w:rsid w:val="0042676F"/>
    <w:rsid w:val="004309F2"/>
    <w:rsid w:val="004327A6"/>
    <w:rsid w:val="00432D1E"/>
    <w:rsid w:val="004335B9"/>
    <w:rsid w:val="00434F8A"/>
    <w:rsid w:val="00435E96"/>
    <w:rsid w:val="00436308"/>
    <w:rsid w:val="00437285"/>
    <w:rsid w:val="00440827"/>
    <w:rsid w:val="0044145C"/>
    <w:rsid w:val="00441757"/>
    <w:rsid w:val="00443A4B"/>
    <w:rsid w:val="004446F1"/>
    <w:rsid w:val="0044483F"/>
    <w:rsid w:val="00444FD4"/>
    <w:rsid w:val="0044566F"/>
    <w:rsid w:val="00452A9E"/>
    <w:rsid w:val="00453A41"/>
    <w:rsid w:val="00454EDB"/>
    <w:rsid w:val="004604B2"/>
    <w:rsid w:val="00462619"/>
    <w:rsid w:val="00465080"/>
    <w:rsid w:val="004653D9"/>
    <w:rsid w:val="00465902"/>
    <w:rsid w:val="00467F87"/>
    <w:rsid w:val="00470D5F"/>
    <w:rsid w:val="004766EC"/>
    <w:rsid w:val="0047764B"/>
    <w:rsid w:val="004835E2"/>
    <w:rsid w:val="00483B4E"/>
    <w:rsid w:val="00486AA6"/>
    <w:rsid w:val="00491F17"/>
    <w:rsid w:val="00494A23"/>
    <w:rsid w:val="0049514A"/>
    <w:rsid w:val="004A12CC"/>
    <w:rsid w:val="004A3E50"/>
    <w:rsid w:val="004A4FEF"/>
    <w:rsid w:val="004B0058"/>
    <w:rsid w:val="004B0EB4"/>
    <w:rsid w:val="004B4F88"/>
    <w:rsid w:val="004B6844"/>
    <w:rsid w:val="004C08F3"/>
    <w:rsid w:val="004C23A6"/>
    <w:rsid w:val="004C2DAD"/>
    <w:rsid w:val="004C311C"/>
    <w:rsid w:val="004D0501"/>
    <w:rsid w:val="004D383B"/>
    <w:rsid w:val="004D48E9"/>
    <w:rsid w:val="004D6494"/>
    <w:rsid w:val="004D652A"/>
    <w:rsid w:val="004D74A1"/>
    <w:rsid w:val="004D7CB8"/>
    <w:rsid w:val="004F0371"/>
    <w:rsid w:val="004F23FA"/>
    <w:rsid w:val="004F3970"/>
    <w:rsid w:val="004F4FD1"/>
    <w:rsid w:val="004F51DE"/>
    <w:rsid w:val="004F5FB2"/>
    <w:rsid w:val="00500C93"/>
    <w:rsid w:val="0050105C"/>
    <w:rsid w:val="0050132B"/>
    <w:rsid w:val="00503821"/>
    <w:rsid w:val="005047D3"/>
    <w:rsid w:val="00504BB7"/>
    <w:rsid w:val="005058D9"/>
    <w:rsid w:val="005113C5"/>
    <w:rsid w:val="00511EDE"/>
    <w:rsid w:val="00513796"/>
    <w:rsid w:val="0051634A"/>
    <w:rsid w:val="00517E8A"/>
    <w:rsid w:val="00522F52"/>
    <w:rsid w:val="00524B19"/>
    <w:rsid w:val="005254C6"/>
    <w:rsid w:val="00525C07"/>
    <w:rsid w:val="0052773C"/>
    <w:rsid w:val="0053024A"/>
    <w:rsid w:val="0053144D"/>
    <w:rsid w:val="00535386"/>
    <w:rsid w:val="00536E3F"/>
    <w:rsid w:val="0053758D"/>
    <w:rsid w:val="00537D0A"/>
    <w:rsid w:val="00541405"/>
    <w:rsid w:val="00541A82"/>
    <w:rsid w:val="005457E1"/>
    <w:rsid w:val="00547D6D"/>
    <w:rsid w:val="005508E6"/>
    <w:rsid w:val="005517AA"/>
    <w:rsid w:val="005524BB"/>
    <w:rsid w:val="005559F6"/>
    <w:rsid w:val="00555F7B"/>
    <w:rsid w:val="00556A3A"/>
    <w:rsid w:val="005574D6"/>
    <w:rsid w:val="00562BEF"/>
    <w:rsid w:val="00562F5D"/>
    <w:rsid w:val="00563E7D"/>
    <w:rsid w:val="00565868"/>
    <w:rsid w:val="00566659"/>
    <w:rsid w:val="00566F6F"/>
    <w:rsid w:val="00570608"/>
    <w:rsid w:val="00571FA5"/>
    <w:rsid w:val="00574E95"/>
    <w:rsid w:val="00577073"/>
    <w:rsid w:val="00580248"/>
    <w:rsid w:val="005808E8"/>
    <w:rsid w:val="00585BF1"/>
    <w:rsid w:val="00585FFE"/>
    <w:rsid w:val="005913D3"/>
    <w:rsid w:val="005920FC"/>
    <w:rsid w:val="00594484"/>
    <w:rsid w:val="00596988"/>
    <w:rsid w:val="005A31F2"/>
    <w:rsid w:val="005B041C"/>
    <w:rsid w:val="005B05BD"/>
    <w:rsid w:val="005B0C64"/>
    <w:rsid w:val="005B530D"/>
    <w:rsid w:val="005B564C"/>
    <w:rsid w:val="005B719A"/>
    <w:rsid w:val="005B7888"/>
    <w:rsid w:val="005C0FE8"/>
    <w:rsid w:val="005C28BC"/>
    <w:rsid w:val="005C32A4"/>
    <w:rsid w:val="005C3B35"/>
    <w:rsid w:val="005C45D6"/>
    <w:rsid w:val="005C5F79"/>
    <w:rsid w:val="005C78A1"/>
    <w:rsid w:val="005D082B"/>
    <w:rsid w:val="005D44F5"/>
    <w:rsid w:val="005D7B69"/>
    <w:rsid w:val="005E4520"/>
    <w:rsid w:val="005E45BF"/>
    <w:rsid w:val="005E5207"/>
    <w:rsid w:val="005E6651"/>
    <w:rsid w:val="005E7BFB"/>
    <w:rsid w:val="005F0838"/>
    <w:rsid w:val="005F11D8"/>
    <w:rsid w:val="005F2D1B"/>
    <w:rsid w:val="005F6A30"/>
    <w:rsid w:val="005F7590"/>
    <w:rsid w:val="00600B0E"/>
    <w:rsid w:val="006031A2"/>
    <w:rsid w:val="00605296"/>
    <w:rsid w:val="00605EDA"/>
    <w:rsid w:val="006061C6"/>
    <w:rsid w:val="0061023E"/>
    <w:rsid w:val="00610EE9"/>
    <w:rsid w:val="0061108E"/>
    <w:rsid w:val="00612236"/>
    <w:rsid w:val="00614AC5"/>
    <w:rsid w:val="00616894"/>
    <w:rsid w:val="006218F1"/>
    <w:rsid w:val="00622A50"/>
    <w:rsid w:val="006233BC"/>
    <w:rsid w:val="006249EB"/>
    <w:rsid w:val="006255A8"/>
    <w:rsid w:val="006266E0"/>
    <w:rsid w:val="0063448F"/>
    <w:rsid w:val="00634B54"/>
    <w:rsid w:val="00635A2D"/>
    <w:rsid w:val="00637158"/>
    <w:rsid w:val="0063737A"/>
    <w:rsid w:val="0063781A"/>
    <w:rsid w:val="006414BE"/>
    <w:rsid w:val="00642A38"/>
    <w:rsid w:val="006434E5"/>
    <w:rsid w:val="00644EA5"/>
    <w:rsid w:val="00650D30"/>
    <w:rsid w:val="0065654F"/>
    <w:rsid w:val="006565F8"/>
    <w:rsid w:val="00656CBA"/>
    <w:rsid w:val="0066610B"/>
    <w:rsid w:val="006675F2"/>
    <w:rsid w:val="006725A5"/>
    <w:rsid w:val="00672C91"/>
    <w:rsid w:val="00676D99"/>
    <w:rsid w:val="00684513"/>
    <w:rsid w:val="0068578E"/>
    <w:rsid w:val="00686E23"/>
    <w:rsid w:val="006875C0"/>
    <w:rsid w:val="006907EC"/>
    <w:rsid w:val="00695150"/>
    <w:rsid w:val="00696297"/>
    <w:rsid w:val="006A0619"/>
    <w:rsid w:val="006A0B10"/>
    <w:rsid w:val="006A2238"/>
    <w:rsid w:val="006A3C79"/>
    <w:rsid w:val="006A3C9D"/>
    <w:rsid w:val="006A60AE"/>
    <w:rsid w:val="006A751C"/>
    <w:rsid w:val="006B05D5"/>
    <w:rsid w:val="006B08B2"/>
    <w:rsid w:val="006B13A8"/>
    <w:rsid w:val="006B26F1"/>
    <w:rsid w:val="006B3E29"/>
    <w:rsid w:val="006B3F1D"/>
    <w:rsid w:val="006B79C3"/>
    <w:rsid w:val="006C65A6"/>
    <w:rsid w:val="006C70AC"/>
    <w:rsid w:val="006C725F"/>
    <w:rsid w:val="006C758C"/>
    <w:rsid w:val="006D0EAF"/>
    <w:rsid w:val="006D4F19"/>
    <w:rsid w:val="006D5C68"/>
    <w:rsid w:val="006D625F"/>
    <w:rsid w:val="006D68F4"/>
    <w:rsid w:val="006D7AA2"/>
    <w:rsid w:val="006E3C41"/>
    <w:rsid w:val="006E66D3"/>
    <w:rsid w:val="006E6720"/>
    <w:rsid w:val="006F0728"/>
    <w:rsid w:val="006F08A6"/>
    <w:rsid w:val="006F1E74"/>
    <w:rsid w:val="006F6298"/>
    <w:rsid w:val="00703834"/>
    <w:rsid w:val="00703C27"/>
    <w:rsid w:val="00704517"/>
    <w:rsid w:val="00704953"/>
    <w:rsid w:val="00711F60"/>
    <w:rsid w:val="00716578"/>
    <w:rsid w:val="0072291D"/>
    <w:rsid w:val="0072314F"/>
    <w:rsid w:val="00727871"/>
    <w:rsid w:val="00727925"/>
    <w:rsid w:val="00727A64"/>
    <w:rsid w:val="00732BE9"/>
    <w:rsid w:val="0073322D"/>
    <w:rsid w:val="00734125"/>
    <w:rsid w:val="007352A0"/>
    <w:rsid w:val="00736612"/>
    <w:rsid w:val="00736B68"/>
    <w:rsid w:val="007377CD"/>
    <w:rsid w:val="00737D10"/>
    <w:rsid w:val="0074017E"/>
    <w:rsid w:val="007413C5"/>
    <w:rsid w:val="00742965"/>
    <w:rsid w:val="00746D11"/>
    <w:rsid w:val="00750180"/>
    <w:rsid w:val="00750DA1"/>
    <w:rsid w:val="007526F7"/>
    <w:rsid w:val="00756A6D"/>
    <w:rsid w:val="00760287"/>
    <w:rsid w:val="007608AB"/>
    <w:rsid w:val="00761DAC"/>
    <w:rsid w:val="00763D6B"/>
    <w:rsid w:val="00763F7D"/>
    <w:rsid w:val="00777370"/>
    <w:rsid w:val="00781037"/>
    <w:rsid w:val="00781C71"/>
    <w:rsid w:val="007834C2"/>
    <w:rsid w:val="00786A13"/>
    <w:rsid w:val="00786EBC"/>
    <w:rsid w:val="0079300F"/>
    <w:rsid w:val="00795D1B"/>
    <w:rsid w:val="00797566"/>
    <w:rsid w:val="007A2918"/>
    <w:rsid w:val="007A304C"/>
    <w:rsid w:val="007A448B"/>
    <w:rsid w:val="007A6FE5"/>
    <w:rsid w:val="007A7692"/>
    <w:rsid w:val="007B0E4F"/>
    <w:rsid w:val="007B0EDA"/>
    <w:rsid w:val="007B219E"/>
    <w:rsid w:val="007B42EC"/>
    <w:rsid w:val="007B50C7"/>
    <w:rsid w:val="007B51C9"/>
    <w:rsid w:val="007C03A2"/>
    <w:rsid w:val="007C0CB2"/>
    <w:rsid w:val="007C2FF3"/>
    <w:rsid w:val="007C3711"/>
    <w:rsid w:val="007C6627"/>
    <w:rsid w:val="007C7D68"/>
    <w:rsid w:val="007D1667"/>
    <w:rsid w:val="007D2DDD"/>
    <w:rsid w:val="007D345A"/>
    <w:rsid w:val="007D67C8"/>
    <w:rsid w:val="007D7980"/>
    <w:rsid w:val="007E0778"/>
    <w:rsid w:val="007E57E2"/>
    <w:rsid w:val="007E6009"/>
    <w:rsid w:val="007E63AB"/>
    <w:rsid w:val="007F048D"/>
    <w:rsid w:val="007F08D2"/>
    <w:rsid w:val="007F1A5C"/>
    <w:rsid w:val="007F67F7"/>
    <w:rsid w:val="008006AA"/>
    <w:rsid w:val="0080081E"/>
    <w:rsid w:val="00800C21"/>
    <w:rsid w:val="00801624"/>
    <w:rsid w:val="00805525"/>
    <w:rsid w:val="00806F7C"/>
    <w:rsid w:val="00807718"/>
    <w:rsid w:val="008142A4"/>
    <w:rsid w:val="00814A4E"/>
    <w:rsid w:val="00815BB7"/>
    <w:rsid w:val="00815DFD"/>
    <w:rsid w:val="00816BB5"/>
    <w:rsid w:val="00817E56"/>
    <w:rsid w:val="00821A86"/>
    <w:rsid w:val="00830798"/>
    <w:rsid w:val="00830BCB"/>
    <w:rsid w:val="0083372D"/>
    <w:rsid w:val="008369AE"/>
    <w:rsid w:val="0083712C"/>
    <w:rsid w:val="00841CB6"/>
    <w:rsid w:val="00842BC0"/>
    <w:rsid w:val="00843FFD"/>
    <w:rsid w:val="00850CED"/>
    <w:rsid w:val="008559AC"/>
    <w:rsid w:val="00855C8F"/>
    <w:rsid w:val="00856669"/>
    <w:rsid w:val="00861184"/>
    <w:rsid w:val="0086288C"/>
    <w:rsid w:val="008646E9"/>
    <w:rsid w:val="00870E5D"/>
    <w:rsid w:val="008713DC"/>
    <w:rsid w:val="008713F4"/>
    <w:rsid w:val="00877FA7"/>
    <w:rsid w:val="00880501"/>
    <w:rsid w:val="00880DF8"/>
    <w:rsid w:val="00882440"/>
    <w:rsid w:val="00883736"/>
    <w:rsid w:val="00883F80"/>
    <w:rsid w:val="0088439D"/>
    <w:rsid w:val="0088558F"/>
    <w:rsid w:val="008913E3"/>
    <w:rsid w:val="00891AFC"/>
    <w:rsid w:val="008A29F1"/>
    <w:rsid w:val="008A4B4C"/>
    <w:rsid w:val="008A5330"/>
    <w:rsid w:val="008A63ED"/>
    <w:rsid w:val="008B0A24"/>
    <w:rsid w:val="008B381C"/>
    <w:rsid w:val="008B4BA7"/>
    <w:rsid w:val="008B51F2"/>
    <w:rsid w:val="008B62B5"/>
    <w:rsid w:val="008C1975"/>
    <w:rsid w:val="008C1DDD"/>
    <w:rsid w:val="008C28C3"/>
    <w:rsid w:val="008C572C"/>
    <w:rsid w:val="008C5957"/>
    <w:rsid w:val="008C66DB"/>
    <w:rsid w:val="008C6AF7"/>
    <w:rsid w:val="008C7256"/>
    <w:rsid w:val="008C7B31"/>
    <w:rsid w:val="008D29F2"/>
    <w:rsid w:val="008D2D76"/>
    <w:rsid w:val="008D65AF"/>
    <w:rsid w:val="008E1362"/>
    <w:rsid w:val="008E13E2"/>
    <w:rsid w:val="008E174B"/>
    <w:rsid w:val="008E1B7C"/>
    <w:rsid w:val="008E6789"/>
    <w:rsid w:val="008F648C"/>
    <w:rsid w:val="00900299"/>
    <w:rsid w:val="009013D8"/>
    <w:rsid w:val="009039F3"/>
    <w:rsid w:val="00905427"/>
    <w:rsid w:val="009056B5"/>
    <w:rsid w:val="00910C25"/>
    <w:rsid w:val="00912C71"/>
    <w:rsid w:val="00912D89"/>
    <w:rsid w:val="00914B4A"/>
    <w:rsid w:val="00914CD4"/>
    <w:rsid w:val="0091599D"/>
    <w:rsid w:val="00917123"/>
    <w:rsid w:val="00920A93"/>
    <w:rsid w:val="009234B8"/>
    <w:rsid w:val="00925516"/>
    <w:rsid w:val="00934A69"/>
    <w:rsid w:val="00936F53"/>
    <w:rsid w:val="00941AEA"/>
    <w:rsid w:val="00942230"/>
    <w:rsid w:val="00945065"/>
    <w:rsid w:val="0094725E"/>
    <w:rsid w:val="009520E5"/>
    <w:rsid w:val="0095444F"/>
    <w:rsid w:val="009553F0"/>
    <w:rsid w:val="009555D3"/>
    <w:rsid w:val="0096225A"/>
    <w:rsid w:val="009624AB"/>
    <w:rsid w:val="00963BC2"/>
    <w:rsid w:val="00965203"/>
    <w:rsid w:val="009652D6"/>
    <w:rsid w:val="00965E67"/>
    <w:rsid w:val="00971072"/>
    <w:rsid w:val="00974013"/>
    <w:rsid w:val="0097421D"/>
    <w:rsid w:val="00975C40"/>
    <w:rsid w:val="00976174"/>
    <w:rsid w:val="00977441"/>
    <w:rsid w:val="00981FB0"/>
    <w:rsid w:val="00982EE9"/>
    <w:rsid w:val="00983886"/>
    <w:rsid w:val="00987B23"/>
    <w:rsid w:val="00994FCB"/>
    <w:rsid w:val="00996E58"/>
    <w:rsid w:val="00997419"/>
    <w:rsid w:val="00997C5F"/>
    <w:rsid w:val="009A1ECA"/>
    <w:rsid w:val="009A221A"/>
    <w:rsid w:val="009A3A5B"/>
    <w:rsid w:val="009A3F88"/>
    <w:rsid w:val="009B0630"/>
    <w:rsid w:val="009B0F7A"/>
    <w:rsid w:val="009B14EC"/>
    <w:rsid w:val="009B530F"/>
    <w:rsid w:val="009B5D59"/>
    <w:rsid w:val="009B6EB2"/>
    <w:rsid w:val="009C196B"/>
    <w:rsid w:val="009C3B42"/>
    <w:rsid w:val="009C4841"/>
    <w:rsid w:val="009C667E"/>
    <w:rsid w:val="009C7384"/>
    <w:rsid w:val="009C74E7"/>
    <w:rsid w:val="009D015C"/>
    <w:rsid w:val="009D19CD"/>
    <w:rsid w:val="009D1F20"/>
    <w:rsid w:val="009D510D"/>
    <w:rsid w:val="009D5259"/>
    <w:rsid w:val="009D6A60"/>
    <w:rsid w:val="009E021C"/>
    <w:rsid w:val="009E12AF"/>
    <w:rsid w:val="009E3A4D"/>
    <w:rsid w:val="009E4CFD"/>
    <w:rsid w:val="009E579C"/>
    <w:rsid w:val="009F5E0A"/>
    <w:rsid w:val="009F7B42"/>
    <w:rsid w:val="00A001BC"/>
    <w:rsid w:val="00A00508"/>
    <w:rsid w:val="00A05951"/>
    <w:rsid w:val="00A061FF"/>
    <w:rsid w:val="00A07FF1"/>
    <w:rsid w:val="00A11A0E"/>
    <w:rsid w:val="00A27318"/>
    <w:rsid w:val="00A3286D"/>
    <w:rsid w:val="00A35D3C"/>
    <w:rsid w:val="00A41378"/>
    <w:rsid w:val="00A41947"/>
    <w:rsid w:val="00A47AAB"/>
    <w:rsid w:val="00A5115F"/>
    <w:rsid w:val="00A51308"/>
    <w:rsid w:val="00A524DC"/>
    <w:rsid w:val="00A52E81"/>
    <w:rsid w:val="00A538BC"/>
    <w:rsid w:val="00A54113"/>
    <w:rsid w:val="00A55B28"/>
    <w:rsid w:val="00A61373"/>
    <w:rsid w:val="00A61DD3"/>
    <w:rsid w:val="00A65F3A"/>
    <w:rsid w:val="00A667B9"/>
    <w:rsid w:val="00A677E5"/>
    <w:rsid w:val="00A725CC"/>
    <w:rsid w:val="00A73E2A"/>
    <w:rsid w:val="00A7404D"/>
    <w:rsid w:val="00A80153"/>
    <w:rsid w:val="00A8147A"/>
    <w:rsid w:val="00A81DA3"/>
    <w:rsid w:val="00A85C53"/>
    <w:rsid w:val="00A85E64"/>
    <w:rsid w:val="00A8611E"/>
    <w:rsid w:val="00A8621D"/>
    <w:rsid w:val="00A90281"/>
    <w:rsid w:val="00A92BA7"/>
    <w:rsid w:val="00A93CAD"/>
    <w:rsid w:val="00AA4197"/>
    <w:rsid w:val="00AA64CB"/>
    <w:rsid w:val="00AA6F8B"/>
    <w:rsid w:val="00AB0004"/>
    <w:rsid w:val="00AB0E23"/>
    <w:rsid w:val="00AB12B3"/>
    <w:rsid w:val="00AB369E"/>
    <w:rsid w:val="00AB475A"/>
    <w:rsid w:val="00AB7AA6"/>
    <w:rsid w:val="00AC30CF"/>
    <w:rsid w:val="00AC3164"/>
    <w:rsid w:val="00AC705D"/>
    <w:rsid w:val="00AD1363"/>
    <w:rsid w:val="00AD1D5E"/>
    <w:rsid w:val="00AD443B"/>
    <w:rsid w:val="00AE0510"/>
    <w:rsid w:val="00AE09C8"/>
    <w:rsid w:val="00AE3769"/>
    <w:rsid w:val="00AE78B5"/>
    <w:rsid w:val="00AF0279"/>
    <w:rsid w:val="00AF09FC"/>
    <w:rsid w:val="00AF15B8"/>
    <w:rsid w:val="00AF2B7A"/>
    <w:rsid w:val="00AF4291"/>
    <w:rsid w:val="00B0036B"/>
    <w:rsid w:val="00B00C2B"/>
    <w:rsid w:val="00B00E76"/>
    <w:rsid w:val="00B02C21"/>
    <w:rsid w:val="00B11FDB"/>
    <w:rsid w:val="00B1537E"/>
    <w:rsid w:val="00B15849"/>
    <w:rsid w:val="00B17482"/>
    <w:rsid w:val="00B17A33"/>
    <w:rsid w:val="00B17BCA"/>
    <w:rsid w:val="00B17C3C"/>
    <w:rsid w:val="00B233DE"/>
    <w:rsid w:val="00B24C0E"/>
    <w:rsid w:val="00B32EB5"/>
    <w:rsid w:val="00B35F82"/>
    <w:rsid w:val="00B36810"/>
    <w:rsid w:val="00B37604"/>
    <w:rsid w:val="00B402F3"/>
    <w:rsid w:val="00B404B7"/>
    <w:rsid w:val="00B458EB"/>
    <w:rsid w:val="00B51AF7"/>
    <w:rsid w:val="00B54918"/>
    <w:rsid w:val="00B60245"/>
    <w:rsid w:val="00B60D45"/>
    <w:rsid w:val="00B61E72"/>
    <w:rsid w:val="00B623ED"/>
    <w:rsid w:val="00B63DBF"/>
    <w:rsid w:val="00B65D4E"/>
    <w:rsid w:val="00B6740D"/>
    <w:rsid w:val="00B71318"/>
    <w:rsid w:val="00B714D8"/>
    <w:rsid w:val="00B76279"/>
    <w:rsid w:val="00B77A73"/>
    <w:rsid w:val="00B82AB1"/>
    <w:rsid w:val="00B86B43"/>
    <w:rsid w:val="00B879D4"/>
    <w:rsid w:val="00B90BFB"/>
    <w:rsid w:val="00B92211"/>
    <w:rsid w:val="00B92D08"/>
    <w:rsid w:val="00B9490D"/>
    <w:rsid w:val="00B94A4F"/>
    <w:rsid w:val="00B94F92"/>
    <w:rsid w:val="00B9519F"/>
    <w:rsid w:val="00B976BC"/>
    <w:rsid w:val="00BA0CAF"/>
    <w:rsid w:val="00BA1352"/>
    <w:rsid w:val="00BA3154"/>
    <w:rsid w:val="00BB1534"/>
    <w:rsid w:val="00BB2E57"/>
    <w:rsid w:val="00BB4CBD"/>
    <w:rsid w:val="00BB7369"/>
    <w:rsid w:val="00BB78EB"/>
    <w:rsid w:val="00BC2CD1"/>
    <w:rsid w:val="00BC5D9E"/>
    <w:rsid w:val="00BC6F07"/>
    <w:rsid w:val="00BD0B71"/>
    <w:rsid w:val="00BD16DB"/>
    <w:rsid w:val="00BD1937"/>
    <w:rsid w:val="00BD3DE9"/>
    <w:rsid w:val="00BE0B06"/>
    <w:rsid w:val="00BE5F1E"/>
    <w:rsid w:val="00BE7152"/>
    <w:rsid w:val="00BF0A0B"/>
    <w:rsid w:val="00C001DB"/>
    <w:rsid w:val="00C03DB7"/>
    <w:rsid w:val="00C048F5"/>
    <w:rsid w:val="00C04A11"/>
    <w:rsid w:val="00C07FA8"/>
    <w:rsid w:val="00C109C6"/>
    <w:rsid w:val="00C11074"/>
    <w:rsid w:val="00C147B5"/>
    <w:rsid w:val="00C149CE"/>
    <w:rsid w:val="00C2178A"/>
    <w:rsid w:val="00C21801"/>
    <w:rsid w:val="00C23FE6"/>
    <w:rsid w:val="00C311D0"/>
    <w:rsid w:val="00C34683"/>
    <w:rsid w:val="00C34A88"/>
    <w:rsid w:val="00C34CC0"/>
    <w:rsid w:val="00C356BA"/>
    <w:rsid w:val="00C37BD8"/>
    <w:rsid w:val="00C43DDF"/>
    <w:rsid w:val="00C44D44"/>
    <w:rsid w:val="00C44DF2"/>
    <w:rsid w:val="00C463AB"/>
    <w:rsid w:val="00C46EDD"/>
    <w:rsid w:val="00C46FFD"/>
    <w:rsid w:val="00C47A71"/>
    <w:rsid w:val="00C53B08"/>
    <w:rsid w:val="00C53B7E"/>
    <w:rsid w:val="00C565C3"/>
    <w:rsid w:val="00C613B4"/>
    <w:rsid w:val="00C64043"/>
    <w:rsid w:val="00C64272"/>
    <w:rsid w:val="00C71D5F"/>
    <w:rsid w:val="00C72407"/>
    <w:rsid w:val="00C73FC5"/>
    <w:rsid w:val="00C74AE9"/>
    <w:rsid w:val="00C750B5"/>
    <w:rsid w:val="00C76208"/>
    <w:rsid w:val="00C76814"/>
    <w:rsid w:val="00C80013"/>
    <w:rsid w:val="00C81A94"/>
    <w:rsid w:val="00C827A9"/>
    <w:rsid w:val="00C847D7"/>
    <w:rsid w:val="00C84978"/>
    <w:rsid w:val="00C8750E"/>
    <w:rsid w:val="00C921DA"/>
    <w:rsid w:val="00C944F1"/>
    <w:rsid w:val="00C96D67"/>
    <w:rsid w:val="00C97219"/>
    <w:rsid w:val="00CA0D15"/>
    <w:rsid w:val="00CA1E96"/>
    <w:rsid w:val="00CA203F"/>
    <w:rsid w:val="00CA4698"/>
    <w:rsid w:val="00CA7B75"/>
    <w:rsid w:val="00CB03EF"/>
    <w:rsid w:val="00CB13A2"/>
    <w:rsid w:val="00CB2581"/>
    <w:rsid w:val="00CB395D"/>
    <w:rsid w:val="00CB4A49"/>
    <w:rsid w:val="00CB607A"/>
    <w:rsid w:val="00CB6691"/>
    <w:rsid w:val="00CC0FD0"/>
    <w:rsid w:val="00CC343A"/>
    <w:rsid w:val="00CC6B10"/>
    <w:rsid w:val="00CC7EA4"/>
    <w:rsid w:val="00CD07F4"/>
    <w:rsid w:val="00CD18B5"/>
    <w:rsid w:val="00CD2DDE"/>
    <w:rsid w:val="00CD6342"/>
    <w:rsid w:val="00CE0E48"/>
    <w:rsid w:val="00CE1817"/>
    <w:rsid w:val="00CE589F"/>
    <w:rsid w:val="00CE7CBA"/>
    <w:rsid w:val="00CF1279"/>
    <w:rsid w:val="00CF4B9F"/>
    <w:rsid w:val="00CF6386"/>
    <w:rsid w:val="00CF6567"/>
    <w:rsid w:val="00D0121C"/>
    <w:rsid w:val="00D032FF"/>
    <w:rsid w:val="00D11E96"/>
    <w:rsid w:val="00D14562"/>
    <w:rsid w:val="00D14A9A"/>
    <w:rsid w:val="00D16F39"/>
    <w:rsid w:val="00D17788"/>
    <w:rsid w:val="00D21B2D"/>
    <w:rsid w:val="00D23BB7"/>
    <w:rsid w:val="00D23C9A"/>
    <w:rsid w:val="00D23CB9"/>
    <w:rsid w:val="00D24CB2"/>
    <w:rsid w:val="00D25537"/>
    <w:rsid w:val="00D3300F"/>
    <w:rsid w:val="00D40380"/>
    <w:rsid w:val="00D413FC"/>
    <w:rsid w:val="00D4357A"/>
    <w:rsid w:val="00D43A50"/>
    <w:rsid w:val="00D4526B"/>
    <w:rsid w:val="00D4578A"/>
    <w:rsid w:val="00D45976"/>
    <w:rsid w:val="00D47B03"/>
    <w:rsid w:val="00D5288F"/>
    <w:rsid w:val="00D52D1E"/>
    <w:rsid w:val="00D60D90"/>
    <w:rsid w:val="00D65E53"/>
    <w:rsid w:val="00D7026C"/>
    <w:rsid w:val="00D71749"/>
    <w:rsid w:val="00D71E35"/>
    <w:rsid w:val="00D72D97"/>
    <w:rsid w:val="00D74F34"/>
    <w:rsid w:val="00D753E6"/>
    <w:rsid w:val="00D759D4"/>
    <w:rsid w:val="00D76FDD"/>
    <w:rsid w:val="00D80A28"/>
    <w:rsid w:val="00D82184"/>
    <w:rsid w:val="00D853F4"/>
    <w:rsid w:val="00D85C11"/>
    <w:rsid w:val="00D85D27"/>
    <w:rsid w:val="00D904B7"/>
    <w:rsid w:val="00D93062"/>
    <w:rsid w:val="00D934CB"/>
    <w:rsid w:val="00D937E9"/>
    <w:rsid w:val="00D95619"/>
    <w:rsid w:val="00DA16AA"/>
    <w:rsid w:val="00DA3F0C"/>
    <w:rsid w:val="00DA587B"/>
    <w:rsid w:val="00DA5AAC"/>
    <w:rsid w:val="00DB029D"/>
    <w:rsid w:val="00DB1B0E"/>
    <w:rsid w:val="00DB2068"/>
    <w:rsid w:val="00DB6B81"/>
    <w:rsid w:val="00DB6DCD"/>
    <w:rsid w:val="00DB708B"/>
    <w:rsid w:val="00DB7540"/>
    <w:rsid w:val="00DC1A6A"/>
    <w:rsid w:val="00DC2259"/>
    <w:rsid w:val="00DC235F"/>
    <w:rsid w:val="00DC2C97"/>
    <w:rsid w:val="00DC47AC"/>
    <w:rsid w:val="00DC527B"/>
    <w:rsid w:val="00DC5FDE"/>
    <w:rsid w:val="00DC6562"/>
    <w:rsid w:val="00DD1595"/>
    <w:rsid w:val="00DD1C75"/>
    <w:rsid w:val="00DD5305"/>
    <w:rsid w:val="00DD545C"/>
    <w:rsid w:val="00DE0F85"/>
    <w:rsid w:val="00DE425C"/>
    <w:rsid w:val="00DE4AD1"/>
    <w:rsid w:val="00DF7575"/>
    <w:rsid w:val="00E03446"/>
    <w:rsid w:val="00E0477F"/>
    <w:rsid w:val="00E04E5C"/>
    <w:rsid w:val="00E07912"/>
    <w:rsid w:val="00E1088B"/>
    <w:rsid w:val="00E10D73"/>
    <w:rsid w:val="00E12825"/>
    <w:rsid w:val="00E16880"/>
    <w:rsid w:val="00E16C1E"/>
    <w:rsid w:val="00E218EB"/>
    <w:rsid w:val="00E238A1"/>
    <w:rsid w:val="00E23D6B"/>
    <w:rsid w:val="00E244DB"/>
    <w:rsid w:val="00E245DB"/>
    <w:rsid w:val="00E3021E"/>
    <w:rsid w:val="00E30C48"/>
    <w:rsid w:val="00E3707D"/>
    <w:rsid w:val="00E370D5"/>
    <w:rsid w:val="00E37184"/>
    <w:rsid w:val="00E4094A"/>
    <w:rsid w:val="00E418EA"/>
    <w:rsid w:val="00E41C3A"/>
    <w:rsid w:val="00E42C88"/>
    <w:rsid w:val="00E4517C"/>
    <w:rsid w:val="00E465A2"/>
    <w:rsid w:val="00E46C62"/>
    <w:rsid w:val="00E5192E"/>
    <w:rsid w:val="00E55635"/>
    <w:rsid w:val="00E61B47"/>
    <w:rsid w:val="00E629A3"/>
    <w:rsid w:val="00E6316A"/>
    <w:rsid w:val="00E63E34"/>
    <w:rsid w:val="00E71244"/>
    <w:rsid w:val="00E748F5"/>
    <w:rsid w:val="00E74FCD"/>
    <w:rsid w:val="00E7614D"/>
    <w:rsid w:val="00E8051F"/>
    <w:rsid w:val="00E83117"/>
    <w:rsid w:val="00E83B26"/>
    <w:rsid w:val="00E85205"/>
    <w:rsid w:val="00E85BF8"/>
    <w:rsid w:val="00E86653"/>
    <w:rsid w:val="00E87B02"/>
    <w:rsid w:val="00E900A5"/>
    <w:rsid w:val="00E92509"/>
    <w:rsid w:val="00E9290C"/>
    <w:rsid w:val="00E9320B"/>
    <w:rsid w:val="00E93A0F"/>
    <w:rsid w:val="00EA4A9B"/>
    <w:rsid w:val="00EA5342"/>
    <w:rsid w:val="00EA5A86"/>
    <w:rsid w:val="00EA5E78"/>
    <w:rsid w:val="00EA6009"/>
    <w:rsid w:val="00EA7563"/>
    <w:rsid w:val="00EA787A"/>
    <w:rsid w:val="00EB06BE"/>
    <w:rsid w:val="00EB0779"/>
    <w:rsid w:val="00EB09E8"/>
    <w:rsid w:val="00EB6DAA"/>
    <w:rsid w:val="00EC00E4"/>
    <w:rsid w:val="00EC1866"/>
    <w:rsid w:val="00EC5E5F"/>
    <w:rsid w:val="00ED02B2"/>
    <w:rsid w:val="00ED25E6"/>
    <w:rsid w:val="00ED3CB4"/>
    <w:rsid w:val="00EE018C"/>
    <w:rsid w:val="00EE2C24"/>
    <w:rsid w:val="00EE4E17"/>
    <w:rsid w:val="00EE5329"/>
    <w:rsid w:val="00EE62B3"/>
    <w:rsid w:val="00EE6C25"/>
    <w:rsid w:val="00EF0215"/>
    <w:rsid w:val="00EF0696"/>
    <w:rsid w:val="00EF23A8"/>
    <w:rsid w:val="00EF2D2E"/>
    <w:rsid w:val="00EF31BE"/>
    <w:rsid w:val="00EF33CA"/>
    <w:rsid w:val="00EF4C70"/>
    <w:rsid w:val="00EF74E7"/>
    <w:rsid w:val="00F02DEA"/>
    <w:rsid w:val="00F04EF4"/>
    <w:rsid w:val="00F059C7"/>
    <w:rsid w:val="00F06256"/>
    <w:rsid w:val="00F07432"/>
    <w:rsid w:val="00F077EC"/>
    <w:rsid w:val="00F07D4E"/>
    <w:rsid w:val="00F12638"/>
    <w:rsid w:val="00F133DB"/>
    <w:rsid w:val="00F139B6"/>
    <w:rsid w:val="00F14769"/>
    <w:rsid w:val="00F1596E"/>
    <w:rsid w:val="00F165E4"/>
    <w:rsid w:val="00F165F2"/>
    <w:rsid w:val="00F17F67"/>
    <w:rsid w:val="00F20801"/>
    <w:rsid w:val="00F21EE8"/>
    <w:rsid w:val="00F22786"/>
    <w:rsid w:val="00F25DAD"/>
    <w:rsid w:val="00F26E06"/>
    <w:rsid w:val="00F27774"/>
    <w:rsid w:val="00F27D4E"/>
    <w:rsid w:val="00F30CF0"/>
    <w:rsid w:val="00F30FE2"/>
    <w:rsid w:val="00F31DD3"/>
    <w:rsid w:val="00F3588F"/>
    <w:rsid w:val="00F36B50"/>
    <w:rsid w:val="00F40763"/>
    <w:rsid w:val="00F415FD"/>
    <w:rsid w:val="00F4367D"/>
    <w:rsid w:val="00F4469F"/>
    <w:rsid w:val="00F5210A"/>
    <w:rsid w:val="00F55A3E"/>
    <w:rsid w:val="00F56CF3"/>
    <w:rsid w:val="00F57658"/>
    <w:rsid w:val="00F604AC"/>
    <w:rsid w:val="00F61D85"/>
    <w:rsid w:val="00F62407"/>
    <w:rsid w:val="00F63E2D"/>
    <w:rsid w:val="00F661C2"/>
    <w:rsid w:val="00F661C7"/>
    <w:rsid w:val="00F706C4"/>
    <w:rsid w:val="00F724AD"/>
    <w:rsid w:val="00F72516"/>
    <w:rsid w:val="00F736E1"/>
    <w:rsid w:val="00F738D1"/>
    <w:rsid w:val="00F73B57"/>
    <w:rsid w:val="00F758CB"/>
    <w:rsid w:val="00F8228D"/>
    <w:rsid w:val="00F861A3"/>
    <w:rsid w:val="00F937C2"/>
    <w:rsid w:val="00F95552"/>
    <w:rsid w:val="00F97785"/>
    <w:rsid w:val="00FA0A2A"/>
    <w:rsid w:val="00FA403C"/>
    <w:rsid w:val="00FA4083"/>
    <w:rsid w:val="00FA62A5"/>
    <w:rsid w:val="00FA76EE"/>
    <w:rsid w:val="00FB1437"/>
    <w:rsid w:val="00FB47CB"/>
    <w:rsid w:val="00FB48E2"/>
    <w:rsid w:val="00FB5633"/>
    <w:rsid w:val="00FB5ECA"/>
    <w:rsid w:val="00FB6AAF"/>
    <w:rsid w:val="00FC056C"/>
    <w:rsid w:val="00FC1B2A"/>
    <w:rsid w:val="00FC34DE"/>
    <w:rsid w:val="00FC4456"/>
    <w:rsid w:val="00FC6C5B"/>
    <w:rsid w:val="00FC7527"/>
    <w:rsid w:val="00FD35C3"/>
    <w:rsid w:val="00FD3983"/>
    <w:rsid w:val="00FD4499"/>
    <w:rsid w:val="00FD49CE"/>
    <w:rsid w:val="00FD4D97"/>
    <w:rsid w:val="00FD54DB"/>
    <w:rsid w:val="00FD6AE4"/>
    <w:rsid w:val="00FD729B"/>
    <w:rsid w:val="00FD7B01"/>
    <w:rsid w:val="00FE340D"/>
    <w:rsid w:val="00FE4592"/>
    <w:rsid w:val="00FE74B1"/>
    <w:rsid w:val="00FE758F"/>
    <w:rsid w:val="00FF1BA0"/>
    <w:rsid w:val="00FF1C3D"/>
    <w:rsid w:val="00FF1D43"/>
    <w:rsid w:val="00FF3036"/>
    <w:rsid w:val="00FF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5:docId w15:val="{A8D67BF0-666A-494D-8413-F70B4396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36"/>
    <w:rPr>
      <w:sz w:val="24"/>
      <w:szCs w:val="24"/>
    </w:rPr>
  </w:style>
  <w:style w:type="paragraph" w:styleId="Antrat1">
    <w:name w:val="heading 1"/>
    <w:basedOn w:val="prastasis"/>
    <w:next w:val="prastasis"/>
    <w:link w:val="Antrat1Diagrama"/>
    <w:qFormat/>
    <w:rsid w:val="0039355F"/>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917123"/>
    <w:pPr>
      <w:keepNext/>
      <w:spacing w:before="240" w:after="60"/>
      <w:outlineLvl w:val="1"/>
    </w:pPr>
    <w:rPr>
      <w:rFonts w:ascii="Arial" w:hAnsi="Arial" w:cs="Arial"/>
      <w:b/>
      <w:bCs/>
      <w:i/>
      <w:iCs/>
      <w:sz w:val="28"/>
      <w:szCs w:val="28"/>
    </w:rPr>
  </w:style>
  <w:style w:type="paragraph" w:styleId="Antrat6">
    <w:name w:val="heading 6"/>
    <w:basedOn w:val="prastasis"/>
    <w:next w:val="prastasis"/>
    <w:qFormat/>
    <w:rsid w:val="0044145C"/>
    <w:pPr>
      <w:keepNext/>
      <w:numPr>
        <w:numId w:val="14"/>
      </w:numPr>
      <w:tabs>
        <w:tab w:val="left" w:pos="9638"/>
        <w:tab w:val="left" w:pos="9720"/>
      </w:tabs>
      <w:spacing w:line="360" w:lineRule="auto"/>
      <w:ind w:right="-82"/>
      <w:jc w:val="center"/>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besliotekstas1">
    <w:name w:val="Debesėlio tekstas1"/>
    <w:basedOn w:val="prastasis"/>
    <w:semiHidden/>
    <w:rsid w:val="0044145C"/>
    <w:rPr>
      <w:rFonts w:ascii="Tahoma" w:hAnsi="Tahoma" w:cs="Tahoma"/>
      <w:sz w:val="16"/>
      <w:szCs w:val="16"/>
    </w:rPr>
  </w:style>
  <w:style w:type="paragraph" w:styleId="Pagrindinistekstas3">
    <w:name w:val="Body Text 3"/>
    <w:basedOn w:val="prastasis"/>
    <w:rsid w:val="0044145C"/>
    <w:pPr>
      <w:spacing w:after="120"/>
    </w:pPr>
    <w:rPr>
      <w:sz w:val="16"/>
      <w:szCs w:val="16"/>
    </w:rPr>
  </w:style>
  <w:style w:type="paragraph" w:styleId="Pagrindiniotekstotrauka2">
    <w:name w:val="Body Text Indent 2"/>
    <w:basedOn w:val="prastasis"/>
    <w:link w:val="Pagrindiniotekstotrauka2Diagrama"/>
    <w:rsid w:val="0044145C"/>
    <w:pPr>
      <w:ind w:firstLine="720"/>
    </w:pPr>
    <w:rPr>
      <w:b/>
      <w:szCs w:val="20"/>
    </w:rPr>
  </w:style>
  <w:style w:type="paragraph" w:styleId="Pavadinimas">
    <w:name w:val="Title"/>
    <w:basedOn w:val="prastasis"/>
    <w:qFormat/>
    <w:rsid w:val="0044145C"/>
    <w:pPr>
      <w:jc w:val="center"/>
    </w:pPr>
    <w:rPr>
      <w:b/>
      <w:szCs w:val="20"/>
    </w:rPr>
  </w:style>
  <w:style w:type="paragraph" w:styleId="Pagrindiniotekstotrauka3">
    <w:name w:val="Body Text Indent 3"/>
    <w:basedOn w:val="prastasis"/>
    <w:rsid w:val="0044145C"/>
    <w:pPr>
      <w:spacing w:after="120"/>
      <w:ind w:left="283"/>
    </w:pPr>
    <w:rPr>
      <w:sz w:val="16"/>
      <w:szCs w:val="16"/>
    </w:rPr>
  </w:style>
  <w:style w:type="paragraph" w:styleId="Porat">
    <w:name w:val="footer"/>
    <w:basedOn w:val="prastasis"/>
    <w:rsid w:val="0044145C"/>
    <w:pPr>
      <w:tabs>
        <w:tab w:val="center" w:pos="4986"/>
        <w:tab w:val="right" w:pos="9972"/>
      </w:tabs>
    </w:pPr>
  </w:style>
  <w:style w:type="character" w:styleId="Puslapionumeris">
    <w:name w:val="page number"/>
    <w:basedOn w:val="Numatytasispastraiposriftas"/>
    <w:rsid w:val="0044145C"/>
  </w:style>
  <w:style w:type="paragraph" w:styleId="Antrats">
    <w:name w:val="header"/>
    <w:basedOn w:val="prastasis"/>
    <w:link w:val="AntratsDiagrama"/>
    <w:uiPriority w:val="99"/>
    <w:rsid w:val="0044145C"/>
    <w:pPr>
      <w:tabs>
        <w:tab w:val="center" w:pos="4986"/>
        <w:tab w:val="right" w:pos="9972"/>
      </w:tabs>
    </w:pPr>
    <w:rPr>
      <w:lang w:eastAsia="en-US"/>
    </w:rPr>
  </w:style>
  <w:style w:type="paragraph" w:customStyle="1" w:styleId="Default">
    <w:name w:val="Default"/>
    <w:rsid w:val="00B92D08"/>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570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0323E3"/>
    <w:rPr>
      <w:b/>
      <w:bCs/>
    </w:rPr>
  </w:style>
  <w:style w:type="paragraph" w:customStyle="1" w:styleId="Lentelsturinys">
    <w:name w:val="Lentelės turinys"/>
    <w:basedOn w:val="prastasis"/>
    <w:rsid w:val="000323E3"/>
    <w:pPr>
      <w:widowControl w:val="0"/>
      <w:suppressLineNumbers/>
      <w:suppressAutoHyphens/>
    </w:pPr>
    <w:rPr>
      <w:rFonts w:eastAsia="Lucida Sans Unicode"/>
      <w:kern w:val="1"/>
    </w:rPr>
  </w:style>
  <w:style w:type="paragraph" w:customStyle="1" w:styleId="msolistparagraph0">
    <w:name w:val="msolistparagraph"/>
    <w:basedOn w:val="prastasis"/>
    <w:rsid w:val="00245DF8"/>
    <w:pPr>
      <w:ind w:left="720"/>
    </w:pPr>
    <w:rPr>
      <w:lang w:val="en-US"/>
    </w:rPr>
  </w:style>
  <w:style w:type="paragraph" w:styleId="Debesliotekstas">
    <w:name w:val="Balloon Text"/>
    <w:basedOn w:val="prastasis"/>
    <w:semiHidden/>
    <w:rsid w:val="00C34CC0"/>
    <w:rPr>
      <w:rFonts w:ascii="Tahoma" w:hAnsi="Tahoma" w:cs="Tahoma"/>
      <w:sz w:val="16"/>
      <w:szCs w:val="16"/>
    </w:rPr>
  </w:style>
  <w:style w:type="paragraph" w:customStyle="1" w:styleId="Iprastasis">
    <w:name w:val="Iprastasis"/>
    <w:basedOn w:val="prastasis"/>
    <w:next w:val="prastasis"/>
    <w:rsid w:val="00F736E1"/>
    <w:pPr>
      <w:suppressAutoHyphens/>
      <w:autoSpaceDE w:val="0"/>
    </w:pPr>
    <w:rPr>
      <w:lang w:val="en-US" w:eastAsia="ar-SA"/>
    </w:rPr>
  </w:style>
  <w:style w:type="character" w:customStyle="1" w:styleId="AntratsDiagrama">
    <w:name w:val="Antraštės Diagrama"/>
    <w:link w:val="Antrats"/>
    <w:uiPriority w:val="99"/>
    <w:locked/>
    <w:rsid w:val="00A55B28"/>
    <w:rPr>
      <w:sz w:val="24"/>
      <w:szCs w:val="24"/>
      <w:lang w:val="lt-LT" w:eastAsia="en-US" w:bidi="ar-SA"/>
    </w:rPr>
  </w:style>
  <w:style w:type="paragraph" w:customStyle="1" w:styleId="Betarp1">
    <w:name w:val="Be tarpų1"/>
    <w:qFormat/>
    <w:rsid w:val="00C47A71"/>
    <w:rPr>
      <w:rFonts w:ascii="Calibri" w:hAnsi="Calibri"/>
      <w:sz w:val="22"/>
      <w:szCs w:val="22"/>
      <w:lang w:eastAsia="en-US"/>
    </w:rPr>
  </w:style>
  <w:style w:type="paragraph" w:styleId="Betarp">
    <w:name w:val="No Spacing"/>
    <w:uiPriority w:val="1"/>
    <w:qFormat/>
    <w:rsid w:val="007C0CB2"/>
    <w:rPr>
      <w:rFonts w:ascii="Calibri" w:eastAsia="Calibri" w:hAnsi="Calibri"/>
      <w:sz w:val="22"/>
      <w:szCs w:val="22"/>
      <w:lang w:eastAsia="en-US"/>
    </w:rPr>
  </w:style>
  <w:style w:type="character" w:customStyle="1" w:styleId="Antrat1Diagrama">
    <w:name w:val="Antraštė 1 Diagrama"/>
    <w:link w:val="Antrat1"/>
    <w:rsid w:val="0039355F"/>
    <w:rPr>
      <w:rFonts w:ascii="Calibri Light" w:eastAsia="Times New Roman" w:hAnsi="Calibri Light" w:cs="Times New Roman"/>
      <w:b/>
      <w:bCs/>
      <w:kern w:val="32"/>
      <w:sz w:val="32"/>
      <w:szCs w:val="32"/>
    </w:rPr>
  </w:style>
  <w:style w:type="character" w:styleId="Rykuspabraukimas">
    <w:name w:val="Intense Emphasis"/>
    <w:uiPriority w:val="21"/>
    <w:qFormat/>
    <w:rsid w:val="0039355F"/>
    <w:rPr>
      <w:i/>
      <w:iCs/>
      <w:color w:val="5B9BD5"/>
    </w:rPr>
  </w:style>
  <w:style w:type="paragraph" w:styleId="Sraopastraipa">
    <w:name w:val="List Paragraph"/>
    <w:basedOn w:val="prastasis"/>
    <w:uiPriority w:val="34"/>
    <w:qFormat/>
    <w:rsid w:val="00A90281"/>
    <w:pPr>
      <w:ind w:left="720"/>
      <w:contextualSpacing/>
    </w:pPr>
  </w:style>
  <w:style w:type="paragraph" w:customStyle="1" w:styleId="Iprastasis4">
    <w:name w:val="Iprastasis+4"/>
    <w:basedOn w:val="Default"/>
    <w:next w:val="Default"/>
    <w:rsid w:val="00FC056C"/>
    <w:rPr>
      <w:color w:val="auto"/>
    </w:rPr>
  </w:style>
  <w:style w:type="paragraph" w:customStyle="1" w:styleId="Pagrindinistekstas2">
    <w:name w:val="Pagrindinis tekstas+2"/>
    <w:basedOn w:val="Default"/>
    <w:next w:val="Default"/>
    <w:rsid w:val="00FC056C"/>
    <w:rPr>
      <w:color w:val="auto"/>
    </w:rPr>
  </w:style>
  <w:style w:type="paragraph" w:customStyle="1" w:styleId="Lentelesturinys1">
    <w:name w:val="Lenteles turinys+1"/>
    <w:basedOn w:val="Default"/>
    <w:next w:val="Default"/>
    <w:rsid w:val="00FC056C"/>
    <w:rPr>
      <w:color w:val="auto"/>
    </w:rPr>
  </w:style>
  <w:style w:type="character" w:customStyle="1" w:styleId="Pagrindiniotekstotrauka2Diagrama">
    <w:name w:val="Pagrindinio teksto įtrauka 2 Diagrama"/>
    <w:link w:val="Pagrindiniotekstotrauka2"/>
    <w:rsid w:val="00AD136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880">
      <w:bodyDiv w:val="1"/>
      <w:marLeft w:val="0"/>
      <w:marRight w:val="0"/>
      <w:marTop w:val="0"/>
      <w:marBottom w:val="0"/>
      <w:divBdr>
        <w:top w:val="none" w:sz="0" w:space="0" w:color="auto"/>
        <w:left w:val="none" w:sz="0" w:space="0" w:color="auto"/>
        <w:bottom w:val="none" w:sz="0" w:space="0" w:color="auto"/>
        <w:right w:val="none" w:sz="0" w:space="0" w:color="auto"/>
      </w:divBdr>
    </w:div>
    <w:div w:id="95952491">
      <w:bodyDiv w:val="1"/>
      <w:marLeft w:val="0"/>
      <w:marRight w:val="0"/>
      <w:marTop w:val="0"/>
      <w:marBottom w:val="0"/>
      <w:divBdr>
        <w:top w:val="none" w:sz="0" w:space="0" w:color="auto"/>
        <w:left w:val="none" w:sz="0" w:space="0" w:color="auto"/>
        <w:bottom w:val="none" w:sz="0" w:space="0" w:color="auto"/>
        <w:right w:val="none" w:sz="0" w:space="0" w:color="auto"/>
      </w:divBdr>
    </w:div>
    <w:div w:id="451559306">
      <w:bodyDiv w:val="1"/>
      <w:marLeft w:val="0"/>
      <w:marRight w:val="0"/>
      <w:marTop w:val="0"/>
      <w:marBottom w:val="0"/>
      <w:divBdr>
        <w:top w:val="none" w:sz="0" w:space="0" w:color="auto"/>
        <w:left w:val="none" w:sz="0" w:space="0" w:color="auto"/>
        <w:bottom w:val="none" w:sz="0" w:space="0" w:color="auto"/>
        <w:right w:val="none" w:sz="0" w:space="0" w:color="auto"/>
      </w:divBdr>
    </w:div>
    <w:div w:id="468329073">
      <w:bodyDiv w:val="1"/>
      <w:marLeft w:val="0"/>
      <w:marRight w:val="0"/>
      <w:marTop w:val="0"/>
      <w:marBottom w:val="0"/>
      <w:divBdr>
        <w:top w:val="none" w:sz="0" w:space="0" w:color="auto"/>
        <w:left w:val="none" w:sz="0" w:space="0" w:color="auto"/>
        <w:bottom w:val="none" w:sz="0" w:space="0" w:color="auto"/>
        <w:right w:val="none" w:sz="0" w:space="0" w:color="auto"/>
      </w:divBdr>
      <w:divsChild>
        <w:div w:id="54546737">
          <w:marLeft w:val="0"/>
          <w:marRight w:val="0"/>
          <w:marTop w:val="0"/>
          <w:marBottom w:val="0"/>
          <w:divBdr>
            <w:top w:val="none" w:sz="0" w:space="0" w:color="auto"/>
            <w:left w:val="none" w:sz="0" w:space="0" w:color="auto"/>
            <w:bottom w:val="none" w:sz="0" w:space="0" w:color="auto"/>
            <w:right w:val="none" w:sz="0" w:space="0" w:color="auto"/>
          </w:divBdr>
        </w:div>
        <w:div w:id="111562786">
          <w:marLeft w:val="0"/>
          <w:marRight w:val="0"/>
          <w:marTop w:val="0"/>
          <w:marBottom w:val="0"/>
          <w:divBdr>
            <w:top w:val="none" w:sz="0" w:space="0" w:color="auto"/>
            <w:left w:val="none" w:sz="0" w:space="0" w:color="auto"/>
            <w:bottom w:val="none" w:sz="0" w:space="0" w:color="auto"/>
            <w:right w:val="none" w:sz="0" w:space="0" w:color="auto"/>
          </w:divBdr>
        </w:div>
        <w:div w:id="173763940">
          <w:marLeft w:val="0"/>
          <w:marRight w:val="0"/>
          <w:marTop w:val="0"/>
          <w:marBottom w:val="0"/>
          <w:divBdr>
            <w:top w:val="none" w:sz="0" w:space="0" w:color="auto"/>
            <w:left w:val="none" w:sz="0" w:space="0" w:color="auto"/>
            <w:bottom w:val="none" w:sz="0" w:space="0" w:color="auto"/>
            <w:right w:val="none" w:sz="0" w:space="0" w:color="auto"/>
          </w:divBdr>
        </w:div>
        <w:div w:id="200048185">
          <w:marLeft w:val="0"/>
          <w:marRight w:val="0"/>
          <w:marTop w:val="0"/>
          <w:marBottom w:val="0"/>
          <w:divBdr>
            <w:top w:val="none" w:sz="0" w:space="0" w:color="auto"/>
            <w:left w:val="none" w:sz="0" w:space="0" w:color="auto"/>
            <w:bottom w:val="none" w:sz="0" w:space="0" w:color="auto"/>
            <w:right w:val="none" w:sz="0" w:space="0" w:color="auto"/>
          </w:divBdr>
        </w:div>
        <w:div w:id="375274049">
          <w:marLeft w:val="0"/>
          <w:marRight w:val="0"/>
          <w:marTop w:val="0"/>
          <w:marBottom w:val="0"/>
          <w:divBdr>
            <w:top w:val="none" w:sz="0" w:space="0" w:color="auto"/>
            <w:left w:val="none" w:sz="0" w:space="0" w:color="auto"/>
            <w:bottom w:val="none" w:sz="0" w:space="0" w:color="auto"/>
            <w:right w:val="none" w:sz="0" w:space="0" w:color="auto"/>
          </w:divBdr>
        </w:div>
        <w:div w:id="456073701">
          <w:marLeft w:val="0"/>
          <w:marRight w:val="0"/>
          <w:marTop w:val="0"/>
          <w:marBottom w:val="0"/>
          <w:divBdr>
            <w:top w:val="none" w:sz="0" w:space="0" w:color="auto"/>
            <w:left w:val="none" w:sz="0" w:space="0" w:color="auto"/>
            <w:bottom w:val="none" w:sz="0" w:space="0" w:color="auto"/>
            <w:right w:val="none" w:sz="0" w:space="0" w:color="auto"/>
          </w:divBdr>
        </w:div>
        <w:div w:id="636497510">
          <w:marLeft w:val="0"/>
          <w:marRight w:val="0"/>
          <w:marTop w:val="0"/>
          <w:marBottom w:val="0"/>
          <w:divBdr>
            <w:top w:val="none" w:sz="0" w:space="0" w:color="auto"/>
            <w:left w:val="none" w:sz="0" w:space="0" w:color="auto"/>
            <w:bottom w:val="none" w:sz="0" w:space="0" w:color="auto"/>
            <w:right w:val="none" w:sz="0" w:space="0" w:color="auto"/>
          </w:divBdr>
        </w:div>
        <w:div w:id="836069878">
          <w:marLeft w:val="0"/>
          <w:marRight w:val="0"/>
          <w:marTop w:val="0"/>
          <w:marBottom w:val="0"/>
          <w:divBdr>
            <w:top w:val="none" w:sz="0" w:space="0" w:color="auto"/>
            <w:left w:val="none" w:sz="0" w:space="0" w:color="auto"/>
            <w:bottom w:val="none" w:sz="0" w:space="0" w:color="auto"/>
            <w:right w:val="none" w:sz="0" w:space="0" w:color="auto"/>
          </w:divBdr>
        </w:div>
        <w:div w:id="935407047">
          <w:marLeft w:val="0"/>
          <w:marRight w:val="0"/>
          <w:marTop w:val="0"/>
          <w:marBottom w:val="0"/>
          <w:divBdr>
            <w:top w:val="none" w:sz="0" w:space="0" w:color="auto"/>
            <w:left w:val="none" w:sz="0" w:space="0" w:color="auto"/>
            <w:bottom w:val="none" w:sz="0" w:space="0" w:color="auto"/>
            <w:right w:val="none" w:sz="0" w:space="0" w:color="auto"/>
          </w:divBdr>
        </w:div>
        <w:div w:id="941961513">
          <w:marLeft w:val="0"/>
          <w:marRight w:val="0"/>
          <w:marTop w:val="0"/>
          <w:marBottom w:val="0"/>
          <w:divBdr>
            <w:top w:val="none" w:sz="0" w:space="0" w:color="auto"/>
            <w:left w:val="none" w:sz="0" w:space="0" w:color="auto"/>
            <w:bottom w:val="none" w:sz="0" w:space="0" w:color="auto"/>
            <w:right w:val="none" w:sz="0" w:space="0" w:color="auto"/>
          </w:divBdr>
        </w:div>
        <w:div w:id="1000618662">
          <w:marLeft w:val="0"/>
          <w:marRight w:val="0"/>
          <w:marTop w:val="0"/>
          <w:marBottom w:val="0"/>
          <w:divBdr>
            <w:top w:val="none" w:sz="0" w:space="0" w:color="auto"/>
            <w:left w:val="none" w:sz="0" w:space="0" w:color="auto"/>
            <w:bottom w:val="none" w:sz="0" w:space="0" w:color="auto"/>
            <w:right w:val="none" w:sz="0" w:space="0" w:color="auto"/>
          </w:divBdr>
        </w:div>
        <w:div w:id="1022631902">
          <w:marLeft w:val="0"/>
          <w:marRight w:val="0"/>
          <w:marTop w:val="0"/>
          <w:marBottom w:val="0"/>
          <w:divBdr>
            <w:top w:val="none" w:sz="0" w:space="0" w:color="auto"/>
            <w:left w:val="none" w:sz="0" w:space="0" w:color="auto"/>
            <w:bottom w:val="none" w:sz="0" w:space="0" w:color="auto"/>
            <w:right w:val="none" w:sz="0" w:space="0" w:color="auto"/>
          </w:divBdr>
        </w:div>
        <w:div w:id="1093433991">
          <w:marLeft w:val="0"/>
          <w:marRight w:val="0"/>
          <w:marTop w:val="0"/>
          <w:marBottom w:val="0"/>
          <w:divBdr>
            <w:top w:val="none" w:sz="0" w:space="0" w:color="auto"/>
            <w:left w:val="none" w:sz="0" w:space="0" w:color="auto"/>
            <w:bottom w:val="none" w:sz="0" w:space="0" w:color="auto"/>
            <w:right w:val="none" w:sz="0" w:space="0" w:color="auto"/>
          </w:divBdr>
        </w:div>
        <w:div w:id="1161189489">
          <w:marLeft w:val="0"/>
          <w:marRight w:val="0"/>
          <w:marTop w:val="0"/>
          <w:marBottom w:val="0"/>
          <w:divBdr>
            <w:top w:val="none" w:sz="0" w:space="0" w:color="auto"/>
            <w:left w:val="none" w:sz="0" w:space="0" w:color="auto"/>
            <w:bottom w:val="none" w:sz="0" w:space="0" w:color="auto"/>
            <w:right w:val="none" w:sz="0" w:space="0" w:color="auto"/>
          </w:divBdr>
        </w:div>
        <w:div w:id="1174106218">
          <w:marLeft w:val="0"/>
          <w:marRight w:val="0"/>
          <w:marTop w:val="0"/>
          <w:marBottom w:val="0"/>
          <w:divBdr>
            <w:top w:val="none" w:sz="0" w:space="0" w:color="auto"/>
            <w:left w:val="none" w:sz="0" w:space="0" w:color="auto"/>
            <w:bottom w:val="none" w:sz="0" w:space="0" w:color="auto"/>
            <w:right w:val="none" w:sz="0" w:space="0" w:color="auto"/>
          </w:divBdr>
        </w:div>
        <w:div w:id="1255629492">
          <w:marLeft w:val="0"/>
          <w:marRight w:val="0"/>
          <w:marTop w:val="0"/>
          <w:marBottom w:val="0"/>
          <w:divBdr>
            <w:top w:val="none" w:sz="0" w:space="0" w:color="auto"/>
            <w:left w:val="none" w:sz="0" w:space="0" w:color="auto"/>
            <w:bottom w:val="none" w:sz="0" w:space="0" w:color="auto"/>
            <w:right w:val="none" w:sz="0" w:space="0" w:color="auto"/>
          </w:divBdr>
        </w:div>
        <w:div w:id="1300299859">
          <w:marLeft w:val="0"/>
          <w:marRight w:val="0"/>
          <w:marTop w:val="0"/>
          <w:marBottom w:val="0"/>
          <w:divBdr>
            <w:top w:val="none" w:sz="0" w:space="0" w:color="auto"/>
            <w:left w:val="none" w:sz="0" w:space="0" w:color="auto"/>
            <w:bottom w:val="none" w:sz="0" w:space="0" w:color="auto"/>
            <w:right w:val="none" w:sz="0" w:space="0" w:color="auto"/>
          </w:divBdr>
        </w:div>
        <w:div w:id="1427144485">
          <w:marLeft w:val="0"/>
          <w:marRight w:val="0"/>
          <w:marTop w:val="0"/>
          <w:marBottom w:val="0"/>
          <w:divBdr>
            <w:top w:val="none" w:sz="0" w:space="0" w:color="auto"/>
            <w:left w:val="none" w:sz="0" w:space="0" w:color="auto"/>
            <w:bottom w:val="none" w:sz="0" w:space="0" w:color="auto"/>
            <w:right w:val="none" w:sz="0" w:space="0" w:color="auto"/>
          </w:divBdr>
        </w:div>
        <w:div w:id="1577743578">
          <w:marLeft w:val="0"/>
          <w:marRight w:val="0"/>
          <w:marTop w:val="0"/>
          <w:marBottom w:val="0"/>
          <w:divBdr>
            <w:top w:val="none" w:sz="0" w:space="0" w:color="auto"/>
            <w:left w:val="none" w:sz="0" w:space="0" w:color="auto"/>
            <w:bottom w:val="none" w:sz="0" w:space="0" w:color="auto"/>
            <w:right w:val="none" w:sz="0" w:space="0" w:color="auto"/>
          </w:divBdr>
        </w:div>
        <w:div w:id="1739588962">
          <w:marLeft w:val="0"/>
          <w:marRight w:val="0"/>
          <w:marTop w:val="0"/>
          <w:marBottom w:val="0"/>
          <w:divBdr>
            <w:top w:val="none" w:sz="0" w:space="0" w:color="auto"/>
            <w:left w:val="none" w:sz="0" w:space="0" w:color="auto"/>
            <w:bottom w:val="none" w:sz="0" w:space="0" w:color="auto"/>
            <w:right w:val="none" w:sz="0" w:space="0" w:color="auto"/>
          </w:divBdr>
        </w:div>
        <w:div w:id="1833835796">
          <w:marLeft w:val="0"/>
          <w:marRight w:val="0"/>
          <w:marTop w:val="0"/>
          <w:marBottom w:val="0"/>
          <w:divBdr>
            <w:top w:val="none" w:sz="0" w:space="0" w:color="auto"/>
            <w:left w:val="none" w:sz="0" w:space="0" w:color="auto"/>
            <w:bottom w:val="none" w:sz="0" w:space="0" w:color="auto"/>
            <w:right w:val="none" w:sz="0" w:space="0" w:color="auto"/>
          </w:divBdr>
        </w:div>
        <w:div w:id="1879587923">
          <w:marLeft w:val="0"/>
          <w:marRight w:val="0"/>
          <w:marTop w:val="0"/>
          <w:marBottom w:val="0"/>
          <w:divBdr>
            <w:top w:val="none" w:sz="0" w:space="0" w:color="auto"/>
            <w:left w:val="none" w:sz="0" w:space="0" w:color="auto"/>
            <w:bottom w:val="none" w:sz="0" w:space="0" w:color="auto"/>
            <w:right w:val="none" w:sz="0" w:space="0" w:color="auto"/>
          </w:divBdr>
        </w:div>
        <w:div w:id="1900746080">
          <w:marLeft w:val="0"/>
          <w:marRight w:val="0"/>
          <w:marTop w:val="0"/>
          <w:marBottom w:val="0"/>
          <w:divBdr>
            <w:top w:val="none" w:sz="0" w:space="0" w:color="auto"/>
            <w:left w:val="none" w:sz="0" w:space="0" w:color="auto"/>
            <w:bottom w:val="none" w:sz="0" w:space="0" w:color="auto"/>
            <w:right w:val="none" w:sz="0" w:space="0" w:color="auto"/>
          </w:divBdr>
        </w:div>
        <w:div w:id="2016230343">
          <w:marLeft w:val="0"/>
          <w:marRight w:val="0"/>
          <w:marTop w:val="0"/>
          <w:marBottom w:val="0"/>
          <w:divBdr>
            <w:top w:val="none" w:sz="0" w:space="0" w:color="auto"/>
            <w:left w:val="none" w:sz="0" w:space="0" w:color="auto"/>
            <w:bottom w:val="none" w:sz="0" w:space="0" w:color="auto"/>
            <w:right w:val="none" w:sz="0" w:space="0" w:color="auto"/>
          </w:divBdr>
        </w:div>
        <w:div w:id="2027098455">
          <w:marLeft w:val="0"/>
          <w:marRight w:val="0"/>
          <w:marTop w:val="0"/>
          <w:marBottom w:val="0"/>
          <w:divBdr>
            <w:top w:val="none" w:sz="0" w:space="0" w:color="auto"/>
            <w:left w:val="none" w:sz="0" w:space="0" w:color="auto"/>
            <w:bottom w:val="none" w:sz="0" w:space="0" w:color="auto"/>
            <w:right w:val="none" w:sz="0" w:space="0" w:color="auto"/>
          </w:divBdr>
        </w:div>
        <w:div w:id="2067021407">
          <w:marLeft w:val="0"/>
          <w:marRight w:val="0"/>
          <w:marTop w:val="0"/>
          <w:marBottom w:val="0"/>
          <w:divBdr>
            <w:top w:val="none" w:sz="0" w:space="0" w:color="auto"/>
            <w:left w:val="none" w:sz="0" w:space="0" w:color="auto"/>
            <w:bottom w:val="none" w:sz="0" w:space="0" w:color="auto"/>
            <w:right w:val="none" w:sz="0" w:space="0" w:color="auto"/>
          </w:divBdr>
        </w:div>
      </w:divsChild>
    </w:div>
    <w:div w:id="586233819">
      <w:bodyDiv w:val="1"/>
      <w:marLeft w:val="0"/>
      <w:marRight w:val="0"/>
      <w:marTop w:val="0"/>
      <w:marBottom w:val="0"/>
      <w:divBdr>
        <w:top w:val="none" w:sz="0" w:space="0" w:color="auto"/>
        <w:left w:val="none" w:sz="0" w:space="0" w:color="auto"/>
        <w:bottom w:val="none" w:sz="0" w:space="0" w:color="auto"/>
        <w:right w:val="none" w:sz="0" w:space="0" w:color="auto"/>
      </w:divBdr>
    </w:div>
    <w:div w:id="639579970">
      <w:bodyDiv w:val="1"/>
      <w:marLeft w:val="0"/>
      <w:marRight w:val="0"/>
      <w:marTop w:val="0"/>
      <w:marBottom w:val="0"/>
      <w:divBdr>
        <w:top w:val="none" w:sz="0" w:space="0" w:color="auto"/>
        <w:left w:val="none" w:sz="0" w:space="0" w:color="auto"/>
        <w:bottom w:val="none" w:sz="0" w:space="0" w:color="auto"/>
        <w:right w:val="none" w:sz="0" w:space="0" w:color="auto"/>
      </w:divBdr>
    </w:div>
    <w:div w:id="682361519">
      <w:bodyDiv w:val="1"/>
      <w:marLeft w:val="0"/>
      <w:marRight w:val="0"/>
      <w:marTop w:val="0"/>
      <w:marBottom w:val="0"/>
      <w:divBdr>
        <w:top w:val="none" w:sz="0" w:space="0" w:color="auto"/>
        <w:left w:val="none" w:sz="0" w:space="0" w:color="auto"/>
        <w:bottom w:val="none" w:sz="0" w:space="0" w:color="auto"/>
        <w:right w:val="none" w:sz="0" w:space="0" w:color="auto"/>
      </w:divBdr>
    </w:div>
    <w:div w:id="1339310435">
      <w:bodyDiv w:val="1"/>
      <w:marLeft w:val="0"/>
      <w:marRight w:val="0"/>
      <w:marTop w:val="0"/>
      <w:marBottom w:val="0"/>
      <w:divBdr>
        <w:top w:val="none" w:sz="0" w:space="0" w:color="auto"/>
        <w:left w:val="none" w:sz="0" w:space="0" w:color="auto"/>
        <w:bottom w:val="none" w:sz="0" w:space="0" w:color="auto"/>
        <w:right w:val="none" w:sz="0" w:space="0" w:color="auto"/>
      </w:divBdr>
    </w:div>
    <w:div w:id="1384599721">
      <w:bodyDiv w:val="1"/>
      <w:marLeft w:val="0"/>
      <w:marRight w:val="0"/>
      <w:marTop w:val="0"/>
      <w:marBottom w:val="0"/>
      <w:divBdr>
        <w:top w:val="none" w:sz="0" w:space="0" w:color="auto"/>
        <w:left w:val="none" w:sz="0" w:space="0" w:color="auto"/>
        <w:bottom w:val="none" w:sz="0" w:space="0" w:color="auto"/>
        <w:right w:val="none" w:sz="0" w:space="0" w:color="auto"/>
      </w:divBdr>
    </w:div>
    <w:div w:id="1500850126">
      <w:bodyDiv w:val="1"/>
      <w:marLeft w:val="0"/>
      <w:marRight w:val="0"/>
      <w:marTop w:val="0"/>
      <w:marBottom w:val="0"/>
      <w:divBdr>
        <w:top w:val="none" w:sz="0" w:space="0" w:color="auto"/>
        <w:left w:val="none" w:sz="0" w:space="0" w:color="auto"/>
        <w:bottom w:val="none" w:sz="0" w:space="0" w:color="auto"/>
        <w:right w:val="none" w:sz="0" w:space="0" w:color="auto"/>
      </w:divBdr>
    </w:div>
    <w:div w:id="1539006156">
      <w:bodyDiv w:val="1"/>
      <w:marLeft w:val="0"/>
      <w:marRight w:val="0"/>
      <w:marTop w:val="0"/>
      <w:marBottom w:val="0"/>
      <w:divBdr>
        <w:top w:val="none" w:sz="0" w:space="0" w:color="auto"/>
        <w:left w:val="none" w:sz="0" w:space="0" w:color="auto"/>
        <w:bottom w:val="none" w:sz="0" w:space="0" w:color="auto"/>
        <w:right w:val="none" w:sz="0" w:space="0" w:color="auto"/>
      </w:divBdr>
    </w:div>
    <w:div w:id="1695617114">
      <w:bodyDiv w:val="1"/>
      <w:marLeft w:val="0"/>
      <w:marRight w:val="0"/>
      <w:marTop w:val="0"/>
      <w:marBottom w:val="0"/>
      <w:divBdr>
        <w:top w:val="none" w:sz="0" w:space="0" w:color="auto"/>
        <w:left w:val="none" w:sz="0" w:space="0" w:color="auto"/>
        <w:bottom w:val="none" w:sz="0" w:space="0" w:color="auto"/>
        <w:right w:val="none" w:sz="0" w:space="0" w:color="auto"/>
      </w:divBdr>
    </w:div>
    <w:div w:id="1770151869">
      <w:bodyDiv w:val="1"/>
      <w:marLeft w:val="0"/>
      <w:marRight w:val="0"/>
      <w:marTop w:val="0"/>
      <w:marBottom w:val="0"/>
      <w:divBdr>
        <w:top w:val="none" w:sz="0" w:space="0" w:color="auto"/>
        <w:left w:val="none" w:sz="0" w:space="0" w:color="auto"/>
        <w:bottom w:val="none" w:sz="0" w:space="0" w:color="auto"/>
        <w:right w:val="none" w:sz="0" w:space="0" w:color="auto"/>
      </w:divBdr>
    </w:div>
    <w:div w:id="1888444505">
      <w:bodyDiv w:val="1"/>
      <w:marLeft w:val="0"/>
      <w:marRight w:val="0"/>
      <w:marTop w:val="0"/>
      <w:marBottom w:val="0"/>
      <w:divBdr>
        <w:top w:val="none" w:sz="0" w:space="0" w:color="auto"/>
        <w:left w:val="none" w:sz="0" w:space="0" w:color="auto"/>
        <w:bottom w:val="none" w:sz="0" w:space="0" w:color="auto"/>
        <w:right w:val="none" w:sz="0" w:space="0" w:color="auto"/>
      </w:divBdr>
    </w:div>
    <w:div w:id="1918245076">
      <w:bodyDiv w:val="1"/>
      <w:marLeft w:val="0"/>
      <w:marRight w:val="0"/>
      <w:marTop w:val="0"/>
      <w:marBottom w:val="0"/>
      <w:divBdr>
        <w:top w:val="none" w:sz="0" w:space="0" w:color="auto"/>
        <w:left w:val="none" w:sz="0" w:space="0" w:color="auto"/>
        <w:bottom w:val="none" w:sz="0" w:space="0" w:color="auto"/>
        <w:right w:val="none" w:sz="0" w:space="0" w:color="auto"/>
      </w:divBdr>
    </w:div>
    <w:div w:id="201171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Salvinija.Motiejausk\Desktop\2020%20derinimas%20maitinim%20l&#279;su.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oleObject" Target="Knyga1"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ilona.cingiene\Desktop\Tinklas_20\Tinklas_skai&#269;iuokle.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6906667616054575E-2"/>
          <c:y val="0.13160911840767098"/>
          <c:w val="0.93500749261257698"/>
          <c:h val="0.63625590254375652"/>
        </c:manualLayout>
      </c:layout>
      <c:lineChart>
        <c:grouping val="standard"/>
        <c:varyColors val="0"/>
        <c:ser>
          <c:idx val="0"/>
          <c:order val="0"/>
          <c:tx>
            <c:strRef>
              <c:f>Lakštas2!$F$28</c:f>
              <c:strCache>
                <c:ptCount val="1"/>
                <c:pt idx="0">
                  <c:v>gimusių vaikų skaičius</c:v>
                </c:pt>
              </c:strCache>
            </c:strRef>
          </c:tx>
          <c:spPr>
            <a:ln w="28575" cap="rnd">
              <a:solidFill>
                <a:schemeClr val="accent1"/>
              </a:solidFill>
              <a:round/>
            </a:ln>
            <a:effectLst/>
          </c:spPr>
          <c:marker>
            <c:symbol val="none"/>
          </c:marker>
          <c:cat>
            <c:numRef>
              <c:f>Lakštas2!$E$29:$E$40</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Lakštas2!$F$29:$F$40</c:f>
              <c:numCache>
                <c:formatCode>General</c:formatCode>
                <c:ptCount val="12"/>
                <c:pt idx="0">
                  <c:v>389</c:v>
                </c:pt>
                <c:pt idx="1">
                  <c:v>379</c:v>
                </c:pt>
                <c:pt idx="2">
                  <c:v>383</c:v>
                </c:pt>
                <c:pt idx="3">
                  <c:v>334</c:v>
                </c:pt>
                <c:pt idx="4">
                  <c:v>346</c:v>
                </c:pt>
                <c:pt idx="5">
                  <c:v>307</c:v>
                </c:pt>
              </c:numCache>
            </c:numRef>
          </c:val>
          <c:smooth val="0"/>
        </c:ser>
        <c:ser>
          <c:idx val="1"/>
          <c:order val="1"/>
          <c:tx>
            <c:strRef>
              <c:f>Lakštas2!$G$28</c:f>
              <c:strCache>
                <c:ptCount val="1"/>
                <c:pt idx="0">
                  <c:v>pirmokų skaičius</c:v>
                </c:pt>
              </c:strCache>
            </c:strRef>
          </c:tx>
          <c:spPr>
            <a:ln w="28575" cap="rnd">
              <a:solidFill>
                <a:schemeClr val="accent2"/>
              </a:solidFill>
              <a:round/>
            </a:ln>
            <a:effectLst/>
          </c:spPr>
          <c:marker>
            <c:symbol val="none"/>
          </c:marker>
          <c:cat>
            <c:numRef>
              <c:f>Lakštas2!$E$29:$E$40</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Lakštas2!$G$29:$G$40</c:f>
              <c:numCache>
                <c:formatCode>General</c:formatCode>
                <c:ptCount val="12"/>
                <c:pt idx="3">
                  <c:v>269</c:v>
                </c:pt>
                <c:pt idx="4">
                  <c:v>237</c:v>
                </c:pt>
                <c:pt idx="5">
                  <c:v>271</c:v>
                </c:pt>
                <c:pt idx="6">
                  <c:v>264</c:v>
                </c:pt>
                <c:pt idx="7">
                  <c:v>275</c:v>
                </c:pt>
                <c:pt idx="8">
                  <c:v>267</c:v>
                </c:pt>
                <c:pt idx="9">
                  <c:v>236</c:v>
                </c:pt>
                <c:pt idx="10">
                  <c:v>244</c:v>
                </c:pt>
                <c:pt idx="11">
                  <c:v>217</c:v>
                </c:pt>
              </c:numCache>
            </c:numRef>
          </c:val>
          <c:smooth val="0"/>
        </c:ser>
        <c:dLbls>
          <c:showLegendKey val="0"/>
          <c:showVal val="0"/>
          <c:showCatName val="0"/>
          <c:showSerName val="0"/>
          <c:showPercent val="0"/>
          <c:showBubbleSize val="0"/>
        </c:dLbls>
        <c:smooth val="0"/>
        <c:axId val="418296760"/>
        <c:axId val="418297152"/>
      </c:lineChart>
      <c:catAx>
        <c:axId val="418296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8297152"/>
        <c:crosses val="autoZero"/>
        <c:auto val="1"/>
        <c:lblAlgn val="ctr"/>
        <c:lblOffset val="100"/>
        <c:noMultiLvlLbl val="0"/>
      </c:catAx>
      <c:valAx>
        <c:axId val="418297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8296760"/>
        <c:crosses val="autoZero"/>
        <c:crossBetween val="between"/>
      </c:valAx>
      <c:spPr>
        <a:noFill/>
        <a:ln>
          <a:solidFill>
            <a:srgbClr val="002060"/>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Įvertinimų 100 proc.</a:t>
            </a:r>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VBE!$C$50:$C$55</c:f>
              <c:numCache>
                <c:formatCode>General</c:formatCode>
                <c:ptCount val="6"/>
                <c:pt idx="0">
                  <c:v>2015</c:v>
                </c:pt>
                <c:pt idx="1">
                  <c:v>2016</c:v>
                </c:pt>
                <c:pt idx="2">
                  <c:v>2017</c:v>
                </c:pt>
                <c:pt idx="3">
                  <c:v>2018</c:v>
                </c:pt>
                <c:pt idx="4">
                  <c:v>2019</c:v>
                </c:pt>
                <c:pt idx="5">
                  <c:v>2020</c:v>
                </c:pt>
              </c:numCache>
            </c:numRef>
          </c:xVal>
          <c:yVal>
            <c:numRef>
              <c:f>VBE!$D$50:$D$55</c:f>
              <c:numCache>
                <c:formatCode>General</c:formatCode>
                <c:ptCount val="6"/>
                <c:pt idx="0">
                  <c:v>1</c:v>
                </c:pt>
                <c:pt idx="1">
                  <c:v>1.5</c:v>
                </c:pt>
                <c:pt idx="2">
                  <c:v>0.5</c:v>
                </c:pt>
                <c:pt idx="3">
                  <c:v>2.5</c:v>
                </c:pt>
                <c:pt idx="4">
                  <c:v>1.4</c:v>
                </c:pt>
                <c:pt idx="5">
                  <c:v>4.7</c:v>
                </c:pt>
              </c:numCache>
            </c:numRef>
          </c:yVal>
          <c:smooth val="0"/>
        </c:ser>
        <c:dLbls>
          <c:showLegendKey val="0"/>
          <c:showVal val="1"/>
          <c:showCatName val="0"/>
          <c:showSerName val="0"/>
          <c:showPercent val="0"/>
          <c:showBubbleSize val="0"/>
        </c:dLbls>
        <c:axId val="475276544"/>
        <c:axId val="475270272"/>
      </c:scatterChart>
      <c:valAx>
        <c:axId val="475276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270272"/>
        <c:crosses val="autoZero"/>
        <c:crossBetween val="midCat"/>
      </c:valAx>
      <c:valAx>
        <c:axId val="47527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2765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Išlaikytų VBE proc.</a:t>
            </a:r>
          </a:p>
        </c:rich>
      </c:tx>
      <c:overlay val="0"/>
      <c:spPr>
        <a:noFill/>
        <a:ln>
          <a:noFill/>
        </a:ln>
        <a:effectLst/>
      </c:spPr>
    </c:title>
    <c:autoTitleDeleted val="0"/>
    <c:plotArea>
      <c:layout/>
      <c:barChart>
        <c:barDir val="col"/>
        <c:grouping val="clustered"/>
        <c:varyColors val="0"/>
        <c:ser>
          <c:idx val="0"/>
          <c:order val="0"/>
          <c:tx>
            <c:strRef>
              <c:f>VBE!$D$41</c:f>
              <c:strCache>
                <c:ptCount val="1"/>
                <c:pt idx="0">
                  <c:v>Panevėžio r.</c:v>
                </c:pt>
              </c:strCache>
            </c:strRef>
          </c:tx>
          <c:spPr>
            <a:solidFill>
              <a:schemeClr val="accent1"/>
            </a:solidFill>
            <a:ln>
              <a:noFill/>
            </a:ln>
            <a:effectLst/>
          </c:spPr>
          <c:invertIfNegative val="0"/>
          <c:cat>
            <c:strRef>
              <c:f>VBE!$B$42:$C$47</c:f>
              <c:strCache>
                <c:ptCount val="6"/>
                <c:pt idx="0">
                  <c:v>2015</c:v>
                </c:pt>
                <c:pt idx="1">
                  <c:v>2016</c:v>
                </c:pt>
                <c:pt idx="2">
                  <c:v>2017</c:v>
                </c:pt>
                <c:pt idx="3">
                  <c:v>2018</c:v>
                </c:pt>
                <c:pt idx="4">
                  <c:v>2019</c:v>
                </c:pt>
                <c:pt idx="5">
                  <c:v>2020</c:v>
                </c:pt>
              </c:strCache>
            </c:strRef>
          </c:cat>
          <c:val>
            <c:numRef>
              <c:f>VBE!$D$42:$D$47</c:f>
              <c:numCache>
                <c:formatCode>General</c:formatCode>
                <c:ptCount val="6"/>
                <c:pt idx="0">
                  <c:v>92.4</c:v>
                </c:pt>
                <c:pt idx="1">
                  <c:v>90</c:v>
                </c:pt>
                <c:pt idx="2">
                  <c:v>94.6</c:v>
                </c:pt>
                <c:pt idx="3">
                  <c:v>92.7</c:v>
                </c:pt>
                <c:pt idx="4">
                  <c:v>92.6</c:v>
                </c:pt>
                <c:pt idx="5">
                  <c:v>91</c:v>
                </c:pt>
              </c:numCache>
            </c:numRef>
          </c:val>
        </c:ser>
        <c:ser>
          <c:idx val="1"/>
          <c:order val="1"/>
          <c:tx>
            <c:strRef>
              <c:f>VBE!$E$41</c:f>
              <c:strCache>
                <c:ptCount val="1"/>
                <c:pt idx="0">
                  <c:v>Visa Lietuva</c:v>
                </c:pt>
              </c:strCache>
            </c:strRef>
          </c:tx>
          <c:spPr>
            <a:solidFill>
              <a:schemeClr val="accent2"/>
            </a:solidFill>
            <a:ln>
              <a:noFill/>
            </a:ln>
            <a:effectLst/>
          </c:spPr>
          <c:invertIfNegative val="0"/>
          <c:cat>
            <c:strRef>
              <c:f>VBE!$B$42:$C$47</c:f>
              <c:strCache>
                <c:ptCount val="6"/>
                <c:pt idx="0">
                  <c:v>2015</c:v>
                </c:pt>
                <c:pt idx="1">
                  <c:v>2016</c:v>
                </c:pt>
                <c:pt idx="2">
                  <c:v>2017</c:v>
                </c:pt>
                <c:pt idx="3">
                  <c:v>2018</c:v>
                </c:pt>
                <c:pt idx="4">
                  <c:v>2019</c:v>
                </c:pt>
                <c:pt idx="5">
                  <c:v>2020</c:v>
                </c:pt>
              </c:strCache>
            </c:strRef>
          </c:cat>
          <c:val>
            <c:numRef>
              <c:f>VBE!$E$42:$E$47</c:f>
              <c:numCache>
                <c:formatCode>General</c:formatCode>
                <c:ptCount val="6"/>
                <c:pt idx="0">
                  <c:v>95.2</c:v>
                </c:pt>
                <c:pt idx="1">
                  <c:v>94.3</c:v>
                </c:pt>
                <c:pt idx="2">
                  <c:v>95.4</c:v>
                </c:pt>
                <c:pt idx="3">
                  <c:v>94.3</c:v>
                </c:pt>
                <c:pt idx="4">
                  <c:v>92.7</c:v>
                </c:pt>
                <c:pt idx="5">
                  <c:v>93.6</c:v>
                </c:pt>
              </c:numCache>
            </c:numRef>
          </c:val>
        </c:ser>
        <c:dLbls>
          <c:showLegendKey val="0"/>
          <c:showVal val="0"/>
          <c:showCatName val="0"/>
          <c:showSerName val="0"/>
          <c:showPercent val="0"/>
          <c:showBubbleSize val="0"/>
        </c:dLbls>
        <c:gapWidth val="219"/>
        <c:overlap val="-27"/>
        <c:axId val="475268704"/>
        <c:axId val="475272624"/>
      </c:barChart>
      <c:catAx>
        <c:axId val="47526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272624"/>
        <c:crosses val="autoZero"/>
        <c:auto val="1"/>
        <c:lblAlgn val="ctr"/>
        <c:lblOffset val="100"/>
        <c:noMultiLvlLbl val="0"/>
      </c:catAx>
      <c:valAx>
        <c:axId val="475272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268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Įvertinimų 86-100 proc.</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tx>
            <c:strRef>
              <c:f>VBE!$D$34</c:f>
              <c:strCache>
                <c:ptCount val="1"/>
                <c:pt idx="0">
                  <c:v>Panevėžio r.</c:v>
                </c:pt>
              </c:strCache>
            </c:strRef>
          </c:tx>
          <c:spPr>
            <a:solidFill>
              <a:schemeClr val="accent1"/>
            </a:solidFill>
            <a:ln>
              <a:noFill/>
            </a:ln>
            <a:effectLst/>
            <a:sp3d/>
          </c:spPr>
          <c:cat>
            <c:strRef>
              <c:f>VBE!$B$35:$C$40</c:f>
              <c:strCache>
                <c:ptCount val="6"/>
                <c:pt idx="0">
                  <c:v>2015</c:v>
                </c:pt>
                <c:pt idx="1">
                  <c:v>2016</c:v>
                </c:pt>
                <c:pt idx="2">
                  <c:v>2017</c:v>
                </c:pt>
                <c:pt idx="3">
                  <c:v>2018</c:v>
                </c:pt>
                <c:pt idx="4">
                  <c:v>2019</c:v>
                </c:pt>
                <c:pt idx="5">
                  <c:v>2020</c:v>
                </c:pt>
              </c:strCache>
            </c:strRef>
          </c:cat>
          <c:val>
            <c:numRef>
              <c:f>VBE!$D$35:$D$40</c:f>
              <c:numCache>
                <c:formatCode>General</c:formatCode>
                <c:ptCount val="6"/>
                <c:pt idx="0">
                  <c:v>9.2000000000000011</c:v>
                </c:pt>
                <c:pt idx="1">
                  <c:v>6.2</c:v>
                </c:pt>
                <c:pt idx="2">
                  <c:v>6.5</c:v>
                </c:pt>
                <c:pt idx="3">
                  <c:v>9.9</c:v>
                </c:pt>
                <c:pt idx="4">
                  <c:v>6.2</c:v>
                </c:pt>
                <c:pt idx="5">
                  <c:v>12.1</c:v>
                </c:pt>
              </c:numCache>
            </c:numRef>
          </c:val>
        </c:ser>
        <c:ser>
          <c:idx val="1"/>
          <c:order val="1"/>
          <c:tx>
            <c:strRef>
              <c:f>VBE!$E$34</c:f>
              <c:strCache>
                <c:ptCount val="1"/>
                <c:pt idx="0">
                  <c:v>Visa Lietuva</c:v>
                </c:pt>
              </c:strCache>
            </c:strRef>
          </c:tx>
          <c:spPr>
            <a:solidFill>
              <a:schemeClr val="accent2"/>
            </a:solidFill>
            <a:ln>
              <a:noFill/>
            </a:ln>
            <a:effectLst/>
            <a:sp3d/>
          </c:spPr>
          <c:cat>
            <c:strRef>
              <c:f>VBE!$B$35:$C$40</c:f>
              <c:strCache>
                <c:ptCount val="6"/>
                <c:pt idx="0">
                  <c:v>2015</c:v>
                </c:pt>
                <c:pt idx="1">
                  <c:v>2016</c:v>
                </c:pt>
                <c:pt idx="2">
                  <c:v>2017</c:v>
                </c:pt>
                <c:pt idx="3">
                  <c:v>2018</c:v>
                </c:pt>
                <c:pt idx="4">
                  <c:v>2019</c:v>
                </c:pt>
                <c:pt idx="5">
                  <c:v>2020</c:v>
                </c:pt>
              </c:strCache>
            </c:strRef>
          </c:cat>
          <c:val>
            <c:numRef>
              <c:f>VBE!$E$35:$E$40</c:f>
              <c:numCache>
                <c:formatCode>General</c:formatCode>
                <c:ptCount val="6"/>
                <c:pt idx="0">
                  <c:v>15.8</c:v>
                </c:pt>
                <c:pt idx="1">
                  <c:v>14.5</c:v>
                </c:pt>
                <c:pt idx="2">
                  <c:v>16.399999999999999</c:v>
                </c:pt>
                <c:pt idx="3">
                  <c:v>17.7</c:v>
                </c:pt>
                <c:pt idx="4">
                  <c:v>16.899999999999999</c:v>
                </c:pt>
                <c:pt idx="5">
                  <c:v>19.2</c:v>
                </c:pt>
              </c:numCache>
            </c:numRef>
          </c:val>
        </c:ser>
        <c:dLbls>
          <c:showLegendKey val="0"/>
          <c:showVal val="0"/>
          <c:showCatName val="0"/>
          <c:showSerName val="0"/>
          <c:showPercent val="0"/>
          <c:showBubbleSize val="0"/>
        </c:dLbls>
        <c:axId val="475277328"/>
        <c:axId val="475271056"/>
        <c:axId val="424248768"/>
      </c:area3DChart>
      <c:catAx>
        <c:axId val="4752773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271056"/>
        <c:crosses val="autoZero"/>
        <c:auto val="1"/>
        <c:lblAlgn val="ctr"/>
        <c:lblOffset val="100"/>
        <c:noMultiLvlLbl val="0"/>
      </c:catAx>
      <c:valAx>
        <c:axId val="475271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277328"/>
        <c:crosses val="autoZero"/>
        <c:crossBetween val="midCat"/>
      </c:valAx>
      <c:serAx>
        <c:axId val="424248768"/>
        <c:scaling>
          <c:orientation val="minMax"/>
        </c:scaling>
        <c:delete val="1"/>
        <c:axPos val="b"/>
        <c:majorTickMark val="out"/>
        <c:minorTickMark val="none"/>
        <c:tickLblPos val="none"/>
        <c:crossAx val="475271056"/>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a:t>VBE išlaikymo procentas</a:t>
            </a:r>
          </a:p>
        </c:rich>
      </c:tx>
      <c:overlay val="0"/>
      <c:spPr>
        <a:noFill/>
        <a:ln>
          <a:noFill/>
        </a:ln>
        <a:effectLst/>
      </c:spPr>
    </c:title>
    <c:autoTitleDeleted val="0"/>
    <c:plotArea>
      <c:layout>
        <c:manualLayout>
          <c:layoutTarget val="inner"/>
          <c:xMode val="edge"/>
          <c:yMode val="edge"/>
          <c:x val="0.11351281182028992"/>
          <c:y val="9.2434761099888713E-2"/>
          <c:w val="0.86110542983594029"/>
          <c:h val="0.87580560937736185"/>
        </c:manualLayout>
      </c:layout>
      <c:barChart>
        <c:barDir val="bar"/>
        <c:grouping val="stacked"/>
        <c:varyColors val="0"/>
        <c:ser>
          <c:idx val="0"/>
          <c:order val="0"/>
          <c:tx>
            <c:strRef>
              <c:f>VBE!$D$2</c:f>
              <c:strCache>
                <c:ptCount val="1"/>
                <c:pt idx="0">
                  <c:v>Panevėžio 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VBE!$B$3:$C$26</c:f>
              <c:multiLvlStrCache>
                <c:ptCount val="24"/>
                <c:lvl>
                  <c:pt idx="0">
                    <c:v>2015</c:v>
                  </c:pt>
                  <c:pt idx="1">
                    <c:v>2016</c:v>
                  </c:pt>
                  <c:pt idx="2">
                    <c:v>2017</c:v>
                  </c:pt>
                  <c:pt idx="3">
                    <c:v>2018</c:v>
                  </c:pt>
                  <c:pt idx="4">
                    <c:v>2019</c:v>
                  </c:pt>
                  <c:pt idx="5">
                    <c:v>2020</c:v>
                  </c:pt>
                  <c:pt idx="6">
                    <c:v>2015</c:v>
                  </c:pt>
                  <c:pt idx="7">
                    <c:v>2016</c:v>
                  </c:pt>
                  <c:pt idx="8">
                    <c:v>2017</c:v>
                  </c:pt>
                  <c:pt idx="9">
                    <c:v>2018</c:v>
                  </c:pt>
                  <c:pt idx="10">
                    <c:v>2019</c:v>
                  </c:pt>
                  <c:pt idx="11">
                    <c:v>2020</c:v>
                  </c:pt>
                  <c:pt idx="12">
                    <c:v>2015</c:v>
                  </c:pt>
                  <c:pt idx="13">
                    <c:v>2016</c:v>
                  </c:pt>
                  <c:pt idx="14">
                    <c:v>2017</c:v>
                  </c:pt>
                  <c:pt idx="15">
                    <c:v>2018</c:v>
                  </c:pt>
                  <c:pt idx="16">
                    <c:v>2019</c:v>
                  </c:pt>
                  <c:pt idx="17">
                    <c:v>2020</c:v>
                  </c:pt>
                  <c:pt idx="18">
                    <c:v>2015</c:v>
                  </c:pt>
                  <c:pt idx="19">
                    <c:v>2016</c:v>
                  </c:pt>
                  <c:pt idx="20">
                    <c:v>2017</c:v>
                  </c:pt>
                  <c:pt idx="21">
                    <c:v>2018</c:v>
                  </c:pt>
                  <c:pt idx="22">
                    <c:v>2019</c:v>
                  </c:pt>
                  <c:pt idx="23">
                    <c:v>2020</c:v>
                  </c:pt>
                </c:lvl>
                <c:lvl>
                  <c:pt idx="0">
                    <c:v>Lietuvių kalba ir literatūra</c:v>
                  </c:pt>
                  <c:pt idx="6">
                    <c:v>Matematika</c:v>
                  </c:pt>
                  <c:pt idx="12">
                    <c:v>Anglų k.</c:v>
                  </c:pt>
                  <c:pt idx="18">
                    <c:v>Istorija</c:v>
                  </c:pt>
                </c:lvl>
              </c:multiLvlStrCache>
            </c:multiLvlStrRef>
          </c:cat>
          <c:val>
            <c:numRef>
              <c:f>VBE!$D$3:$D$26</c:f>
              <c:numCache>
                <c:formatCode>General</c:formatCode>
                <c:ptCount val="24"/>
                <c:pt idx="0">
                  <c:v>84.2</c:v>
                </c:pt>
                <c:pt idx="1">
                  <c:v>81.3</c:v>
                </c:pt>
                <c:pt idx="2">
                  <c:v>85.1</c:v>
                </c:pt>
                <c:pt idx="3">
                  <c:v>85.5</c:v>
                </c:pt>
                <c:pt idx="4">
                  <c:v>90.9</c:v>
                </c:pt>
                <c:pt idx="5">
                  <c:v>88.9</c:v>
                </c:pt>
                <c:pt idx="6">
                  <c:v>80</c:v>
                </c:pt>
                <c:pt idx="7">
                  <c:v>86.1</c:v>
                </c:pt>
                <c:pt idx="8">
                  <c:v>93.4</c:v>
                </c:pt>
                <c:pt idx="9">
                  <c:v>88.5</c:v>
                </c:pt>
                <c:pt idx="10">
                  <c:v>76.8</c:v>
                </c:pt>
                <c:pt idx="11">
                  <c:v>74</c:v>
                </c:pt>
                <c:pt idx="12">
                  <c:v>98.5</c:v>
                </c:pt>
                <c:pt idx="13">
                  <c:v>91.7</c:v>
                </c:pt>
                <c:pt idx="14">
                  <c:v>100</c:v>
                </c:pt>
                <c:pt idx="15">
                  <c:v>100</c:v>
                </c:pt>
                <c:pt idx="16">
                  <c:v>98.3</c:v>
                </c:pt>
                <c:pt idx="17">
                  <c:v>100</c:v>
                </c:pt>
                <c:pt idx="18">
                  <c:v>100</c:v>
                </c:pt>
                <c:pt idx="19">
                  <c:v>98.3</c:v>
                </c:pt>
                <c:pt idx="20">
                  <c:v>95.3</c:v>
                </c:pt>
                <c:pt idx="21">
                  <c:v>88.3</c:v>
                </c:pt>
                <c:pt idx="22">
                  <c:v>100</c:v>
                </c:pt>
                <c:pt idx="23">
                  <c:v>97.2</c:v>
                </c:pt>
              </c:numCache>
            </c:numRef>
          </c:val>
        </c:ser>
        <c:ser>
          <c:idx val="1"/>
          <c:order val="1"/>
          <c:tx>
            <c:strRef>
              <c:f>VBE!$E$2</c:f>
              <c:strCache>
                <c:ptCount val="1"/>
                <c:pt idx="0">
                  <c:v>Lietuva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VBE!$B$3:$C$26</c:f>
              <c:multiLvlStrCache>
                <c:ptCount val="24"/>
                <c:lvl>
                  <c:pt idx="0">
                    <c:v>2015</c:v>
                  </c:pt>
                  <c:pt idx="1">
                    <c:v>2016</c:v>
                  </c:pt>
                  <c:pt idx="2">
                    <c:v>2017</c:v>
                  </c:pt>
                  <c:pt idx="3">
                    <c:v>2018</c:v>
                  </c:pt>
                  <c:pt idx="4">
                    <c:v>2019</c:v>
                  </c:pt>
                  <c:pt idx="5">
                    <c:v>2020</c:v>
                  </c:pt>
                  <c:pt idx="6">
                    <c:v>2015</c:v>
                  </c:pt>
                  <c:pt idx="7">
                    <c:v>2016</c:v>
                  </c:pt>
                  <c:pt idx="8">
                    <c:v>2017</c:v>
                  </c:pt>
                  <c:pt idx="9">
                    <c:v>2018</c:v>
                  </c:pt>
                  <c:pt idx="10">
                    <c:v>2019</c:v>
                  </c:pt>
                  <c:pt idx="11">
                    <c:v>2020</c:v>
                  </c:pt>
                  <c:pt idx="12">
                    <c:v>2015</c:v>
                  </c:pt>
                  <c:pt idx="13">
                    <c:v>2016</c:v>
                  </c:pt>
                  <c:pt idx="14">
                    <c:v>2017</c:v>
                  </c:pt>
                  <c:pt idx="15">
                    <c:v>2018</c:v>
                  </c:pt>
                  <c:pt idx="16">
                    <c:v>2019</c:v>
                  </c:pt>
                  <c:pt idx="17">
                    <c:v>2020</c:v>
                  </c:pt>
                  <c:pt idx="18">
                    <c:v>2015</c:v>
                  </c:pt>
                  <c:pt idx="19">
                    <c:v>2016</c:v>
                  </c:pt>
                  <c:pt idx="20">
                    <c:v>2017</c:v>
                  </c:pt>
                  <c:pt idx="21">
                    <c:v>2018</c:v>
                  </c:pt>
                  <c:pt idx="22">
                    <c:v>2019</c:v>
                  </c:pt>
                  <c:pt idx="23">
                    <c:v>2020</c:v>
                  </c:pt>
                </c:lvl>
                <c:lvl>
                  <c:pt idx="0">
                    <c:v>Lietuvių kalba ir literatūra</c:v>
                  </c:pt>
                  <c:pt idx="6">
                    <c:v>Matematika</c:v>
                  </c:pt>
                  <c:pt idx="12">
                    <c:v>Anglų k.</c:v>
                  </c:pt>
                  <c:pt idx="18">
                    <c:v>Istorija</c:v>
                  </c:pt>
                </c:lvl>
              </c:multiLvlStrCache>
            </c:multiLvlStrRef>
          </c:cat>
          <c:val>
            <c:numRef>
              <c:f>VBE!$E$3:$E$26</c:f>
              <c:numCache>
                <c:formatCode>General</c:formatCode>
                <c:ptCount val="24"/>
                <c:pt idx="0">
                  <c:v>89.9</c:v>
                </c:pt>
                <c:pt idx="1">
                  <c:v>90</c:v>
                </c:pt>
                <c:pt idx="2">
                  <c:v>89</c:v>
                </c:pt>
                <c:pt idx="3">
                  <c:v>91.3</c:v>
                </c:pt>
                <c:pt idx="4">
                  <c:v>90.6</c:v>
                </c:pt>
                <c:pt idx="5">
                  <c:v>89.2</c:v>
                </c:pt>
                <c:pt idx="6">
                  <c:v>90.7</c:v>
                </c:pt>
                <c:pt idx="7">
                  <c:v>89.5</c:v>
                </c:pt>
                <c:pt idx="8">
                  <c:v>94.4</c:v>
                </c:pt>
                <c:pt idx="9">
                  <c:v>87.2</c:v>
                </c:pt>
                <c:pt idx="10">
                  <c:v>82.1</c:v>
                </c:pt>
                <c:pt idx="11">
                  <c:v>67</c:v>
                </c:pt>
                <c:pt idx="12">
                  <c:v>99.7</c:v>
                </c:pt>
                <c:pt idx="13">
                  <c:v>97.9</c:v>
                </c:pt>
                <c:pt idx="14">
                  <c:v>98.5</c:v>
                </c:pt>
                <c:pt idx="15">
                  <c:v>99.3</c:v>
                </c:pt>
                <c:pt idx="16">
                  <c:v>97.9</c:v>
                </c:pt>
                <c:pt idx="17">
                  <c:v>99</c:v>
                </c:pt>
                <c:pt idx="18">
                  <c:v>99.5</c:v>
                </c:pt>
                <c:pt idx="19">
                  <c:v>98.4</c:v>
                </c:pt>
                <c:pt idx="20">
                  <c:v>98.1</c:v>
                </c:pt>
                <c:pt idx="21">
                  <c:v>95.3</c:v>
                </c:pt>
                <c:pt idx="22">
                  <c:v>98.7</c:v>
                </c:pt>
                <c:pt idx="23">
                  <c:v>99.8</c:v>
                </c:pt>
              </c:numCache>
            </c:numRef>
          </c:val>
        </c:ser>
        <c:dLbls>
          <c:showLegendKey val="0"/>
          <c:showVal val="1"/>
          <c:showCatName val="0"/>
          <c:showSerName val="0"/>
          <c:showPercent val="0"/>
          <c:showBubbleSize val="0"/>
        </c:dLbls>
        <c:gapWidth val="79"/>
        <c:overlap val="100"/>
        <c:axId val="475273408"/>
        <c:axId val="475274584"/>
      </c:barChart>
      <c:catAx>
        <c:axId val="47527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475274584"/>
        <c:crosses val="autoZero"/>
        <c:auto val="1"/>
        <c:lblAlgn val="ctr"/>
        <c:lblOffset val="100"/>
        <c:noMultiLvlLbl val="0"/>
      </c:catAx>
      <c:valAx>
        <c:axId val="475274584"/>
        <c:scaling>
          <c:orientation val="minMax"/>
        </c:scaling>
        <c:delete val="1"/>
        <c:axPos val="b"/>
        <c:numFmt formatCode="General" sourceLinked="1"/>
        <c:majorTickMark val="none"/>
        <c:minorTickMark val="none"/>
        <c:tickLblPos val="none"/>
        <c:crossAx val="475273408"/>
        <c:crosses val="autoZero"/>
        <c:crossBetween val="between"/>
      </c:valAx>
      <c:spPr>
        <a:noFill/>
        <a:ln>
          <a:noFill/>
        </a:ln>
        <a:effectLst/>
      </c:spPr>
    </c:plotArea>
    <c:legend>
      <c:legendPos val="t"/>
      <c:layout>
        <c:manualLayout>
          <c:xMode val="edge"/>
          <c:yMode val="edge"/>
          <c:x val="0.41636089843608282"/>
          <c:y val="5.1535776614310642E-2"/>
          <c:w val="0.17803089129987784"/>
          <c:h val="3.81764713965727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42011634510706E-2"/>
          <c:y val="0.25573780138649671"/>
          <c:w val="0.93005801680989131"/>
          <c:h val="0.58534314358246065"/>
        </c:manualLayout>
      </c:layout>
      <c:lineChart>
        <c:grouping val="standard"/>
        <c:varyColors val="0"/>
        <c:ser>
          <c:idx val="0"/>
          <c:order val="0"/>
          <c:tx>
            <c:strRef>
              <c:f>Lapas1!$B$1</c:f>
              <c:strCache>
                <c:ptCount val="1"/>
                <c:pt idx="0">
                  <c:v>1 seka</c:v>
                </c:pt>
              </c:strCache>
            </c:strRef>
          </c:tx>
          <c:spPr>
            <a:ln w="33750" cap="rnd">
              <a:solidFill>
                <a:schemeClr val="accent1"/>
              </a:solidFill>
              <a:round/>
            </a:ln>
            <a:effectLst/>
          </c:spPr>
          <c:marker>
            <c:symbol val="none"/>
          </c:marker>
          <c:cat>
            <c:strRef>
              <c:f>Lapas1!$A$2:$A$6</c:f>
              <c:strCache>
                <c:ptCount val="5"/>
                <c:pt idx="0">
                  <c:v>2016 m.</c:v>
                </c:pt>
                <c:pt idx="1">
                  <c:v>2017 m.</c:v>
                </c:pt>
                <c:pt idx="2">
                  <c:v>2018 m.</c:v>
                </c:pt>
                <c:pt idx="3">
                  <c:v>2019 m.</c:v>
                </c:pt>
                <c:pt idx="4">
                  <c:v>2020 m.</c:v>
                </c:pt>
              </c:strCache>
            </c:strRef>
          </c:cat>
          <c:val>
            <c:numRef>
              <c:f>Lapas1!$B$2:$B$6</c:f>
              <c:numCache>
                <c:formatCode>General</c:formatCode>
                <c:ptCount val="5"/>
                <c:pt idx="0">
                  <c:v>1783</c:v>
                </c:pt>
                <c:pt idx="1">
                  <c:v>1841</c:v>
                </c:pt>
                <c:pt idx="2">
                  <c:v>1784</c:v>
                </c:pt>
                <c:pt idx="3">
                  <c:v>1788</c:v>
                </c:pt>
                <c:pt idx="4">
                  <c:v>1821</c:v>
                </c:pt>
              </c:numCache>
            </c:numRef>
          </c:val>
          <c:smooth val="0"/>
        </c:ser>
        <c:ser>
          <c:idx val="1"/>
          <c:order val="1"/>
          <c:tx>
            <c:strRef>
              <c:f>Lapas1!$C$1</c:f>
              <c:strCache>
                <c:ptCount val="1"/>
                <c:pt idx="0">
                  <c:v>Stulpelis1</c:v>
                </c:pt>
              </c:strCache>
            </c:strRef>
          </c:tx>
          <c:spPr>
            <a:ln w="33750" cap="rnd">
              <a:solidFill>
                <a:schemeClr val="accent2"/>
              </a:solidFill>
              <a:round/>
            </a:ln>
            <a:effectLst/>
          </c:spPr>
          <c:marker>
            <c:symbol val="none"/>
          </c:marker>
          <c:cat>
            <c:strRef>
              <c:f>Lapas1!$A$2:$A$6</c:f>
              <c:strCache>
                <c:ptCount val="5"/>
                <c:pt idx="0">
                  <c:v>2016 m.</c:v>
                </c:pt>
                <c:pt idx="1">
                  <c:v>2017 m.</c:v>
                </c:pt>
                <c:pt idx="2">
                  <c:v>2018 m.</c:v>
                </c:pt>
                <c:pt idx="3">
                  <c:v>2019 m.</c:v>
                </c:pt>
                <c:pt idx="4">
                  <c:v>2020 m.</c:v>
                </c:pt>
              </c:strCache>
            </c:strRef>
          </c:cat>
          <c:val>
            <c:numRef>
              <c:f>Lapas1!$C$2:$C$6</c:f>
              <c:numCache>
                <c:formatCode>General</c:formatCode>
                <c:ptCount val="5"/>
              </c:numCache>
            </c:numRef>
          </c:val>
          <c:smooth val="0"/>
        </c:ser>
        <c:ser>
          <c:idx val="2"/>
          <c:order val="2"/>
          <c:tx>
            <c:strRef>
              <c:f>Lapas1!$D$1</c:f>
              <c:strCache>
                <c:ptCount val="1"/>
                <c:pt idx="0">
                  <c:v>Stulpelis2</c:v>
                </c:pt>
              </c:strCache>
            </c:strRef>
          </c:tx>
          <c:spPr>
            <a:ln w="33750" cap="rnd">
              <a:solidFill>
                <a:schemeClr val="accent3"/>
              </a:solidFill>
              <a:round/>
            </a:ln>
            <a:effectLst/>
          </c:spPr>
          <c:marker>
            <c:symbol val="none"/>
          </c:marker>
          <c:cat>
            <c:strRef>
              <c:f>Lapas1!$A$2:$A$6</c:f>
              <c:strCache>
                <c:ptCount val="5"/>
                <c:pt idx="0">
                  <c:v>2016 m.</c:v>
                </c:pt>
                <c:pt idx="1">
                  <c:v>2017 m.</c:v>
                </c:pt>
                <c:pt idx="2">
                  <c:v>2018 m.</c:v>
                </c:pt>
                <c:pt idx="3">
                  <c:v>2019 m.</c:v>
                </c:pt>
                <c:pt idx="4">
                  <c:v>2020 m.</c:v>
                </c:pt>
              </c:strCache>
            </c:strRef>
          </c:cat>
          <c:val>
            <c:numRef>
              <c:f>Lapas1!$D$2:$D$6</c:f>
              <c:numCache>
                <c:formatCode>General</c:formatCode>
                <c:ptCount val="5"/>
              </c:numCache>
            </c:numRef>
          </c:val>
          <c:smooth val="0"/>
        </c:ser>
        <c:dLbls>
          <c:showLegendKey val="0"/>
          <c:showVal val="0"/>
          <c:showCatName val="0"/>
          <c:showSerName val="0"/>
          <c:showPercent val="0"/>
          <c:showBubbleSize val="0"/>
        </c:dLbls>
        <c:smooth val="0"/>
        <c:axId val="418299112"/>
        <c:axId val="427132200"/>
      </c:lineChart>
      <c:catAx>
        <c:axId val="418299112"/>
        <c:scaling>
          <c:orientation val="minMax"/>
        </c:scaling>
        <c:delete val="0"/>
        <c:axPos val="b"/>
        <c:numFmt formatCode="General" sourceLinked="1"/>
        <c:majorTickMark val="none"/>
        <c:minorTickMark val="none"/>
        <c:tickLblPos val="nextTo"/>
        <c:spPr>
          <a:noFill/>
          <a:ln w="11250" cap="flat" cmpd="sng" algn="ctr">
            <a:solidFill>
              <a:schemeClr val="tx1">
                <a:lumMod val="15000"/>
                <a:lumOff val="85000"/>
              </a:schemeClr>
            </a:solidFill>
            <a:round/>
          </a:ln>
          <a:effectLst/>
        </c:spPr>
        <c:txPr>
          <a:bodyPr rot="-60000000" spcFirstLastPara="1" vertOverflow="ellipsis" vert="horz" wrap="square" anchor="ctr" anchorCtr="1"/>
          <a:lstStyle/>
          <a:p>
            <a:pPr>
              <a:defRPr sz="1063"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lt-LT"/>
          </a:p>
        </c:txPr>
        <c:crossAx val="427132200"/>
        <c:crosses val="autoZero"/>
        <c:auto val="1"/>
        <c:lblAlgn val="ctr"/>
        <c:lblOffset val="100"/>
        <c:noMultiLvlLbl val="0"/>
      </c:catAx>
      <c:valAx>
        <c:axId val="427132200"/>
        <c:scaling>
          <c:orientation val="minMax"/>
        </c:scaling>
        <c:delete val="0"/>
        <c:axPos val="l"/>
        <c:majorGridlines>
          <c:spPr>
            <a:ln w="11250" cap="flat" cmpd="sng" algn="ctr">
              <a:solidFill>
                <a:schemeClr val="tx1">
                  <a:lumMod val="15000"/>
                  <a:lumOff val="85000"/>
                </a:schemeClr>
              </a:solidFill>
              <a:round/>
            </a:ln>
            <a:effectLst/>
          </c:spPr>
        </c:majorGridlines>
        <c:numFmt formatCode="General" sourceLinked="1"/>
        <c:majorTickMark val="none"/>
        <c:minorTickMark val="none"/>
        <c:tickLblPos val="nextTo"/>
        <c:spPr>
          <a:ln w="7500">
            <a:noFill/>
          </a:ln>
        </c:spPr>
        <c:txPr>
          <a:bodyPr rot="-60000000" spcFirstLastPara="1" vertOverflow="ellipsis" vert="horz" wrap="square" anchor="ctr" anchorCtr="1"/>
          <a:lstStyle/>
          <a:p>
            <a:pPr>
              <a:defRPr sz="1063"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lt-LT"/>
          </a:p>
        </c:txPr>
        <c:crossAx val="418299112"/>
        <c:crosses val="autoZero"/>
        <c:crossBetween val="between"/>
      </c:valAx>
      <c:spPr>
        <a:noFill/>
        <a:ln w="30000">
          <a:noFill/>
        </a:ln>
      </c:spPr>
    </c:plotArea>
    <c:plotVisOnly val="1"/>
    <c:dispBlanksAs val="gap"/>
    <c:showDLblsOverMax val="0"/>
  </c:chart>
  <c:spPr>
    <a:solidFill>
      <a:schemeClr val="bg1"/>
    </a:solidFill>
    <a:ln w="11250" cap="flat" cmpd="sng" algn="ctr">
      <a:solidFill>
        <a:schemeClr val="tx1"/>
      </a:solidFill>
      <a:round/>
    </a:ln>
    <a:effectLst/>
  </c:spPr>
  <c:txPr>
    <a:bodyPr/>
    <a:lstStyle/>
    <a:p>
      <a:pPr>
        <a:defRPr>
          <a:ln>
            <a:noFill/>
          </a:ln>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Ugdymo įstaigų ir pagalbos institucijų pokyčiai 2015–2020 m.</a:t>
            </a:r>
          </a:p>
        </c:rich>
      </c:tx>
      <c:overlay val="0"/>
      <c:spPr>
        <a:noFill/>
        <a:ln>
          <a:noFill/>
        </a:ln>
        <a:effectLst/>
      </c:spPr>
    </c:title>
    <c:autoTitleDeleted val="0"/>
    <c:plotArea>
      <c:layout>
        <c:manualLayout>
          <c:layoutTarget val="inner"/>
          <c:xMode val="edge"/>
          <c:yMode val="edge"/>
          <c:x val="4.0149302945172057E-2"/>
          <c:y val="0.10306946438325054"/>
          <c:w val="0.94142523641831377"/>
          <c:h val="0.35847778696171323"/>
        </c:manualLayout>
      </c:layout>
      <c:lineChart>
        <c:grouping val="standard"/>
        <c:varyColors val="0"/>
        <c:ser>
          <c:idx val="0"/>
          <c:order val="0"/>
          <c:tx>
            <c:strRef>
              <c:f>Lapas1!$C$2</c:f>
              <c:strCache>
                <c:ptCount val="1"/>
                <c:pt idx="0">
                  <c:v>2015 m.</c:v>
                </c:pt>
              </c:strCache>
            </c:strRef>
          </c:tx>
          <c:spPr>
            <a:ln w="31750" cap="rnd">
              <a:solidFill>
                <a:schemeClr val="accent1">
                  <a:alpha val="85000"/>
                </a:schemeClr>
              </a:solidFill>
              <a:round/>
            </a:ln>
            <a:effectLst/>
          </c:spPr>
          <c:marker>
            <c:symbol val="circle"/>
            <c:size val="6"/>
            <c:spPr>
              <a:solidFill>
                <a:schemeClr val="accent1">
                  <a:alpha val="85000"/>
                </a:schemeClr>
              </a:solidFill>
              <a:ln>
                <a:noFill/>
              </a:ln>
              <a:effectLst/>
            </c:spPr>
          </c:marker>
          <c:cat>
            <c:strRef>
              <c:f>Lapas1!$B$3:$B$14</c:f>
              <c:strCache>
                <c:ptCount val="12"/>
                <c:pt idx="0">
                  <c:v>Gimnazija</c:v>
                </c:pt>
                <c:pt idx="1">
                  <c:v>Vidurinė mokykla</c:v>
                </c:pt>
                <c:pt idx="2">
                  <c:v>Pagrindinė mokykla</c:v>
                </c:pt>
                <c:pt idx="3">
                  <c:v>Progimnazija</c:v>
                </c:pt>
                <c:pt idx="4">
                  <c:v>Mokykla-darželis</c:v>
                </c:pt>
                <c:pt idx="5">
                  <c:v>Lopšelis-darželis</c:v>
                </c:pt>
                <c:pt idx="6">
                  <c:v>Bendrojo ugdymo skyrius</c:v>
                </c:pt>
                <c:pt idx="7">
                  <c:v>Ikimokyklinio / priešmokyklinio ugdymo skyrius</c:v>
                </c:pt>
                <c:pt idx="8">
                  <c:v>Ikimokyklinio / priešmokyklinio ugdymo grupė</c:v>
                </c:pt>
                <c:pt idx="9">
                  <c:v>Muzikos mokykla</c:v>
                </c:pt>
                <c:pt idx="10">
                  <c:v>Švietimo centras</c:v>
                </c:pt>
                <c:pt idx="11">
                  <c:v>Pedagoginė psichologinė tarnyba</c:v>
                </c:pt>
              </c:strCache>
            </c:strRef>
          </c:cat>
          <c:val>
            <c:numRef>
              <c:f>Lapas1!$C$3:$C$14</c:f>
              <c:numCache>
                <c:formatCode>General</c:formatCode>
                <c:ptCount val="12"/>
                <c:pt idx="0">
                  <c:v>6</c:v>
                </c:pt>
                <c:pt idx="1">
                  <c:v>1</c:v>
                </c:pt>
                <c:pt idx="2">
                  <c:v>9</c:v>
                </c:pt>
                <c:pt idx="3">
                  <c:v>1</c:v>
                </c:pt>
                <c:pt idx="4">
                  <c:v>3</c:v>
                </c:pt>
                <c:pt idx="5">
                  <c:v>6</c:v>
                </c:pt>
                <c:pt idx="6">
                  <c:v>6</c:v>
                </c:pt>
                <c:pt idx="7">
                  <c:v>3</c:v>
                </c:pt>
                <c:pt idx="8">
                  <c:v>14</c:v>
                </c:pt>
                <c:pt idx="9">
                  <c:v>1</c:v>
                </c:pt>
                <c:pt idx="10">
                  <c:v>1</c:v>
                </c:pt>
                <c:pt idx="11">
                  <c:v>1</c:v>
                </c:pt>
              </c:numCache>
            </c:numRef>
          </c:val>
          <c:smooth val="0"/>
        </c:ser>
        <c:ser>
          <c:idx val="1"/>
          <c:order val="1"/>
          <c:tx>
            <c:strRef>
              <c:f>Lapas1!$D$2</c:f>
              <c:strCache>
                <c:ptCount val="1"/>
                <c:pt idx="0">
                  <c:v>2016 m.</c:v>
                </c:pt>
              </c:strCache>
            </c:strRef>
          </c:tx>
          <c:spPr>
            <a:ln w="31750" cap="rnd">
              <a:solidFill>
                <a:schemeClr val="accent2">
                  <a:alpha val="85000"/>
                </a:schemeClr>
              </a:solidFill>
              <a:round/>
            </a:ln>
            <a:effectLst/>
          </c:spPr>
          <c:marker>
            <c:symbol val="circle"/>
            <c:size val="6"/>
            <c:spPr>
              <a:solidFill>
                <a:schemeClr val="accent2">
                  <a:alpha val="85000"/>
                </a:schemeClr>
              </a:solidFill>
              <a:ln>
                <a:noFill/>
              </a:ln>
              <a:effectLst/>
            </c:spPr>
          </c:marker>
          <c:cat>
            <c:strRef>
              <c:f>Lapas1!$B$3:$B$14</c:f>
              <c:strCache>
                <c:ptCount val="12"/>
                <c:pt idx="0">
                  <c:v>Gimnazija</c:v>
                </c:pt>
                <c:pt idx="1">
                  <c:v>Vidurinė mokykla</c:v>
                </c:pt>
                <c:pt idx="2">
                  <c:v>Pagrindinė mokykla</c:v>
                </c:pt>
                <c:pt idx="3">
                  <c:v>Progimnazija</c:v>
                </c:pt>
                <c:pt idx="4">
                  <c:v>Mokykla-darželis</c:v>
                </c:pt>
                <c:pt idx="5">
                  <c:v>Lopšelis-darželis</c:v>
                </c:pt>
                <c:pt idx="6">
                  <c:v>Bendrojo ugdymo skyrius</c:v>
                </c:pt>
                <c:pt idx="7">
                  <c:v>Ikimokyklinio / priešmokyklinio ugdymo skyrius</c:v>
                </c:pt>
                <c:pt idx="8">
                  <c:v>Ikimokyklinio / priešmokyklinio ugdymo grupė</c:v>
                </c:pt>
                <c:pt idx="9">
                  <c:v>Muzikos mokykla</c:v>
                </c:pt>
                <c:pt idx="10">
                  <c:v>Švietimo centras</c:v>
                </c:pt>
                <c:pt idx="11">
                  <c:v>Pedagoginė psichologinė tarnyba</c:v>
                </c:pt>
              </c:strCache>
            </c:strRef>
          </c:cat>
          <c:val>
            <c:numRef>
              <c:f>Lapas1!$D$3:$D$14</c:f>
              <c:numCache>
                <c:formatCode>General</c:formatCode>
                <c:ptCount val="12"/>
                <c:pt idx="0">
                  <c:v>7</c:v>
                </c:pt>
                <c:pt idx="1">
                  <c:v>0</c:v>
                </c:pt>
                <c:pt idx="2">
                  <c:v>9</c:v>
                </c:pt>
                <c:pt idx="3">
                  <c:v>1</c:v>
                </c:pt>
                <c:pt idx="4">
                  <c:v>3</c:v>
                </c:pt>
                <c:pt idx="5">
                  <c:v>6</c:v>
                </c:pt>
                <c:pt idx="6">
                  <c:v>4</c:v>
                </c:pt>
                <c:pt idx="7">
                  <c:v>4</c:v>
                </c:pt>
                <c:pt idx="8">
                  <c:v>12</c:v>
                </c:pt>
                <c:pt idx="9">
                  <c:v>1</c:v>
                </c:pt>
                <c:pt idx="10">
                  <c:v>1</c:v>
                </c:pt>
                <c:pt idx="11">
                  <c:v>1</c:v>
                </c:pt>
              </c:numCache>
            </c:numRef>
          </c:val>
          <c:smooth val="0"/>
        </c:ser>
        <c:ser>
          <c:idx val="2"/>
          <c:order val="2"/>
          <c:tx>
            <c:strRef>
              <c:f>Lapas1!$E$2</c:f>
              <c:strCache>
                <c:ptCount val="1"/>
                <c:pt idx="0">
                  <c:v>2017 m.</c:v>
                </c:pt>
              </c:strCache>
            </c:strRef>
          </c:tx>
          <c:spPr>
            <a:ln w="31750" cap="rnd">
              <a:solidFill>
                <a:schemeClr val="accent3">
                  <a:alpha val="85000"/>
                </a:schemeClr>
              </a:solidFill>
              <a:round/>
            </a:ln>
            <a:effectLst/>
          </c:spPr>
          <c:marker>
            <c:symbol val="circle"/>
            <c:size val="6"/>
            <c:spPr>
              <a:solidFill>
                <a:schemeClr val="accent3">
                  <a:alpha val="85000"/>
                </a:schemeClr>
              </a:solidFill>
              <a:ln>
                <a:noFill/>
              </a:ln>
              <a:effectLst/>
            </c:spPr>
          </c:marker>
          <c:cat>
            <c:strRef>
              <c:f>Lapas1!$B$3:$B$14</c:f>
              <c:strCache>
                <c:ptCount val="12"/>
                <c:pt idx="0">
                  <c:v>Gimnazija</c:v>
                </c:pt>
                <c:pt idx="1">
                  <c:v>Vidurinė mokykla</c:v>
                </c:pt>
                <c:pt idx="2">
                  <c:v>Pagrindinė mokykla</c:v>
                </c:pt>
                <c:pt idx="3">
                  <c:v>Progimnazija</c:v>
                </c:pt>
                <c:pt idx="4">
                  <c:v>Mokykla-darželis</c:v>
                </c:pt>
                <c:pt idx="5">
                  <c:v>Lopšelis-darželis</c:v>
                </c:pt>
                <c:pt idx="6">
                  <c:v>Bendrojo ugdymo skyrius</c:v>
                </c:pt>
                <c:pt idx="7">
                  <c:v>Ikimokyklinio / priešmokyklinio ugdymo skyrius</c:v>
                </c:pt>
                <c:pt idx="8">
                  <c:v>Ikimokyklinio / priešmokyklinio ugdymo grupė</c:v>
                </c:pt>
                <c:pt idx="9">
                  <c:v>Muzikos mokykla</c:v>
                </c:pt>
                <c:pt idx="10">
                  <c:v>Švietimo centras</c:v>
                </c:pt>
                <c:pt idx="11">
                  <c:v>Pedagoginė psichologinė tarnyba</c:v>
                </c:pt>
              </c:strCache>
            </c:strRef>
          </c:cat>
          <c:val>
            <c:numRef>
              <c:f>Lapas1!$E$3:$E$14</c:f>
              <c:numCache>
                <c:formatCode>General</c:formatCode>
                <c:ptCount val="12"/>
                <c:pt idx="0">
                  <c:v>7</c:v>
                </c:pt>
                <c:pt idx="1">
                  <c:v>0</c:v>
                </c:pt>
                <c:pt idx="2">
                  <c:v>8</c:v>
                </c:pt>
                <c:pt idx="3">
                  <c:v>1</c:v>
                </c:pt>
                <c:pt idx="4">
                  <c:v>3</c:v>
                </c:pt>
                <c:pt idx="5">
                  <c:v>6</c:v>
                </c:pt>
                <c:pt idx="6">
                  <c:v>2</c:v>
                </c:pt>
                <c:pt idx="7">
                  <c:v>4</c:v>
                </c:pt>
                <c:pt idx="8">
                  <c:v>10</c:v>
                </c:pt>
                <c:pt idx="9">
                  <c:v>1</c:v>
                </c:pt>
                <c:pt idx="10">
                  <c:v>1</c:v>
                </c:pt>
                <c:pt idx="11">
                  <c:v>1</c:v>
                </c:pt>
              </c:numCache>
            </c:numRef>
          </c:val>
          <c:smooth val="0"/>
        </c:ser>
        <c:ser>
          <c:idx val="3"/>
          <c:order val="3"/>
          <c:tx>
            <c:strRef>
              <c:f>Lapas1!$F$2</c:f>
              <c:strCache>
                <c:ptCount val="1"/>
                <c:pt idx="0">
                  <c:v>2018 m.</c:v>
                </c:pt>
              </c:strCache>
            </c:strRef>
          </c:tx>
          <c:spPr>
            <a:ln w="31750" cap="rnd">
              <a:solidFill>
                <a:schemeClr val="accent4">
                  <a:alpha val="85000"/>
                </a:schemeClr>
              </a:solidFill>
              <a:round/>
            </a:ln>
            <a:effectLst/>
          </c:spPr>
          <c:marker>
            <c:symbol val="circle"/>
            <c:size val="6"/>
            <c:spPr>
              <a:solidFill>
                <a:schemeClr val="accent4">
                  <a:alpha val="85000"/>
                </a:schemeClr>
              </a:solidFill>
              <a:ln>
                <a:noFill/>
              </a:ln>
              <a:effectLst/>
            </c:spPr>
          </c:marker>
          <c:cat>
            <c:strRef>
              <c:f>Lapas1!$B$3:$B$14</c:f>
              <c:strCache>
                <c:ptCount val="12"/>
                <c:pt idx="0">
                  <c:v>Gimnazija</c:v>
                </c:pt>
                <c:pt idx="1">
                  <c:v>Vidurinė mokykla</c:v>
                </c:pt>
                <c:pt idx="2">
                  <c:v>Pagrindinė mokykla</c:v>
                </c:pt>
                <c:pt idx="3">
                  <c:v>Progimnazija</c:v>
                </c:pt>
                <c:pt idx="4">
                  <c:v>Mokykla-darželis</c:v>
                </c:pt>
                <c:pt idx="5">
                  <c:v>Lopšelis-darželis</c:v>
                </c:pt>
                <c:pt idx="6">
                  <c:v>Bendrojo ugdymo skyrius</c:v>
                </c:pt>
                <c:pt idx="7">
                  <c:v>Ikimokyklinio / priešmokyklinio ugdymo skyrius</c:v>
                </c:pt>
                <c:pt idx="8">
                  <c:v>Ikimokyklinio / priešmokyklinio ugdymo grupė</c:v>
                </c:pt>
                <c:pt idx="9">
                  <c:v>Muzikos mokykla</c:v>
                </c:pt>
                <c:pt idx="10">
                  <c:v>Švietimo centras</c:v>
                </c:pt>
                <c:pt idx="11">
                  <c:v>Pedagoginė psichologinė tarnyba</c:v>
                </c:pt>
              </c:strCache>
            </c:strRef>
          </c:cat>
          <c:val>
            <c:numRef>
              <c:f>Lapas1!$F$3:$F$14</c:f>
              <c:numCache>
                <c:formatCode>General</c:formatCode>
                <c:ptCount val="12"/>
                <c:pt idx="0">
                  <c:v>7</c:v>
                </c:pt>
                <c:pt idx="1">
                  <c:v>0</c:v>
                </c:pt>
                <c:pt idx="2">
                  <c:v>8</c:v>
                </c:pt>
                <c:pt idx="3">
                  <c:v>1</c:v>
                </c:pt>
                <c:pt idx="4">
                  <c:v>3</c:v>
                </c:pt>
                <c:pt idx="5">
                  <c:v>6</c:v>
                </c:pt>
                <c:pt idx="6">
                  <c:v>2</c:v>
                </c:pt>
                <c:pt idx="7">
                  <c:v>4</c:v>
                </c:pt>
                <c:pt idx="8">
                  <c:v>9</c:v>
                </c:pt>
                <c:pt idx="9">
                  <c:v>1</c:v>
                </c:pt>
                <c:pt idx="10">
                  <c:v>1</c:v>
                </c:pt>
                <c:pt idx="11">
                  <c:v>1</c:v>
                </c:pt>
              </c:numCache>
            </c:numRef>
          </c:val>
          <c:smooth val="0"/>
        </c:ser>
        <c:ser>
          <c:idx val="4"/>
          <c:order val="4"/>
          <c:tx>
            <c:strRef>
              <c:f>Lapas1!$G$2</c:f>
              <c:strCache>
                <c:ptCount val="1"/>
                <c:pt idx="0">
                  <c:v>2019 m.</c:v>
                </c:pt>
              </c:strCache>
            </c:strRef>
          </c:tx>
          <c:spPr>
            <a:ln w="31750" cap="rnd">
              <a:solidFill>
                <a:schemeClr val="accent5">
                  <a:alpha val="85000"/>
                </a:schemeClr>
              </a:solidFill>
              <a:round/>
            </a:ln>
            <a:effectLst/>
          </c:spPr>
          <c:marker>
            <c:symbol val="circle"/>
            <c:size val="6"/>
            <c:spPr>
              <a:solidFill>
                <a:schemeClr val="accent5">
                  <a:alpha val="85000"/>
                </a:schemeClr>
              </a:solidFill>
              <a:ln>
                <a:noFill/>
              </a:ln>
              <a:effectLst/>
            </c:spPr>
          </c:marker>
          <c:cat>
            <c:strRef>
              <c:f>Lapas1!$B$3:$B$14</c:f>
              <c:strCache>
                <c:ptCount val="12"/>
                <c:pt idx="0">
                  <c:v>Gimnazija</c:v>
                </c:pt>
                <c:pt idx="1">
                  <c:v>Vidurinė mokykla</c:v>
                </c:pt>
                <c:pt idx="2">
                  <c:v>Pagrindinė mokykla</c:v>
                </c:pt>
                <c:pt idx="3">
                  <c:v>Progimnazija</c:v>
                </c:pt>
                <c:pt idx="4">
                  <c:v>Mokykla-darželis</c:v>
                </c:pt>
                <c:pt idx="5">
                  <c:v>Lopšelis-darželis</c:v>
                </c:pt>
                <c:pt idx="6">
                  <c:v>Bendrojo ugdymo skyrius</c:v>
                </c:pt>
                <c:pt idx="7">
                  <c:v>Ikimokyklinio / priešmokyklinio ugdymo skyrius</c:v>
                </c:pt>
                <c:pt idx="8">
                  <c:v>Ikimokyklinio / priešmokyklinio ugdymo grupė</c:v>
                </c:pt>
                <c:pt idx="9">
                  <c:v>Muzikos mokykla</c:v>
                </c:pt>
                <c:pt idx="10">
                  <c:v>Švietimo centras</c:v>
                </c:pt>
                <c:pt idx="11">
                  <c:v>Pedagoginė psichologinė tarnyba</c:v>
                </c:pt>
              </c:strCache>
            </c:strRef>
          </c:cat>
          <c:val>
            <c:numRef>
              <c:f>Lapas1!$G$3:$G$14</c:f>
              <c:numCache>
                <c:formatCode>General</c:formatCode>
                <c:ptCount val="12"/>
                <c:pt idx="0">
                  <c:v>7</c:v>
                </c:pt>
                <c:pt idx="1">
                  <c:v>0</c:v>
                </c:pt>
                <c:pt idx="2">
                  <c:v>8</c:v>
                </c:pt>
                <c:pt idx="3">
                  <c:v>1</c:v>
                </c:pt>
                <c:pt idx="4">
                  <c:v>3</c:v>
                </c:pt>
                <c:pt idx="5">
                  <c:v>6</c:v>
                </c:pt>
                <c:pt idx="6">
                  <c:v>1</c:v>
                </c:pt>
                <c:pt idx="7">
                  <c:v>4</c:v>
                </c:pt>
                <c:pt idx="8">
                  <c:v>7</c:v>
                </c:pt>
                <c:pt idx="9">
                  <c:v>1</c:v>
                </c:pt>
                <c:pt idx="10">
                  <c:v>1</c:v>
                </c:pt>
                <c:pt idx="11">
                  <c:v>1</c:v>
                </c:pt>
              </c:numCache>
            </c:numRef>
          </c:val>
          <c:smooth val="0"/>
        </c:ser>
        <c:ser>
          <c:idx val="5"/>
          <c:order val="5"/>
          <c:tx>
            <c:strRef>
              <c:f>Lapas1!$H$2</c:f>
              <c:strCache>
                <c:ptCount val="1"/>
                <c:pt idx="0">
                  <c:v>2020 m.</c:v>
                </c:pt>
              </c:strCache>
            </c:strRef>
          </c:tx>
          <c:spPr>
            <a:ln w="31750" cap="rnd">
              <a:solidFill>
                <a:schemeClr val="accent6">
                  <a:alpha val="85000"/>
                </a:schemeClr>
              </a:solidFill>
              <a:round/>
            </a:ln>
            <a:effectLst/>
          </c:spPr>
          <c:marker>
            <c:symbol val="circle"/>
            <c:size val="6"/>
            <c:spPr>
              <a:solidFill>
                <a:schemeClr val="accent6">
                  <a:alpha val="85000"/>
                </a:schemeClr>
              </a:solidFill>
              <a:ln>
                <a:noFill/>
              </a:ln>
              <a:effectLst/>
            </c:spPr>
          </c:marker>
          <c:cat>
            <c:strRef>
              <c:f>Lapas1!$B$3:$B$14</c:f>
              <c:strCache>
                <c:ptCount val="12"/>
                <c:pt idx="0">
                  <c:v>Gimnazija</c:v>
                </c:pt>
                <c:pt idx="1">
                  <c:v>Vidurinė mokykla</c:v>
                </c:pt>
                <c:pt idx="2">
                  <c:v>Pagrindinė mokykla</c:v>
                </c:pt>
                <c:pt idx="3">
                  <c:v>Progimnazija</c:v>
                </c:pt>
                <c:pt idx="4">
                  <c:v>Mokykla-darželis</c:v>
                </c:pt>
                <c:pt idx="5">
                  <c:v>Lopšelis-darželis</c:v>
                </c:pt>
                <c:pt idx="6">
                  <c:v>Bendrojo ugdymo skyrius</c:v>
                </c:pt>
                <c:pt idx="7">
                  <c:v>Ikimokyklinio / priešmokyklinio ugdymo skyrius</c:v>
                </c:pt>
                <c:pt idx="8">
                  <c:v>Ikimokyklinio / priešmokyklinio ugdymo grupė</c:v>
                </c:pt>
                <c:pt idx="9">
                  <c:v>Muzikos mokykla</c:v>
                </c:pt>
                <c:pt idx="10">
                  <c:v>Švietimo centras</c:v>
                </c:pt>
                <c:pt idx="11">
                  <c:v>Pedagoginė psichologinė tarnyba</c:v>
                </c:pt>
              </c:strCache>
            </c:strRef>
          </c:cat>
          <c:val>
            <c:numRef>
              <c:f>Lapas1!$H$3:$H$14</c:f>
              <c:numCache>
                <c:formatCode>General</c:formatCode>
                <c:ptCount val="12"/>
                <c:pt idx="0">
                  <c:v>7</c:v>
                </c:pt>
                <c:pt idx="1">
                  <c:v>0</c:v>
                </c:pt>
                <c:pt idx="2">
                  <c:v>4</c:v>
                </c:pt>
                <c:pt idx="3">
                  <c:v>1</c:v>
                </c:pt>
                <c:pt idx="4">
                  <c:v>3</c:v>
                </c:pt>
                <c:pt idx="5">
                  <c:v>5</c:v>
                </c:pt>
                <c:pt idx="6">
                  <c:v>1</c:v>
                </c:pt>
                <c:pt idx="7">
                  <c:v>7</c:v>
                </c:pt>
                <c:pt idx="8">
                  <c:v>3</c:v>
                </c:pt>
                <c:pt idx="9">
                  <c:v>1</c:v>
                </c:pt>
                <c:pt idx="10">
                  <c:v>1</c:v>
                </c:pt>
                <c:pt idx="11">
                  <c:v>1</c:v>
                </c:pt>
              </c:numCache>
            </c:numRef>
          </c:val>
          <c:smooth val="0"/>
        </c:ser>
        <c:dLbls>
          <c:showLegendKey val="0"/>
          <c:showVal val="0"/>
          <c:showCatName val="0"/>
          <c:showSerName val="0"/>
          <c:showPercent val="0"/>
          <c:showBubbleSize val="0"/>
        </c:dLbls>
        <c:marker val="1"/>
        <c:smooth val="0"/>
        <c:axId val="427124752"/>
        <c:axId val="427137688"/>
      </c:lineChart>
      <c:catAx>
        <c:axId val="4271247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5400000" spcFirstLastPara="1" vertOverflow="ellipsis"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427137688"/>
        <c:crosses val="autoZero"/>
        <c:auto val="1"/>
        <c:lblAlgn val="ctr"/>
        <c:lblOffset val="100"/>
        <c:noMultiLvlLbl val="0"/>
      </c:catAx>
      <c:valAx>
        <c:axId val="427137688"/>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4271247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539661708953217E-2"/>
          <c:y val="4.3650793650793704E-2"/>
          <c:w val="0.89794181977252863"/>
          <c:h val="0.86429258842644652"/>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2021.09.01</c:v>
                </c:pt>
                <c:pt idx="1">
                  <c:v>2022.09.01</c:v>
                </c:pt>
                <c:pt idx="2">
                  <c:v>2023.09.01</c:v>
                </c:pt>
                <c:pt idx="3">
                  <c:v>2024.09.01</c:v>
                </c:pt>
                <c:pt idx="4">
                  <c:v>2025.09.01</c:v>
                </c:pt>
              </c:strCache>
            </c:strRef>
          </c:cat>
          <c:val>
            <c:numRef>
              <c:f>Sheet1!$B$2:$B$6</c:f>
              <c:numCache>
                <c:formatCode>General</c:formatCode>
                <c:ptCount val="5"/>
              </c:numCache>
            </c:numRef>
          </c:val>
          <c:smooth val="0"/>
          <c:extLst xmlns:c16r2="http://schemas.microsoft.com/office/drawing/2015/06/chart">
            <c:ext xmlns:c16="http://schemas.microsoft.com/office/drawing/2014/chart" uri="{C3380CC4-5D6E-409C-BE32-E72D297353CC}">
              <c16:uniqueId val="{00000000-4B0C-4447-A15C-F793C9D26005}"/>
            </c:ext>
          </c:extLst>
        </c:ser>
        <c:ser>
          <c:idx val="1"/>
          <c:order val="1"/>
          <c:tx>
            <c:strRef>
              <c:f>Sheet1!$C$1</c:f>
              <c:strCache>
                <c:ptCount val="1"/>
                <c:pt idx="0">
                  <c:v>Series 2</c:v>
                </c:pt>
              </c:strCache>
            </c:strRef>
          </c:tx>
          <c:spPr>
            <a:ln w="34925" cap="rnd">
              <a:solidFill>
                <a:schemeClr val="accent2"/>
              </a:solidFill>
              <a:round/>
            </a:ln>
            <a:effectLst/>
          </c:spPr>
          <c:marker>
            <c:symbol val="square"/>
            <c:size val="6"/>
            <c:spPr>
              <a:solidFill>
                <a:srgbClr val="002060"/>
              </a:solidFill>
              <a:ln w="25400">
                <a:solidFill>
                  <a:srgbClr val="002060"/>
                </a:solidFill>
              </a:ln>
              <a:effectLst/>
            </c:spPr>
          </c:marker>
          <c:dPt>
            <c:idx val="0"/>
            <c:bubble3D val="0"/>
            <c:spPr>
              <a:ln w="34925" cap="rnd">
                <a:solidFill>
                  <a:schemeClr val="tx2"/>
                </a:solidFill>
                <a:round/>
              </a:ln>
              <a:effectLst/>
            </c:spPr>
            <c:extLst xmlns:c16r2="http://schemas.microsoft.com/office/drawing/2015/06/chart">
              <c:ext xmlns:c16="http://schemas.microsoft.com/office/drawing/2014/chart" uri="{C3380CC4-5D6E-409C-BE32-E72D297353CC}">
                <c16:uniqueId val="{00000004-4B0C-4447-A15C-F793C9D2600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2021.09.01</c:v>
                </c:pt>
                <c:pt idx="1">
                  <c:v>2022.09.01</c:v>
                </c:pt>
                <c:pt idx="2">
                  <c:v>2023.09.01</c:v>
                </c:pt>
                <c:pt idx="3">
                  <c:v>2024.09.01</c:v>
                </c:pt>
                <c:pt idx="4">
                  <c:v>2025.09.01</c:v>
                </c:pt>
              </c:strCache>
            </c:strRef>
          </c:cat>
          <c:val>
            <c:numRef>
              <c:f>Sheet1!$C$2:$C$6</c:f>
              <c:numCache>
                <c:formatCode>General</c:formatCode>
                <c:ptCount val="5"/>
                <c:pt idx="0">
                  <c:v>2884</c:v>
                </c:pt>
                <c:pt idx="1">
                  <c:v>2843</c:v>
                </c:pt>
                <c:pt idx="2">
                  <c:v>2816</c:v>
                </c:pt>
                <c:pt idx="3">
                  <c:v>2767</c:v>
                </c:pt>
                <c:pt idx="4">
                  <c:v>2713</c:v>
                </c:pt>
              </c:numCache>
            </c:numRef>
          </c:val>
          <c:smooth val="0"/>
          <c:extLst xmlns:c16r2="http://schemas.microsoft.com/office/drawing/2015/06/chart">
            <c:ext xmlns:c16="http://schemas.microsoft.com/office/drawing/2014/chart" uri="{C3380CC4-5D6E-409C-BE32-E72D297353CC}">
              <c16:uniqueId val="{00000001-4B0C-4447-A15C-F793C9D26005}"/>
            </c:ext>
          </c:extLst>
        </c:ser>
        <c:ser>
          <c:idx val="2"/>
          <c:order val="2"/>
          <c:tx>
            <c:strRef>
              <c:f>Sheet1!$D$1</c:f>
              <c:strCache>
                <c:ptCount val="1"/>
                <c:pt idx="0">
                  <c:v>Column1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2021.09.01</c:v>
                </c:pt>
                <c:pt idx="1">
                  <c:v>2022.09.01</c:v>
                </c:pt>
                <c:pt idx="2">
                  <c:v>2023.09.01</c:v>
                </c:pt>
                <c:pt idx="3">
                  <c:v>2024.09.01</c:v>
                </c:pt>
                <c:pt idx="4">
                  <c:v>2025.09.01</c:v>
                </c:pt>
              </c:strCache>
            </c:strRef>
          </c:cat>
          <c:val>
            <c:numRef>
              <c:f>Sheet1!$D$2:$D$6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4B0C-4447-A15C-F793C9D26005}"/>
            </c:ext>
          </c:extLst>
        </c:ser>
        <c:dLbls>
          <c:showLegendKey val="0"/>
          <c:showVal val="1"/>
          <c:showCatName val="0"/>
          <c:showSerName val="0"/>
          <c:showPercent val="0"/>
          <c:showBubbleSize val="0"/>
        </c:dLbls>
        <c:marker val="1"/>
        <c:smooth val="0"/>
        <c:axId val="427138472"/>
        <c:axId val="427135728"/>
      </c:lineChart>
      <c:catAx>
        <c:axId val="4271384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27135728"/>
        <c:crosses val="autoZero"/>
        <c:auto val="1"/>
        <c:lblAlgn val="ctr"/>
        <c:lblOffset val="100"/>
        <c:noMultiLvlLbl val="0"/>
      </c:catAx>
      <c:valAx>
        <c:axId val="427135728"/>
        <c:scaling>
          <c:orientation val="minMax"/>
          <c:min val="27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271384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Matematika</a:t>
            </a:r>
          </a:p>
        </c:rich>
      </c:tx>
      <c:overlay val="0"/>
      <c:spPr>
        <a:noFill/>
        <a:ln>
          <a:noFill/>
        </a:ln>
        <a:effectLst/>
      </c:spPr>
    </c:title>
    <c:autoTitleDeleted val="0"/>
    <c:plotArea>
      <c:layout/>
      <c:barChart>
        <c:barDir val="bar"/>
        <c:grouping val="clustered"/>
        <c:varyColors val="0"/>
        <c:ser>
          <c:idx val="0"/>
          <c:order val="0"/>
          <c:tx>
            <c:strRef>
              <c:f>NMPP!$B$3</c:f>
              <c:strCache>
                <c:ptCount val="1"/>
                <c:pt idx="0">
                  <c:v>4 kl.</c:v>
                </c:pt>
              </c:strCache>
            </c:strRef>
          </c:tx>
          <c:spPr>
            <a:solidFill>
              <a:schemeClr val="accent1"/>
            </a:solidFill>
            <a:ln>
              <a:noFill/>
            </a:ln>
            <a:effectLst/>
          </c:spPr>
          <c:invertIfNegative val="0"/>
          <c:cat>
            <c:strRef>
              <c:f>NMPP!$C$2:$G$2</c:f>
              <c:strCache>
                <c:ptCount val="5"/>
                <c:pt idx="0">
                  <c:v>2015 m.</c:v>
                </c:pt>
                <c:pt idx="1">
                  <c:v>2016 m.</c:v>
                </c:pt>
                <c:pt idx="2">
                  <c:v>2017 m.</c:v>
                </c:pt>
                <c:pt idx="3">
                  <c:v>2018 m.</c:v>
                </c:pt>
                <c:pt idx="4">
                  <c:v>2019 m.</c:v>
                </c:pt>
              </c:strCache>
            </c:strRef>
          </c:cat>
          <c:val>
            <c:numRef>
              <c:f>NMPP!$C$3:$G$3</c:f>
              <c:numCache>
                <c:formatCode>General</c:formatCode>
                <c:ptCount val="5"/>
                <c:pt idx="0">
                  <c:v>48.5</c:v>
                </c:pt>
                <c:pt idx="1">
                  <c:v>48</c:v>
                </c:pt>
                <c:pt idx="2">
                  <c:v>55.4</c:v>
                </c:pt>
                <c:pt idx="3">
                  <c:v>62.4</c:v>
                </c:pt>
                <c:pt idx="4">
                  <c:v>67.099999999999994</c:v>
                </c:pt>
              </c:numCache>
            </c:numRef>
          </c:val>
        </c:ser>
        <c:ser>
          <c:idx val="1"/>
          <c:order val="1"/>
          <c:tx>
            <c:strRef>
              <c:f>NMPP!$B$4</c:f>
              <c:strCache>
                <c:ptCount val="1"/>
                <c:pt idx="0">
                  <c:v>6 kl.</c:v>
                </c:pt>
              </c:strCache>
            </c:strRef>
          </c:tx>
          <c:spPr>
            <a:solidFill>
              <a:schemeClr val="accent2"/>
            </a:solidFill>
            <a:ln>
              <a:noFill/>
            </a:ln>
            <a:effectLst/>
          </c:spPr>
          <c:invertIfNegative val="0"/>
          <c:cat>
            <c:strRef>
              <c:f>NMPP!$C$2:$G$2</c:f>
              <c:strCache>
                <c:ptCount val="5"/>
                <c:pt idx="0">
                  <c:v>2015 m.</c:v>
                </c:pt>
                <c:pt idx="1">
                  <c:v>2016 m.</c:v>
                </c:pt>
                <c:pt idx="2">
                  <c:v>2017 m.</c:v>
                </c:pt>
                <c:pt idx="3">
                  <c:v>2018 m.</c:v>
                </c:pt>
                <c:pt idx="4">
                  <c:v>2019 m.</c:v>
                </c:pt>
              </c:strCache>
            </c:strRef>
          </c:cat>
          <c:val>
            <c:numRef>
              <c:f>NMPP!$C$4:$G$4</c:f>
              <c:numCache>
                <c:formatCode>General</c:formatCode>
                <c:ptCount val="5"/>
                <c:pt idx="1">
                  <c:v>39.300000000000004</c:v>
                </c:pt>
                <c:pt idx="2">
                  <c:v>47.5</c:v>
                </c:pt>
                <c:pt idx="3">
                  <c:v>48.2</c:v>
                </c:pt>
                <c:pt idx="4">
                  <c:v>45.8</c:v>
                </c:pt>
              </c:numCache>
            </c:numRef>
          </c:val>
        </c:ser>
        <c:ser>
          <c:idx val="2"/>
          <c:order val="2"/>
          <c:tx>
            <c:strRef>
              <c:f>NMPP!$B$5</c:f>
              <c:strCache>
                <c:ptCount val="1"/>
                <c:pt idx="0">
                  <c:v>8 kl.</c:v>
                </c:pt>
              </c:strCache>
            </c:strRef>
          </c:tx>
          <c:spPr>
            <a:solidFill>
              <a:schemeClr val="accent3"/>
            </a:solidFill>
            <a:ln>
              <a:noFill/>
            </a:ln>
            <a:effectLst/>
          </c:spPr>
          <c:invertIfNegative val="0"/>
          <c:cat>
            <c:strRef>
              <c:f>NMPP!$C$2:$G$2</c:f>
              <c:strCache>
                <c:ptCount val="5"/>
                <c:pt idx="0">
                  <c:v>2015 m.</c:v>
                </c:pt>
                <c:pt idx="1">
                  <c:v>2016 m.</c:v>
                </c:pt>
                <c:pt idx="2">
                  <c:v>2017 m.</c:v>
                </c:pt>
                <c:pt idx="3">
                  <c:v>2018 m.</c:v>
                </c:pt>
                <c:pt idx="4">
                  <c:v>2019 m.</c:v>
                </c:pt>
              </c:strCache>
            </c:strRef>
          </c:cat>
          <c:val>
            <c:numRef>
              <c:f>NMPP!$C$5:$G$5</c:f>
              <c:numCache>
                <c:formatCode>General</c:formatCode>
                <c:ptCount val="5"/>
                <c:pt idx="0">
                  <c:v>39.200000000000003</c:v>
                </c:pt>
                <c:pt idx="1">
                  <c:v>38</c:v>
                </c:pt>
                <c:pt idx="2">
                  <c:v>42.9</c:v>
                </c:pt>
                <c:pt idx="3">
                  <c:v>46.2</c:v>
                </c:pt>
              </c:numCache>
            </c:numRef>
          </c:val>
        </c:ser>
        <c:dLbls>
          <c:showLegendKey val="0"/>
          <c:showVal val="0"/>
          <c:showCatName val="0"/>
          <c:showSerName val="0"/>
          <c:showPercent val="0"/>
          <c:showBubbleSize val="0"/>
        </c:dLbls>
        <c:gapWidth val="182"/>
        <c:axId val="322682928"/>
        <c:axId val="322680576"/>
      </c:barChart>
      <c:catAx>
        <c:axId val="322682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22680576"/>
        <c:crosses val="autoZero"/>
        <c:auto val="1"/>
        <c:lblAlgn val="ctr"/>
        <c:lblOffset val="100"/>
        <c:noMultiLvlLbl val="0"/>
      </c:catAx>
      <c:valAx>
        <c:axId val="3226805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22682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Skaitymas</a:t>
            </a:r>
          </a:p>
        </c:rich>
      </c:tx>
      <c:overlay val="0"/>
      <c:spPr>
        <a:noFill/>
        <a:ln>
          <a:noFill/>
        </a:ln>
        <a:effectLst/>
      </c:spPr>
    </c:title>
    <c:autoTitleDeleted val="0"/>
    <c:plotArea>
      <c:layout/>
      <c:barChart>
        <c:barDir val="bar"/>
        <c:grouping val="clustered"/>
        <c:varyColors val="0"/>
        <c:ser>
          <c:idx val="0"/>
          <c:order val="0"/>
          <c:tx>
            <c:strRef>
              <c:f>NMPP!$B$8</c:f>
              <c:strCache>
                <c:ptCount val="1"/>
                <c:pt idx="0">
                  <c:v>4 kl.</c:v>
                </c:pt>
              </c:strCache>
            </c:strRef>
          </c:tx>
          <c:spPr>
            <a:solidFill>
              <a:schemeClr val="accent1"/>
            </a:solidFill>
            <a:ln>
              <a:noFill/>
            </a:ln>
            <a:effectLst/>
          </c:spPr>
          <c:invertIfNegative val="0"/>
          <c:cat>
            <c:strRef>
              <c:f>NMPP!$C$7:$G$7</c:f>
              <c:strCache>
                <c:ptCount val="5"/>
                <c:pt idx="0">
                  <c:v>2015 m.</c:v>
                </c:pt>
                <c:pt idx="1">
                  <c:v>2016 m.</c:v>
                </c:pt>
                <c:pt idx="2">
                  <c:v>2017 m.</c:v>
                </c:pt>
                <c:pt idx="3">
                  <c:v>2018 m.</c:v>
                </c:pt>
                <c:pt idx="4">
                  <c:v>2019 m.</c:v>
                </c:pt>
              </c:strCache>
            </c:strRef>
          </c:cat>
          <c:val>
            <c:numRef>
              <c:f>NMPP!$C$8:$G$8</c:f>
              <c:numCache>
                <c:formatCode>General</c:formatCode>
                <c:ptCount val="5"/>
                <c:pt idx="0">
                  <c:v>49.8</c:v>
                </c:pt>
                <c:pt idx="1">
                  <c:v>53.9</c:v>
                </c:pt>
                <c:pt idx="2">
                  <c:v>59.6</c:v>
                </c:pt>
                <c:pt idx="3">
                  <c:v>62</c:v>
                </c:pt>
                <c:pt idx="4">
                  <c:v>69.599999999999994</c:v>
                </c:pt>
              </c:numCache>
            </c:numRef>
          </c:val>
        </c:ser>
        <c:ser>
          <c:idx val="1"/>
          <c:order val="1"/>
          <c:tx>
            <c:strRef>
              <c:f>NMPP!$B$9</c:f>
              <c:strCache>
                <c:ptCount val="1"/>
                <c:pt idx="0">
                  <c:v>6 kl.</c:v>
                </c:pt>
              </c:strCache>
            </c:strRef>
          </c:tx>
          <c:spPr>
            <a:solidFill>
              <a:schemeClr val="accent2"/>
            </a:solidFill>
            <a:ln>
              <a:noFill/>
            </a:ln>
            <a:effectLst/>
          </c:spPr>
          <c:invertIfNegative val="0"/>
          <c:cat>
            <c:strRef>
              <c:f>NMPP!$C$7:$G$7</c:f>
              <c:strCache>
                <c:ptCount val="5"/>
                <c:pt idx="0">
                  <c:v>2015 m.</c:v>
                </c:pt>
                <c:pt idx="1">
                  <c:v>2016 m.</c:v>
                </c:pt>
                <c:pt idx="2">
                  <c:v>2017 m.</c:v>
                </c:pt>
                <c:pt idx="3">
                  <c:v>2018 m.</c:v>
                </c:pt>
                <c:pt idx="4">
                  <c:v>2019 m.</c:v>
                </c:pt>
              </c:strCache>
            </c:strRef>
          </c:cat>
          <c:val>
            <c:numRef>
              <c:f>NMPP!$C$9:$G$9</c:f>
              <c:numCache>
                <c:formatCode>General</c:formatCode>
                <c:ptCount val="5"/>
                <c:pt idx="1">
                  <c:v>53</c:v>
                </c:pt>
                <c:pt idx="2">
                  <c:v>40.700000000000003</c:v>
                </c:pt>
                <c:pt idx="3">
                  <c:v>58</c:v>
                </c:pt>
                <c:pt idx="4">
                  <c:v>63.1</c:v>
                </c:pt>
              </c:numCache>
            </c:numRef>
          </c:val>
        </c:ser>
        <c:ser>
          <c:idx val="2"/>
          <c:order val="2"/>
          <c:tx>
            <c:strRef>
              <c:f>NMPP!$B$10</c:f>
              <c:strCache>
                <c:ptCount val="1"/>
                <c:pt idx="0">
                  <c:v>8 kl.</c:v>
                </c:pt>
              </c:strCache>
            </c:strRef>
          </c:tx>
          <c:spPr>
            <a:solidFill>
              <a:schemeClr val="accent3"/>
            </a:solidFill>
            <a:ln>
              <a:noFill/>
            </a:ln>
            <a:effectLst/>
          </c:spPr>
          <c:invertIfNegative val="0"/>
          <c:cat>
            <c:strRef>
              <c:f>NMPP!$C$7:$G$7</c:f>
              <c:strCache>
                <c:ptCount val="5"/>
                <c:pt idx="0">
                  <c:v>2015 m.</c:v>
                </c:pt>
                <c:pt idx="1">
                  <c:v>2016 m.</c:v>
                </c:pt>
                <c:pt idx="2">
                  <c:v>2017 m.</c:v>
                </c:pt>
                <c:pt idx="3">
                  <c:v>2018 m.</c:v>
                </c:pt>
                <c:pt idx="4">
                  <c:v>2019 m.</c:v>
                </c:pt>
              </c:strCache>
            </c:strRef>
          </c:cat>
          <c:val>
            <c:numRef>
              <c:f>NMPP!$C$10:$G$10</c:f>
              <c:numCache>
                <c:formatCode>General</c:formatCode>
                <c:ptCount val="5"/>
                <c:pt idx="0">
                  <c:v>55.7</c:v>
                </c:pt>
                <c:pt idx="1">
                  <c:v>58.5</c:v>
                </c:pt>
                <c:pt idx="2">
                  <c:v>55.6</c:v>
                </c:pt>
                <c:pt idx="3">
                  <c:v>56.9</c:v>
                </c:pt>
              </c:numCache>
            </c:numRef>
          </c:val>
        </c:ser>
        <c:dLbls>
          <c:showLegendKey val="0"/>
          <c:showVal val="0"/>
          <c:showCatName val="0"/>
          <c:showSerName val="0"/>
          <c:showPercent val="0"/>
          <c:showBubbleSize val="0"/>
        </c:dLbls>
        <c:gapWidth val="182"/>
        <c:axId val="322684104"/>
        <c:axId val="422816720"/>
      </c:barChart>
      <c:catAx>
        <c:axId val="322684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22816720"/>
        <c:crosses val="autoZero"/>
        <c:auto val="1"/>
        <c:lblAlgn val="ctr"/>
        <c:lblOffset val="100"/>
        <c:noMultiLvlLbl val="0"/>
      </c:catAx>
      <c:valAx>
        <c:axId val="422816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22684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Rašymas</a:t>
            </a:r>
          </a:p>
        </c:rich>
      </c:tx>
      <c:overlay val="0"/>
      <c:spPr>
        <a:noFill/>
        <a:ln>
          <a:noFill/>
        </a:ln>
        <a:effectLst/>
      </c:spPr>
    </c:title>
    <c:autoTitleDeleted val="0"/>
    <c:plotArea>
      <c:layout/>
      <c:barChart>
        <c:barDir val="bar"/>
        <c:grouping val="clustered"/>
        <c:varyColors val="0"/>
        <c:ser>
          <c:idx val="0"/>
          <c:order val="0"/>
          <c:tx>
            <c:strRef>
              <c:f>NMPP!$B$13</c:f>
              <c:strCache>
                <c:ptCount val="1"/>
                <c:pt idx="0">
                  <c:v>4 kl.</c:v>
                </c:pt>
              </c:strCache>
            </c:strRef>
          </c:tx>
          <c:spPr>
            <a:solidFill>
              <a:schemeClr val="accent1"/>
            </a:solidFill>
            <a:ln>
              <a:noFill/>
            </a:ln>
            <a:effectLst/>
          </c:spPr>
          <c:invertIfNegative val="0"/>
          <c:cat>
            <c:strRef>
              <c:f>NMPP!$C$12:$G$12</c:f>
              <c:strCache>
                <c:ptCount val="5"/>
                <c:pt idx="0">
                  <c:v>2015 m.</c:v>
                </c:pt>
                <c:pt idx="1">
                  <c:v>2016 m.</c:v>
                </c:pt>
                <c:pt idx="2">
                  <c:v>2017 m.</c:v>
                </c:pt>
                <c:pt idx="3">
                  <c:v>2018 m.</c:v>
                </c:pt>
                <c:pt idx="4">
                  <c:v>2019 m.</c:v>
                </c:pt>
              </c:strCache>
            </c:strRef>
          </c:cat>
          <c:val>
            <c:numRef>
              <c:f>NMPP!$C$13:$G$13</c:f>
              <c:numCache>
                <c:formatCode>General</c:formatCode>
                <c:ptCount val="5"/>
                <c:pt idx="0">
                  <c:v>53.7</c:v>
                </c:pt>
                <c:pt idx="1">
                  <c:v>60</c:v>
                </c:pt>
                <c:pt idx="2">
                  <c:v>68.900000000000006</c:v>
                </c:pt>
                <c:pt idx="3">
                  <c:v>60.8</c:v>
                </c:pt>
                <c:pt idx="4">
                  <c:v>68.900000000000006</c:v>
                </c:pt>
              </c:numCache>
            </c:numRef>
          </c:val>
        </c:ser>
        <c:ser>
          <c:idx val="1"/>
          <c:order val="1"/>
          <c:tx>
            <c:strRef>
              <c:f>NMPP!$B$14</c:f>
              <c:strCache>
                <c:ptCount val="1"/>
                <c:pt idx="0">
                  <c:v>6 kl.</c:v>
                </c:pt>
              </c:strCache>
            </c:strRef>
          </c:tx>
          <c:spPr>
            <a:solidFill>
              <a:schemeClr val="accent2"/>
            </a:solidFill>
            <a:ln>
              <a:noFill/>
            </a:ln>
            <a:effectLst/>
          </c:spPr>
          <c:invertIfNegative val="0"/>
          <c:cat>
            <c:strRef>
              <c:f>NMPP!$C$12:$G$12</c:f>
              <c:strCache>
                <c:ptCount val="5"/>
                <c:pt idx="0">
                  <c:v>2015 m.</c:v>
                </c:pt>
                <c:pt idx="1">
                  <c:v>2016 m.</c:v>
                </c:pt>
                <c:pt idx="2">
                  <c:v>2017 m.</c:v>
                </c:pt>
                <c:pt idx="3">
                  <c:v>2018 m.</c:v>
                </c:pt>
                <c:pt idx="4">
                  <c:v>2019 m.</c:v>
                </c:pt>
              </c:strCache>
            </c:strRef>
          </c:cat>
          <c:val>
            <c:numRef>
              <c:f>NMPP!$C$14:$G$14</c:f>
              <c:numCache>
                <c:formatCode>General</c:formatCode>
                <c:ptCount val="5"/>
                <c:pt idx="1">
                  <c:v>52.6</c:v>
                </c:pt>
                <c:pt idx="2">
                  <c:v>51.7</c:v>
                </c:pt>
                <c:pt idx="3">
                  <c:v>50.7</c:v>
                </c:pt>
                <c:pt idx="4">
                  <c:v>57.8</c:v>
                </c:pt>
              </c:numCache>
            </c:numRef>
          </c:val>
        </c:ser>
        <c:ser>
          <c:idx val="2"/>
          <c:order val="2"/>
          <c:tx>
            <c:strRef>
              <c:f>NMPP!$B$15</c:f>
              <c:strCache>
                <c:ptCount val="1"/>
                <c:pt idx="0">
                  <c:v>8 kl.</c:v>
                </c:pt>
              </c:strCache>
            </c:strRef>
          </c:tx>
          <c:spPr>
            <a:solidFill>
              <a:schemeClr val="accent3"/>
            </a:solidFill>
            <a:ln>
              <a:noFill/>
            </a:ln>
            <a:effectLst/>
          </c:spPr>
          <c:invertIfNegative val="0"/>
          <c:cat>
            <c:strRef>
              <c:f>NMPP!$C$12:$G$12</c:f>
              <c:strCache>
                <c:ptCount val="5"/>
                <c:pt idx="0">
                  <c:v>2015 m.</c:v>
                </c:pt>
                <c:pt idx="1">
                  <c:v>2016 m.</c:v>
                </c:pt>
                <c:pt idx="2">
                  <c:v>2017 m.</c:v>
                </c:pt>
                <c:pt idx="3">
                  <c:v>2018 m.</c:v>
                </c:pt>
                <c:pt idx="4">
                  <c:v>2019 m.</c:v>
                </c:pt>
              </c:strCache>
            </c:strRef>
          </c:cat>
          <c:val>
            <c:numRef>
              <c:f>NMPP!$C$15:$G$15</c:f>
              <c:numCache>
                <c:formatCode>General</c:formatCode>
                <c:ptCount val="5"/>
                <c:pt idx="0">
                  <c:v>42.2</c:v>
                </c:pt>
                <c:pt idx="1">
                  <c:v>54</c:v>
                </c:pt>
                <c:pt idx="2">
                  <c:v>59.6</c:v>
                </c:pt>
                <c:pt idx="3">
                  <c:v>55.6</c:v>
                </c:pt>
              </c:numCache>
            </c:numRef>
          </c:val>
        </c:ser>
        <c:dLbls>
          <c:showLegendKey val="0"/>
          <c:showVal val="0"/>
          <c:showCatName val="0"/>
          <c:showSerName val="0"/>
          <c:showPercent val="0"/>
          <c:showBubbleSize val="0"/>
        </c:dLbls>
        <c:gapWidth val="182"/>
        <c:axId val="422814368"/>
        <c:axId val="254737136"/>
      </c:barChart>
      <c:catAx>
        <c:axId val="422814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4737136"/>
        <c:crosses val="autoZero"/>
        <c:auto val="1"/>
        <c:lblAlgn val="ctr"/>
        <c:lblOffset val="100"/>
        <c:noMultiLvlLbl val="0"/>
      </c:catAx>
      <c:valAx>
        <c:axId val="2547371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2281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Lietuvių kalba ir literatūra</a:t>
            </a:r>
          </a:p>
        </c:rich>
      </c:tx>
      <c:overlay val="0"/>
      <c:spPr>
        <a:noFill/>
        <a:ln>
          <a:noFill/>
        </a:ln>
        <a:effectLst/>
      </c:spPr>
    </c:title>
    <c:autoTitleDeleted val="0"/>
    <c:plotArea>
      <c:layout>
        <c:manualLayout>
          <c:layoutTarget val="inner"/>
          <c:xMode val="edge"/>
          <c:yMode val="edge"/>
          <c:x val="5.1226669003417498E-2"/>
          <c:y val="0.14484809857658834"/>
          <c:w val="0.93287507980421369"/>
          <c:h val="0.61416285679395233"/>
        </c:manualLayout>
      </c:layout>
      <c:lineChart>
        <c:grouping val="standard"/>
        <c:varyColors val="0"/>
        <c:ser>
          <c:idx val="0"/>
          <c:order val="0"/>
          <c:tx>
            <c:strRef>
              <c:f>PUPP!$B$4</c:f>
              <c:strCache>
                <c:ptCount val="1"/>
                <c:pt idx="0">
                  <c:v>Panevėžio r.</c:v>
                </c:pt>
              </c:strCache>
            </c:strRef>
          </c:tx>
          <c:spPr>
            <a:ln w="28575" cap="rnd">
              <a:solidFill>
                <a:schemeClr val="accent1"/>
              </a:solidFill>
              <a:round/>
            </a:ln>
            <a:effectLst/>
          </c:spPr>
          <c:marker>
            <c:symbol val="none"/>
          </c:marker>
          <c:cat>
            <c:strRef>
              <c:f>PUPP!$C$2:$G$3</c:f>
              <c:strCache>
                <c:ptCount val="5"/>
                <c:pt idx="0">
                  <c:v>2015 m.</c:v>
                </c:pt>
                <c:pt idx="1">
                  <c:v>2016 m.</c:v>
                </c:pt>
                <c:pt idx="2">
                  <c:v>2017 m.</c:v>
                </c:pt>
                <c:pt idx="3">
                  <c:v>2018 m.</c:v>
                </c:pt>
                <c:pt idx="4">
                  <c:v>2019 m.</c:v>
                </c:pt>
              </c:strCache>
            </c:strRef>
          </c:cat>
          <c:val>
            <c:numRef>
              <c:f>PUPP!$C$4:$G$4</c:f>
              <c:numCache>
                <c:formatCode>General</c:formatCode>
                <c:ptCount val="5"/>
                <c:pt idx="0">
                  <c:v>5.6</c:v>
                </c:pt>
                <c:pt idx="1">
                  <c:v>6</c:v>
                </c:pt>
                <c:pt idx="2">
                  <c:v>6</c:v>
                </c:pt>
                <c:pt idx="3">
                  <c:v>5.6</c:v>
                </c:pt>
                <c:pt idx="4">
                  <c:v>6.2</c:v>
                </c:pt>
              </c:numCache>
            </c:numRef>
          </c:val>
          <c:smooth val="0"/>
        </c:ser>
        <c:ser>
          <c:idx val="1"/>
          <c:order val="1"/>
          <c:tx>
            <c:strRef>
              <c:f>PUPP!$B$5</c:f>
              <c:strCache>
                <c:ptCount val="1"/>
                <c:pt idx="0">
                  <c:v>Lietuva</c:v>
                </c:pt>
              </c:strCache>
            </c:strRef>
          </c:tx>
          <c:spPr>
            <a:ln w="28575" cap="rnd">
              <a:solidFill>
                <a:schemeClr val="accent2"/>
              </a:solidFill>
              <a:round/>
            </a:ln>
            <a:effectLst/>
          </c:spPr>
          <c:marker>
            <c:symbol val="none"/>
          </c:marker>
          <c:cat>
            <c:strRef>
              <c:f>PUPP!$C$2:$G$3</c:f>
              <c:strCache>
                <c:ptCount val="5"/>
                <c:pt idx="0">
                  <c:v>2015 m.</c:v>
                </c:pt>
                <c:pt idx="1">
                  <c:v>2016 m.</c:v>
                </c:pt>
                <c:pt idx="2">
                  <c:v>2017 m.</c:v>
                </c:pt>
                <c:pt idx="3">
                  <c:v>2018 m.</c:v>
                </c:pt>
                <c:pt idx="4">
                  <c:v>2019 m.</c:v>
                </c:pt>
              </c:strCache>
            </c:strRef>
          </c:cat>
          <c:val>
            <c:numRef>
              <c:f>PUPP!$C$5:$G$5</c:f>
              <c:numCache>
                <c:formatCode>General</c:formatCode>
                <c:ptCount val="5"/>
                <c:pt idx="0">
                  <c:v>6.3</c:v>
                </c:pt>
                <c:pt idx="1">
                  <c:v>6.5</c:v>
                </c:pt>
                <c:pt idx="2">
                  <c:v>6.5</c:v>
                </c:pt>
                <c:pt idx="3">
                  <c:v>6.3</c:v>
                </c:pt>
                <c:pt idx="4">
                  <c:v>6.3</c:v>
                </c:pt>
              </c:numCache>
            </c:numRef>
          </c:val>
          <c:smooth val="0"/>
        </c:ser>
        <c:dLbls>
          <c:showLegendKey val="0"/>
          <c:showVal val="0"/>
          <c:showCatName val="0"/>
          <c:showSerName val="0"/>
          <c:showPercent val="0"/>
          <c:showBubbleSize val="0"/>
        </c:dLbls>
        <c:smooth val="0"/>
        <c:axId val="475269096"/>
        <c:axId val="475267920"/>
      </c:lineChart>
      <c:catAx>
        <c:axId val="475269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267920"/>
        <c:crosses val="autoZero"/>
        <c:auto val="1"/>
        <c:lblAlgn val="ctr"/>
        <c:lblOffset val="100"/>
        <c:noMultiLvlLbl val="0"/>
      </c:catAx>
      <c:valAx>
        <c:axId val="47526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269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Matematika</a:t>
            </a:r>
          </a:p>
        </c:rich>
      </c:tx>
      <c:overlay val="0"/>
      <c:spPr>
        <a:noFill/>
        <a:ln>
          <a:noFill/>
        </a:ln>
        <a:effectLst/>
      </c:spPr>
    </c:title>
    <c:autoTitleDeleted val="0"/>
    <c:plotArea>
      <c:layout/>
      <c:lineChart>
        <c:grouping val="standard"/>
        <c:varyColors val="0"/>
        <c:ser>
          <c:idx val="0"/>
          <c:order val="0"/>
          <c:tx>
            <c:strRef>
              <c:f>PUPP!$B$8</c:f>
              <c:strCache>
                <c:ptCount val="1"/>
              </c:strCache>
            </c:strRef>
          </c:tx>
          <c:spPr>
            <a:ln w="28575" cap="rnd">
              <a:solidFill>
                <a:schemeClr val="accent1"/>
              </a:solidFill>
              <a:round/>
            </a:ln>
            <a:effectLst/>
          </c:spPr>
          <c:marker>
            <c:symbol val="none"/>
          </c:marker>
          <c:cat>
            <c:strRef>
              <c:f>PUPP!$C$3:$G$3</c:f>
              <c:strCache>
                <c:ptCount val="5"/>
                <c:pt idx="0">
                  <c:v>2015 m.</c:v>
                </c:pt>
                <c:pt idx="1">
                  <c:v>2016 m.</c:v>
                </c:pt>
                <c:pt idx="2">
                  <c:v>2017 m.</c:v>
                </c:pt>
                <c:pt idx="3">
                  <c:v>2018 m.</c:v>
                </c:pt>
                <c:pt idx="4">
                  <c:v>2019 m.</c:v>
                </c:pt>
              </c:strCache>
            </c:strRef>
          </c:cat>
          <c:val>
            <c:numRef>
              <c:f>PUPP!$C$8:$G$8</c:f>
              <c:numCache>
                <c:formatCode>General</c:formatCode>
                <c:ptCount val="5"/>
                <c:pt idx="0">
                  <c:v>0</c:v>
                </c:pt>
                <c:pt idx="1">
                  <c:v>0</c:v>
                </c:pt>
                <c:pt idx="2">
                  <c:v>0</c:v>
                </c:pt>
                <c:pt idx="3">
                  <c:v>0</c:v>
                </c:pt>
                <c:pt idx="4">
                  <c:v>0</c:v>
                </c:pt>
              </c:numCache>
            </c:numRef>
          </c:val>
          <c:smooth val="0"/>
        </c:ser>
        <c:ser>
          <c:idx val="1"/>
          <c:order val="1"/>
          <c:tx>
            <c:strRef>
              <c:f>PUPP!$B$9</c:f>
              <c:strCache>
                <c:ptCount val="1"/>
                <c:pt idx="0">
                  <c:v>Panevėžio r.</c:v>
                </c:pt>
              </c:strCache>
            </c:strRef>
          </c:tx>
          <c:spPr>
            <a:ln w="38100" cap="rnd">
              <a:solidFill>
                <a:schemeClr val="accent2"/>
              </a:solidFill>
              <a:round/>
            </a:ln>
            <a:effectLst/>
          </c:spPr>
          <c:marker>
            <c:symbol val="none"/>
          </c:marker>
          <c:cat>
            <c:strRef>
              <c:f>PUPP!$C$3:$G$3</c:f>
              <c:strCache>
                <c:ptCount val="5"/>
                <c:pt idx="0">
                  <c:v>2015 m.</c:v>
                </c:pt>
                <c:pt idx="1">
                  <c:v>2016 m.</c:v>
                </c:pt>
                <c:pt idx="2">
                  <c:v>2017 m.</c:v>
                </c:pt>
                <c:pt idx="3">
                  <c:v>2018 m.</c:v>
                </c:pt>
                <c:pt idx="4">
                  <c:v>2019 m.</c:v>
                </c:pt>
              </c:strCache>
            </c:strRef>
          </c:cat>
          <c:val>
            <c:numRef>
              <c:f>PUPP!$C$9:$G$9</c:f>
              <c:numCache>
                <c:formatCode>General</c:formatCode>
                <c:ptCount val="5"/>
                <c:pt idx="0">
                  <c:v>4.4000000000000004</c:v>
                </c:pt>
                <c:pt idx="1">
                  <c:v>5</c:v>
                </c:pt>
                <c:pt idx="2">
                  <c:v>5</c:v>
                </c:pt>
                <c:pt idx="3">
                  <c:v>4.0999999999999996</c:v>
                </c:pt>
                <c:pt idx="4">
                  <c:v>5.2</c:v>
                </c:pt>
              </c:numCache>
            </c:numRef>
          </c:val>
          <c:smooth val="0"/>
        </c:ser>
        <c:ser>
          <c:idx val="2"/>
          <c:order val="2"/>
          <c:tx>
            <c:strRef>
              <c:f>PUPP!$B$10</c:f>
              <c:strCache>
                <c:ptCount val="1"/>
                <c:pt idx="0">
                  <c:v>Lietuva</c:v>
                </c:pt>
              </c:strCache>
            </c:strRef>
          </c:tx>
          <c:spPr>
            <a:ln w="38100" cap="rnd">
              <a:solidFill>
                <a:schemeClr val="accent3"/>
              </a:solidFill>
              <a:round/>
            </a:ln>
            <a:effectLst/>
          </c:spPr>
          <c:marker>
            <c:symbol val="none"/>
          </c:marker>
          <c:cat>
            <c:strRef>
              <c:f>PUPP!$C$3:$G$3</c:f>
              <c:strCache>
                <c:ptCount val="5"/>
                <c:pt idx="0">
                  <c:v>2015 m.</c:v>
                </c:pt>
                <c:pt idx="1">
                  <c:v>2016 m.</c:v>
                </c:pt>
                <c:pt idx="2">
                  <c:v>2017 m.</c:v>
                </c:pt>
                <c:pt idx="3">
                  <c:v>2018 m.</c:v>
                </c:pt>
                <c:pt idx="4">
                  <c:v>2019 m.</c:v>
                </c:pt>
              </c:strCache>
            </c:strRef>
          </c:cat>
          <c:val>
            <c:numRef>
              <c:f>PUPP!$C$10:$G$10</c:f>
              <c:numCache>
                <c:formatCode>General</c:formatCode>
                <c:ptCount val="5"/>
                <c:pt idx="0">
                  <c:v>5.6</c:v>
                </c:pt>
                <c:pt idx="1">
                  <c:v>5.8</c:v>
                </c:pt>
                <c:pt idx="2">
                  <c:v>5.8</c:v>
                </c:pt>
                <c:pt idx="3">
                  <c:v>4.7</c:v>
                </c:pt>
                <c:pt idx="4">
                  <c:v>5.3</c:v>
                </c:pt>
              </c:numCache>
            </c:numRef>
          </c:val>
          <c:smooth val="0"/>
        </c:ser>
        <c:dLbls>
          <c:showLegendKey val="0"/>
          <c:showVal val="0"/>
          <c:showCatName val="0"/>
          <c:showSerName val="0"/>
          <c:showPercent val="0"/>
          <c:showBubbleSize val="0"/>
        </c:dLbls>
        <c:smooth val="0"/>
        <c:axId val="475269488"/>
        <c:axId val="475269880"/>
      </c:lineChart>
      <c:catAx>
        <c:axId val="47526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269880"/>
        <c:crosses val="autoZero"/>
        <c:auto val="1"/>
        <c:lblAlgn val="ctr"/>
        <c:lblOffset val="100"/>
        <c:noMultiLvlLbl val="0"/>
      </c:catAx>
      <c:valAx>
        <c:axId val="475269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lt-LT"/>
          </a:p>
        </c:txPr>
        <c:crossAx val="47526948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44ECC-0710-4FA6-AAC2-6E7DF317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28107</Words>
  <Characters>16022</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Ataskaita</vt:lpstr>
    </vt:vector>
  </TitlesOfParts>
  <Company>Svietimo sk</Company>
  <LinksUpToDate>false</LinksUpToDate>
  <CharactersWithSpaces>44041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Ataskaita</dc:title>
  <dc:subject/>
  <dc:creator>Rimtas</dc:creator>
  <cp:keywords/>
  <dc:description/>
  <cp:lastModifiedBy>Diana Zukauskiene</cp:lastModifiedBy>
  <cp:revision>4</cp:revision>
  <cp:lastPrinted>2020-11-06T13:27:00Z</cp:lastPrinted>
  <dcterms:created xsi:type="dcterms:W3CDTF">2020-11-19T09:25:00Z</dcterms:created>
  <dcterms:modified xsi:type="dcterms:W3CDTF">2020-11-19T09:30:00Z</dcterms:modified>
</cp:coreProperties>
</file>