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976" w:rsidRDefault="00A7377F">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t xml:space="preserve">      PRITARTA</w:t>
      </w:r>
    </w:p>
    <w:p w:rsidR="00D17976" w:rsidRDefault="00A7377F">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t xml:space="preserve">      Panevėžio rajono savivaldybės tarybos</w:t>
      </w:r>
    </w:p>
    <w:p w:rsidR="00D17976" w:rsidRDefault="00A7377F">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t xml:space="preserve">       </w:t>
      </w:r>
      <w:r>
        <w:rPr>
          <w:rFonts w:ascii="Times New Roman" w:eastAsia="Times New Roman" w:hAnsi="Times New Roman" w:cs="Times New Roman"/>
          <w:bCs/>
          <w:color w:val="000000"/>
          <w:sz w:val="24"/>
          <w:szCs w:val="24"/>
          <w:lang w:eastAsia="ar-SA"/>
        </w:rPr>
        <w:t xml:space="preserve">2020 m. gegužės </w:t>
      </w:r>
      <w:r w:rsidR="001F16A2">
        <w:rPr>
          <w:rFonts w:ascii="Times New Roman" w:eastAsia="Times New Roman" w:hAnsi="Times New Roman" w:cs="Times New Roman"/>
          <w:bCs/>
          <w:color w:val="000000"/>
          <w:sz w:val="24"/>
          <w:szCs w:val="24"/>
          <w:lang w:eastAsia="ar-SA"/>
        </w:rPr>
        <w:t>28</w:t>
      </w:r>
      <w:r>
        <w:rPr>
          <w:rFonts w:ascii="Times New Roman" w:eastAsia="Times New Roman" w:hAnsi="Times New Roman" w:cs="Times New Roman"/>
          <w:bCs/>
          <w:color w:val="000000"/>
          <w:sz w:val="24"/>
          <w:szCs w:val="24"/>
          <w:lang w:eastAsia="ar-SA"/>
        </w:rPr>
        <w:t xml:space="preserve"> d. sprendimu Nr. T-</w:t>
      </w:r>
    </w:p>
    <w:p w:rsidR="00D17976" w:rsidRPr="004569DB" w:rsidRDefault="00D17976">
      <w:pPr>
        <w:spacing w:after="0" w:line="240" w:lineRule="auto"/>
        <w:rPr>
          <w:rFonts w:ascii="Times New Roman" w:eastAsia="Times New Roman" w:hAnsi="Times New Roman" w:cs="Times New Roman"/>
          <w:bCs/>
          <w:color w:val="000000"/>
          <w:sz w:val="24"/>
          <w:szCs w:val="24"/>
          <w:lang w:eastAsia="ar-SA"/>
        </w:rPr>
      </w:pPr>
    </w:p>
    <w:p w:rsidR="00D17976" w:rsidRDefault="00A7377F" w:rsidP="001F16A2">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PANEVĖŽIO R. UPYTĖS ANTANO BELAZARO PAGRINDINĖS MOKYKLOS</w:t>
      </w:r>
      <w:r>
        <w:rPr>
          <w:rFonts w:ascii="Times New Roman" w:eastAsia="Times New Roman" w:hAnsi="Times New Roman" w:cs="Times New Roman"/>
          <w:b/>
          <w:bCs/>
          <w:sz w:val="24"/>
          <w:szCs w:val="24"/>
          <w:lang w:eastAsia="ar-SA"/>
        </w:rPr>
        <w:t xml:space="preserve"> </w:t>
      </w:r>
      <w:r w:rsidR="001F16A2">
        <w:rPr>
          <w:rFonts w:ascii="Times New Roman" w:eastAsia="Times New Roman" w:hAnsi="Times New Roman" w:cs="Times New Roman"/>
          <w:b/>
          <w:bCs/>
          <w:sz w:val="24"/>
          <w:szCs w:val="24"/>
          <w:lang w:eastAsia="ar-SA"/>
        </w:rPr>
        <w:br/>
      </w:r>
      <w:r>
        <w:rPr>
          <w:rFonts w:ascii="Times New Roman" w:eastAsia="Times New Roman" w:hAnsi="Times New Roman" w:cs="Times New Roman"/>
          <w:b/>
          <w:bCs/>
          <w:sz w:val="24"/>
          <w:szCs w:val="24"/>
          <w:lang w:eastAsia="ar-SA"/>
        </w:rPr>
        <w:t>2019 METŲ VEIKLOS ATASKAITA</w:t>
      </w:r>
    </w:p>
    <w:p w:rsidR="00D17976" w:rsidRPr="004569DB"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I. BENDRA INFORMACIJA APIE MOKYKLĄ </w:t>
      </w:r>
    </w:p>
    <w:p w:rsidR="00D17976" w:rsidRDefault="00D17976">
      <w:pPr>
        <w:spacing w:after="0" w:line="240" w:lineRule="auto"/>
        <w:jc w:val="both"/>
        <w:rPr>
          <w:rFonts w:ascii="Times New Roman" w:eastAsia="Times New Roman" w:hAnsi="Times New Roman" w:cs="Times New Roman"/>
          <w:sz w:val="24"/>
          <w:szCs w:val="24"/>
          <w:lang w:eastAsia="ar-SA"/>
        </w:rPr>
      </w:pPr>
    </w:p>
    <w:p w:rsidR="00D17976" w:rsidRDefault="00A7377F">
      <w:pPr>
        <w:pStyle w:val="ListParagraph"/>
        <w:numPr>
          <w:ilvl w:val="1"/>
          <w:numId w:val="1"/>
        </w:numPr>
        <w:spacing w:after="0" w:line="240" w:lineRule="auto"/>
        <w:ind w:left="0" w:firstLine="85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Mokyklos kontekstinė aplinka (geografinės, kultūrinės, demografinės, ekonominės ir kt. situacijos įtaka mokyklos veiklai).</w:t>
      </w:r>
    </w:p>
    <w:p w:rsidR="00D17976" w:rsidRDefault="00A7377F">
      <w:pPr>
        <w:pStyle w:val="ListParagraph"/>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Upytė – seniūnijos centras, apie 10 km nutolęs nuo Panevėžio miesto. Patogus susisiekimas su rajono centru. Upytėje ir aplink esančiuose kaimuose gyvena apie 600 žmonių. Upytėje įsikūrę Ėriškių kultūros centro Upytės tradicinių amatų centras ir Linų muziejus. Upytėje veikia UAB „Genetiniai ištekliai“, kurioje dirba apie 60 darbuotojų. Kiti darbingo amžiaus žmonės dirba Panevėžio mieste ar netoli Upytės veikiančioje įmonėje UAB Panevėžio logistikos centre. Kartais tėvai (globėjai, rūpintojai), išvažiuodami dirbti į Panevėžį, į miestą išsiveža ir savo vaikus, kurie ten lanko mokyklą. Upytėje veikia Panevėžio rajono gyventojų bendruomenė „Upytės žemė“, su kuria mokykla vykdo bendrus projektus, organizuoja šventes. Geri mokyklos bendradarbiavimo santykiai su Upytės seniūnija, bažnyčia, Upytės tradicinių amatų centru.</w:t>
      </w:r>
    </w:p>
    <w:p w:rsidR="00D17976" w:rsidRDefault="00A7377F">
      <w:pPr>
        <w:pStyle w:val="ListParagraph"/>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Pr="001F16A2">
        <w:rPr>
          <w:rFonts w:ascii="Times New Roman" w:eastAsia="Times New Roman" w:hAnsi="Times New Roman" w:cs="Times New Roman"/>
          <w:sz w:val="24"/>
          <w:szCs w:val="24"/>
          <w:lang w:eastAsia="ar-SA"/>
        </w:rPr>
        <w:t xml:space="preserve">Vadybinės veiklos </w:t>
      </w:r>
      <w:r>
        <w:rPr>
          <w:rFonts w:ascii="Times New Roman" w:eastAsia="Times New Roman" w:hAnsi="Times New Roman" w:cs="Times New Roman"/>
          <w:sz w:val="24"/>
          <w:szCs w:val="24"/>
          <w:lang w:eastAsia="ar-SA"/>
        </w:rPr>
        <w:t>pasiekimai, įsimintini sėkmės atvejai.</w:t>
      </w:r>
    </w:p>
    <w:p w:rsidR="00D17976" w:rsidRDefault="00A7377F" w:rsidP="001F16A2">
      <w:pPr>
        <w:pStyle w:val="ListParagraph"/>
        <w:spacing w:after="0" w:line="240" w:lineRule="auto"/>
        <w:ind w:left="0" w:firstLine="851"/>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 xml:space="preserve">Taikomas mokymosi motyvaciją skatinantis vertinimas, vykdoma ugdomosios veiklos stebėsena ir dalijamasi gerąja patirtimi, tobulinant pamokos kokybę. Pagal mokytojų savianalizės ataskaitų duomenis ir pamokų stebėsenos metu nustatyta, kad 80 proc. </w:t>
      </w:r>
      <w:r w:rsidRPr="001F16A2">
        <w:rPr>
          <w:rFonts w:ascii="Times New Roman" w:eastAsia="Calibri" w:hAnsi="Times New Roman" w:cs="Times New Roman"/>
          <w:kern w:val="2"/>
          <w:sz w:val="24"/>
          <w:szCs w:val="24"/>
          <w:lang w:eastAsia="ar-SA"/>
        </w:rPr>
        <w:t>mokytojų</w:t>
      </w:r>
      <w:r>
        <w:rPr>
          <w:rFonts w:ascii="Times New Roman" w:eastAsia="Calibri" w:hAnsi="Times New Roman" w:cs="Times New Roman"/>
          <w:kern w:val="2"/>
          <w:sz w:val="24"/>
          <w:szCs w:val="24"/>
          <w:lang w:eastAsia="ar-SA"/>
        </w:rPr>
        <w:t xml:space="preserve"> taiko kaupiamąjį vertinimą, stebėta kiekvieno mokytojo bent viena pamoka. Patvirtinti </w:t>
      </w:r>
      <w:r w:rsidRPr="001F16A2">
        <w:rPr>
          <w:rFonts w:ascii="Times New Roman" w:eastAsia="Calibri" w:hAnsi="Times New Roman" w:cs="Times New Roman"/>
          <w:kern w:val="2"/>
          <w:sz w:val="24"/>
          <w:szCs w:val="24"/>
          <w:lang w:eastAsia="ar-SA"/>
        </w:rPr>
        <w:t xml:space="preserve">Mokinių pažangos ir pasiekimų vertinimo, Pamokų lankomumo gerinimo, Mokinių priėmimo į mokyklą, </w:t>
      </w:r>
      <w:r w:rsidR="001F16A2">
        <w:rPr>
          <w:rFonts w:ascii="Times New Roman" w:eastAsia="Calibri" w:hAnsi="Times New Roman" w:cs="Times New Roman"/>
          <w:kern w:val="2"/>
          <w:sz w:val="24"/>
          <w:szCs w:val="24"/>
          <w:lang w:eastAsia="ar-SA"/>
        </w:rPr>
        <w:t xml:space="preserve">Mokesčio už vaikų išlaikymą ikimokyklinio ugdymo skyriuje, </w:t>
      </w:r>
      <w:r w:rsidRPr="001F16A2">
        <w:rPr>
          <w:rFonts w:ascii="Times New Roman" w:eastAsia="Calibri" w:hAnsi="Times New Roman" w:cs="Times New Roman"/>
          <w:kern w:val="2"/>
          <w:sz w:val="24"/>
          <w:szCs w:val="24"/>
          <w:lang w:eastAsia="ar-SA"/>
        </w:rPr>
        <w:t>Mokyklos direktoriaus pavaduotojo ugdymui, skyriaus vedėjo, mokytojų, pagalbos mokiniui specialistų kvalifikacijos tobulinimo tvarkų aprašai</w:t>
      </w:r>
      <w:r>
        <w:rPr>
          <w:rFonts w:ascii="Times New Roman" w:eastAsia="Calibri" w:hAnsi="Times New Roman" w:cs="Times New Roman"/>
          <w:kern w:val="2"/>
          <w:sz w:val="24"/>
          <w:szCs w:val="24"/>
          <w:lang w:eastAsia="ar-SA"/>
        </w:rPr>
        <w:t xml:space="preserve"> ir Mokinių pasiekimų gerinimo priemonių, Pradinio ugdymo programos ir pagrindinio ugdymo </w:t>
      </w:r>
      <w:r w:rsidRPr="001F16A2">
        <w:rPr>
          <w:rFonts w:ascii="Times New Roman" w:eastAsia="Calibri" w:hAnsi="Times New Roman" w:cs="Times New Roman"/>
          <w:kern w:val="2"/>
          <w:sz w:val="24"/>
          <w:szCs w:val="24"/>
          <w:lang w:eastAsia="ar-SA"/>
        </w:rPr>
        <w:t>programos</w:t>
      </w:r>
      <w:r>
        <w:rPr>
          <w:rFonts w:ascii="Times New Roman" w:eastAsia="Calibri" w:hAnsi="Times New Roman" w:cs="Times New Roman"/>
          <w:kern w:val="2"/>
          <w:sz w:val="24"/>
          <w:szCs w:val="24"/>
          <w:lang w:eastAsia="ar-SA"/>
        </w:rPr>
        <w:t xml:space="preserve">, </w:t>
      </w:r>
      <w:r w:rsidR="00111273">
        <w:rPr>
          <w:rFonts w:ascii="Times New Roman" w:eastAsia="Calibri" w:hAnsi="Times New Roman" w:cs="Times New Roman"/>
          <w:kern w:val="2"/>
          <w:sz w:val="24"/>
          <w:szCs w:val="24"/>
          <w:lang w:eastAsia="ar-SA"/>
        </w:rPr>
        <w:br/>
      </w:r>
      <w:r>
        <w:rPr>
          <w:rFonts w:ascii="Times New Roman" w:eastAsia="Calibri" w:hAnsi="Times New Roman" w:cs="Times New Roman"/>
          <w:kern w:val="2"/>
          <w:sz w:val="24"/>
          <w:szCs w:val="24"/>
          <w:lang w:eastAsia="ar-SA"/>
        </w:rPr>
        <w:t xml:space="preserve">2020 metų veiklos planai. Atnaujintos Mokinių mokymosi sutartys. Atlikus 2018–2019 m. m. ir 2019–2020 m. m. I pusmečio pažangos ir pasiekimų bei lankomumo analizę paaiškėjo, kad </w:t>
      </w:r>
      <w:r w:rsidR="00111273">
        <w:rPr>
          <w:rFonts w:ascii="Times New Roman" w:eastAsia="Calibri" w:hAnsi="Times New Roman" w:cs="Times New Roman"/>
          <w:kern w:val="2"/>
          <w:sz w:val="24"/>
          <w:szCs w:val="24"/>
          <w:lang w:eastAsia="ar-SA"/>
        </w:rPr>
        <w:br/>
      </w:r>
      <w:r>
        <w:rPr>
          <w:rFonts w:ascii="Times New Roman" w:eastAsia="Calibri" w:hAnsi="Times New Roman" w:cs="Times New Roman"/>
          <w:kern w:val="2"/>
          <w:sz w:val="24"/>
          <w:szCs w:val="24"/>
          <w:lang w:eastAsia="ar-SA"/>
        </w:rPr>
        <w:t xml:space="preserve">5–10 klasių mokinių pažangumo vidurkis pakilo 0,04 balo. 100 proc. panaudotos Kultūros paso lėšos mokinių pažintinei kultūrinei veiklai. Patvirtinta 2019–2023 m. Sveikatos stiprinimo programa „Būsime sveiki ir stiprūs“, mokyklai suteiktas Sveikatą stiprinančios mokyklos statusas. </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 xml:space="preserve">Pakeista mokyklos darbuotojų, dirbančių pagal darbo sutartis, darbo apmokėjimo sistema. Patvirtinti pareigybių sąrašai. </w:t>
      </w:r>
      <w:r w:rsidR="001F16A2">
        <w:rPr>
          <w:rFonts w:ascii="Times New Roman" w:eastAsia="Calibri" w:hAnsi="Times New Roman" w:cs="Times New Roman"/>
          <w:kern w:val="2"/>
          <w:sz w:val="24"/>
          <w:szCs w:val="24"/>
          <w:lang w:eastAsia="ar-SA"/>
        </w:rPr>
        <w:t>Pakeistos</w:t>
      </w:r>
      <w:r>
        <w:rPr>
          <w:rFonts w:ascii="Times New Roman" w:eastAsia="Calibri" w:hAnsi="Times New Roman" w:cs="Times New Roman"/>
          <w:kern w:val="2"/>
          <w:sz w:val="24"/>
          <w:szCs w:val="24"/>
          <w:lang w:eastAsia="ar-SA"/>
        </w:rPr>
        <w:t xml:space="preserve"> mokytojų darbo sutar</w:t>
      </w:r>
      <w:r w:rsidR="001F16A2">
        <w:rPr>
          <w:rFonts w:ascii="Times New Roman" w:eastAsia="Calibri" w:hAnsi="Times New Roman" w:cs="Times New Roman"/>
          <w:kern w:val="2"/>
          <w:sz w:val="24"/>
          <w:szCs w:val="24"/>
          <w:lang w:eastAsia="ar-SA"/>
        </w:rPr>
        <w:t>tys</w:t>
      </w:r>
      <w:r>
        <w:rPr>
          <w:rFonts w:ascii="Times New Roman" w:eastAsia="Calibri" w:hAnsi="Times New Roman" w:cs="Times New Roman"/>
          <w:kern w:val="2"/>
          <w:sz w:val="24"/>
          <w:szCs w:val="24"/>
          <w:lang w:eastAsia="ar-SA"/>
        </w:rPr>
        <w:t>. Parengtos darbuotojų veiklos užduotys. Patvirtintas Ekstremaliųjų situacijų 2019–2020 metų prevencijos priemonių planas, sėkmingai dalyvauta jungtinėse Panevėžio rajono savivaldybės, Krekenavos Mykolo Antanaičio gimnazijos ir Upytės Antano Belazaro pagrindinės mokyklos funkcinėse pratybose. Patvirtintos mokyklos gaisrinės saugos taisyklės.</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highlight w:val="yellow"/>
          <w:lang w:eastAsia="ar-SA"/>
        </w:rPr>
      </w:pPr>
      <w:r>
        <w:rPr>
          <w:rFonts w:ascii="Times New Roman" w:eastAsia="Calibri" w:hAnsi="Times New Roman" w:cs="Times New Roman"/>
          <w:kern w:val="2"/>
          <w:sz w:val="24"/>
          <w:szCs w:val="24"/>
          <w:lang w:eastAsia="ar-SA"/>
        </w:rPr>
        <w:t xml:space="preserve">Stiprinami mokyklos materialiniai, techniniai, informaciniai ištekliai – suremontuotas užsienio kalbų kabinetas, suremontuota ir apšiltinta mokyklos stogo dalis. Atnaujinti Nekilnojamojo turto objektų kadastro duomenys – atlikti mokyklos pastato ir ikimokyklinio ugdymo skyriaus žemės kadastriniai matavimai. </w:t>
      </w:r>
      <w:r w:rsidR="001F16A2">
        <w:rPr>
          <w:rFonts w:ascii="Times New Roman" w:eastAsia="Calibri" w:hAnsi="Times New Roman" w:cs="Times New Roman"/>
          <w:kern w:val="2"/>
          <w:sz w:val="24"/>
          <w:szCs w:val="24"/>
          <w:lang w:eastAsia="ar-SA"/>
        </w:rPr>
        <w:t>N</w:t>
      </w:r>
      <w:r>
        <w:rPr>
          <w:rFonts w:ascii="Times New Roman" w:eastAsia="Calibri" w:hAnsi="Times New Roman" w:cs="Times New Roman"/>
          <w:kern w:val="2"/>
          <w:sz w:val="24"/>
          <w:szCs w:val="24"/>
          <w:lang w:eastAsia="ar-SA"/>
        </w:rPr>
        <w:t xml:space="preserve">upirkti 3 nešiojami kompiuteriai, įrengtos kompiuterizuotos vietos mokytojams, </w:t>
      </w:r>
      <w:r>
        <w:rPr>
          <w:rFonts w:ascii="Times New Roman" w:eastAsia="Calibri" w:hAnsi="Times New Roman" w:cs="Times New Roman"/>
          <w:sz w:val="24"/>
          <w:szCs w:val="24"/>
        </w:rPr>
        <w:t>nupirkta daržovių pjaustyklė mokyklos valgyklai.</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highlight w:val="yellow"/>
          <w:lang w:eastAsia="ar-SA"/>
        </w:rPr>
      </w:pPr>
      <w:r>
        <w:rPr>
          <w:rFonts w:ascii="Times New Roman" w:eastAsia="Calibri" w:hAnsi="Times New Roman" w:cs="Times New Roman"/>
          <w:kern w:val="2"/>
          <w:sz w:val="24"/>
          <w:szCs w:val="24"/>
          <w:lang w:eastAsia="ar-SA"/>
        </w:rPr>
        <w:t>Vykdant mokyklos veiklos kokybės įsivertinimą ir apklausus 51 proc. visų mokyklos mokinių tėvų (globėjų, rūpintojų), visos vidutinės vertės yra aukštesnės negu 2,5 ir yra traktuojamos kaip pozityvios.</w:t>
      </w:r>
    </w:p>
    <w:p w:rsidR="00D17976" w:rsidRDefault="00D17976">
      <w:pPr>
        <w:pStyle w:val="ListParagraph"/>
        <w:spacing w:after="0" w:line="240" w:lineRule="auto"/>
        <w:ind w:left="0" w:firstLine="630"/>
        <w:jc w:val="both"/>
        <w:rPr>
          <w:rFonts w:ascii="Times New Roman" w:eastAsia="Calibri" w:hAnsi="Times New Roman" w:cs="Times New Roman"/>
          <w:kern w:val="2"/>
          <w:sz w:val="24"/>
          <w:szCs w:val="24"/>
          <w:lang w:eastAsia="ar-SA"/>
        </w:rPr>
      </w:pPr>
    </w:p>
    <w:p w:rsidR="00D17976" w:rsidRDefault="001F16A2">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1.3. Darbuotojai:</w:t>
      </w:r>
    </w:p>
    <w:tbl>
      <w:tblPr>
        <w:tblW w:w="9425" w:type="dxa"/>
        <w:tblInd w:w="109" w:type="dxa"/>
        <w:tblLook w:val="04A0" w:firstRow="1" w:lastRow="0" w:firstColumn="1" w:lastColumn="0" w:noHBand="0" w:noVBand="1"/>
      </w:tblPr>
      <w:tblGrid>
        <w:gridCol w:w="876"/>
        <w:gridCol w:w="6807"/>
        <w:gridCol w:w="1742"/>
      </w:tblGrid>
      <w:tr w:rsidR="00D17976" w:rsidTr="00111273">
        <w:trPr>
          <w:trHeight w:val="329"/>
        </w:trPr>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Eil.</w:t>
            </w:r>
            <w:r w:rsidR="001F16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Nr.</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center"/>
              <w:rPr>
                <w:rFonts w:ascii="Times New Roman" w:eastAsia="Times New Roman" w:hAnsi="Times New Roman" w:cs="Times New Roman"/>
                <w:sz w:val="24"/>
                <w:szCs w:val="24"/>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eastAsia="ar-SA"/>
              </w:rPr>
              <w:t>2019 m. gruodžio 31 d.</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43</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 xml:space="preserve">24 + 5 </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 + 1</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11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8</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3</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19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12</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6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w:t>
            </w:r>
          </w:p>
        </w:tc>
      </w:tr>
      <w:tr w:rsidR="00D17976" w:rsidTr="00111273">
        <w:trPr>
          <w:trHeight w:val="381"/>
        </w:trPr>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0</w:t>
            </w:r>
          </w:p>
        </w:tc>
      </w:tr>
    </w:tbl>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w:t>
      </w:r>
    </w:p>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 xml:space="preserve">        </w:t>
      </w:r>
      <w:r w:rsidR="001F16A2">
        <w:rPr>
          <w:rFonts w:ascii="Times New Roman" w:eastAsia="Calibri" w:hAnsi="Times New Roman" w:cs="Times New Roman"/>
          <w:bCs/>
          <w:color w:val="000000"/>
          <w:kern w:val="2"/>
          <w:sz w:val="24"/>
          <w:szCs w:val="24"/>
          <w:shd w:val="clear" w:color="auto" w:fill="FFFFFF"/>
          <w:lang w:eastAsia="ar-SA"/>
        </w:rPr>
        <w:t xml:space="preserve">      </w:t>
      </w:r>
      <w:r>
        <w:rPr>
          <w:rFonts w:ascii="Times New Roman" w:eastAsia="Calibri" w:hAnsi="Times New Roman" w:cs="Times New Roman"/>
          <w:bCs/>
          <w:color w:val="000000"/>
          <w:kern w:val="2"/>
          <w:sz w:val="24"/>
          <w:szCs w:val="24"/>
          <w:shd w:val="clear" w:color="auto" w:fill="FFFFFF"/>
          <w:lang w:eastAsia="ar-SA"/>
        </w:rPr>
        <w:t>1.4. Metinio veiklos plano įgyvendinimas.</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Pirmas uždavinys – atsižvelgiant į mokinių pasiekimus, siekti mokymo(si) ir ugdymo(si) kokybės. Siekdami mokymo(si) ir ugdymo(si) kokybės, kuriant besimokančią bendruomenę, tobulinome vertinimo strategijas, orientuotas į mokinio individualią pažangą. Siekiant gerinti pamokos kokybę ir gebėjimą dirbti su skirtingų poreikių mokiniais, stebėjome 11 pamokų. Mokytojų tarybos posėdyje atlikome stebėtų pamokų analizę. Aptarėme mokyklos veiklos kokybės įsivertinimo </w:t>
      </w:r>
      <w:r w:rsidR="000938EA">
        <w:rPr>
          <w:rFonts w:ascii="Times New Roman" w:eastAsia="Times New Roman" w:hAnsi="Times New Roman" w:cs="Times New Roman"/>
          <w:sz w:val="24"/>
          <w:szCs w:val="24"/>
          <w:lang w:eastAsia="lt-LT"/>
        </w:rPr>
        <w:t xml:space="preserve">srities </w:t>
      </w:r>
      <w:r>
        <w:rPr>
          <w:rFonts w:ascii="Times New Roman" w:eastAsia="Times New Roman" w:hAnsi="Times New Roman" w:cs="Times New Roman"/>
          <w:sz w:val="24"/>
          <w:szCs w:val="24"/>
          <w:lang w:eastAsia="lt-LT"/>
        </w:rPr>
        <w:t>„Mokymasis</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rezultatus ir priėmėme sprendimą atsižvelgti į tobulintinus mokyklos veiklos aspektus organizuojant ir planuojant veiklą. Analizavome mokinių anketinės apklausos rezultatus ir juos pristatėme visuotiniame tėvų </w:t>
      </w:r>
      <w:r w:rsidR="000938EA">
        <w:rPr>
          <w:rFonts w:ascii="Times New Roman" w:eastAsia="Times New Roman" w:hAnsi="Times New Roman" w:cs="Times New Roman"/>
          <w:sz w:val="24"/>
          <w:szCs w:val="24"/>
          <w:lang w:eastAsia="lt-LT"/>
        </w:rPr>
        <w:t xml:space="preserve">(globėjų, rūpintojų) </w:t>
      </w:r>
      <w:r>
        <w:rPr>
          <w:rFonts w:ascii="Times New Roman" w:eastAsia="Times New Roman" w:hAnsi="Times New Roman" w:cs="Times New Roman"/>
          <w:sz w:val="24"/>
          <w:szCs w:val="24"/>
          <w:lang w:eastAsia="lt-LT"/>
        </w:rPr>
        <w:t xml:space="preserve">susirinkime. Atlikome mokinių lūkesčių ir pasiekimų analizę ir nutarėme, kad lūkesčių ir pasiekimų lenteles klasių vadovai gali pasirinkti skirtingas, jas aptars pasibaigus pusmečiams, 1 klasėje pradės pildyti po I pusmečio. Atlikome mokinių apklausą dėl neformaliojo vaikų švietimo poreikio, </w:t>
      </w:r>
      <w:r w:rsidR="000938EA">
        <w:rPr>
          <w:rFonts w:ascii="Times New Roman" w:eastAsia="Times New Roman" w:hAnsi="Times New Roman" w:cs="Times New Roman"/>
          <w:sz w:val="24"/>
          <w:szCs w:val="24"/>
          <w:lang w:eastAsia="lt-LT"/>
        </w:rPr>
        <w:t>pareng</w:t>
      </w:r>
      <w:r>
        <w:rPr>
          <w:rFonts w:ascii="Times New Roman" w:eastAsia="Times New Roman" w:hAnsi="Times New Roman" w:cs="Times New Roman"/>
          <w:sz w:val="24"/>
          <w:szCs w:val="24"/>
          <w:lang w:eastAsia="lt-LT"/>
        </w:rPr>
        <w:t>ėme mokinių pasiekimų gerinimo planą 2019–2020 m</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m. Teikėme pedagoginę, specialiąją pedagoginę pagalbą specialiųjų poreikių mokiniams. Skyrėme dėmesį gabių mokinių ugdymui – dalyvavome olimpiadose, konkursuose. Tobulinome mokytojų dalykines ir bendrąsias kompetencijas, įgyvendinant mokymosi visą gyvenimą principus. Nuolat stebėjome pamokų lankomumą, problemas nagrinėjame mokytojų susirinkimuose, Vaiko gerovės komisijos posėdžiuose, klasių vadovai bendravo su šeimomis, kurių vaikai praleidžia pamokas be pateisinamos priežasties. Mokykla naudojo </w:t>
      </w:r>
      <w:r>
        <w:rPr>
          <w:rFonts w:ascii="Times New Roman" w:eastAsia="Calibri" w:hAnsi="Times New Roman" w:cs="Times New Roman"/>
          <w:sz w:val="24"/>
          <w:szCs w:val="24"/>
        </w:rPr>
        <w:t>IQES online Lietuva instrumentus mokyklos veiklai įsivertinti ir kokybei tobulinti.</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Antras uždavinys – tobulinti pagalbos mokiniui sistemą. </w:t>
      </w:r>
      <w:r>
        <w:rPr>
          <w:rFonts w:ascii="Times New Roman" w:eastAsia="Times New Roman" w:hAnsi="Times New Roman" w:cs="Times New Roman"/>
          <w:sz w:val="24"/>
          <w:szCs w:val="24"/>
          <w:lang w:eastAsia="lt-LT"/>
        </w:rPr>
        <w:t xml:space="preserve">Skatindami mokytojų, tėvų (globėjų, rūpintojų), mokinių bendradarbiavimą, klasių vadovai vieną kartą per mėnesį teikė tėvams </w:t>
      </w:r>
      <w:r w:rsidR="000938EA">
        <w:rPr>
          <w:rFonts w:ascii="Times New Roman" w:eastAsia="Times New Roman" w:hAnsi="Times New Roman" w:cs="Times New Roman"/>
          <w:sz w:val="24"/>
          <w:szCs w:val="24"/>
          <w:lang w:eastAsia="lt-LT"/>
        </w:rPr>
        <w:t xml:space="preserve">(globėjams, rūpintojams) </w:t>
      </w:r>
      <w:r>
        <w:rPr>
          <w:rFonts w:ascii="Times New Roman" w:eastAsia="Times New Roman" w:hAnsi="Times New Roman" w:cs="Times New Roman"/>
          <w:sz w:val="24"/>
          <w:szCs w:val="24"/>
          <w:lang w:eastAsia="lt-LT"/>
        </w:rPr>
        <w:t>mokinių ugdymosi ir lankomumo ataskaitas, reikalui esant bendravo ir dažniau. Tėvus</w:t>
      </w:r>
      <w:r w:rsidR="000938EA">
        <w:rPr>
          <w:rFonts w:ascii="Times New Roman" w:eastAsia="Times New Roman" w:hAnsi="Times New Roman" w:cs="Times New Roman"/>
          <w:sz w:val="24"/>
          <w:szCs w:val="24"/>
          <w:lang w:eastAsia="lt-LT"/>
        </w:rPr>
        <w:t xml:space="preserve"> (globėjus, rūpintojus)</w:t>
      </w:r>
      <w:r>
        <w:rPr>
          <w:rFonts w:ascii="Times New Roman" w:eastAsia="Times New Roman" w:hAnsi="Times New Roman" w:cs="Times New Roman"/>
          <w:sz w:val="24"/>
          <w:szCs w:val="24"/>
          <w:lang w:eastAsia="lt-LT"/>
        </w:rPr>
        <w:t xml:space="preserve">, esant poreikiui, konsultavo mokyklos psichologas. Sprendžiant ugdymosi ir lankomumo problemas, mokinių tėvai </w:t>
      </w:r>
      <w:r w:rsidR="000938EA">
        <w:rPr>
          <w:rFonts w:ascii="Times New Roman" w:eastAsia="Times New Roman" w:hAnsi="Times New Roman" w:cs="Times New Roman"/>
          <w:sz w:val="24"/>
          <w:szCs w:val="24"/>
          <w:lang w:eastAsia="lt-LT"/>
        </w:rPr>
        <w:t xml:space="preserve">(globėjai, rūpintojai) </w:t>
      </w:r>
      <w:r>
        <w:rPr>
          <w:rFonts w:ascii="Times New Roman" w:eastAsia="Times New Roman" w:hAnsi="Times New Roman" w:cs="Times New Roman"/>
          <w:sz w:val="24"/>
          <w:szCs w:val="24"/>
          <w:lang w:eastAsia="lt-LT"/>
        </w:rPr>
        <w:t>buvo kviesti į bendrus susirinkimus, Vaiko gerovės komisijos posėdžius. Organizuoti bendri renginiai (Žemės mėnesio renginiai, Paskutinio skambučio, Rugsėjo pirmosios šventės, Mokytojų dienos minėjimas, Kalėdinis karnavalas). Buvo organizuojami emocinių ir socialinių įgūdžių mokymai, seminarai mokiniams, jų tėvams</w:t>
      </w:r>
      <w:r w:rsidR="000938EA">
        <w:rPr>
          <w:rFonts w:ascii="Times New Roman" w:eastAsia="Times New Roman" w:hAnsi="Times New Roman" w:cs="Times New Roman"/>
          <w:sz w:val="24"/>
          <w:szCs w:val="24"/>
          <w:lang w:eastAsia="lt-LT"/>
        </w:rPr>
        <w:t xml:space="preserve"> (globėjams, rūpintojams)</w:t>
      </w:r>
      <w:r>
        <w:rPr>
          <w:rFonts w:ascii="Times New Roman" w:eastAsia="Times New Roman" w:hAnsi="Times New Roman" w:cs="Times New Roman"/>
          <w:sz w:val="24"/>
          <w:szCs w:val="24"/>
          <w:lang w:eastAsia="lt-LT"/>
        </w:rPr>
        <w:t>, mokytojams. Mokykloje vyko projekto „Kompleksinių paslaugų šeimai teikimas Panevėžio rajono savivaldybėje“, kurį koordinavo Panevėžio rajono švietimo centras, užsiėmimai tėvams</w:t>
      </w:r>
      <w:r w:rsidR="000938EA">
        <w:rPr>
          <w:rFonts w:ascii="Times New Roman" w:eastAsia="Times New Roman" w:hAnsi="Times New Roman" w:cs="Times New Roman"/>
          <w:sz w:val="24"/>
          <w:szCs w:val="24"/>
          <w:lang w:eastAsia="lt-LT"/>
        </w:rPr>
        <w:t xml:space="preserve"> (globėjams, rūpintojams)</w:t>
      </w:r>
      <w:r>
        <w:rPr>
          <w:rFonts w:ascii="Times New Roman" w:eastAsia="Times New Roman" w:hAnsi="Times New Roman" w:cs="Times New Roman"/>
          <w:sz w:val="24"/>
          <w:szCs w:val="24"/>
          <w:lang w:eastAsia="lt-LT"/>
        </w:rPr>
        <w:t>, kuriuose buvo kalbama apie pozityvius santykius šeimoje, skirtingų kartų susikalbėjimą, emocinę kultūrą, kaip atpažinti, įvard</w:t>
      </w:r>
      <w:r w:rsidR="000938EA">
        <w:rPr>
          <w:rFonts w:ascii="Times New Roman" w:eastAsia="Times New Roman" w:hAnsi="Times New Roman" w:cs="Times New Roman"/>
          <w:sz w:val="24"/>
          <w:szCs w:val="24"/>
          <w:lang w:eastAsia="lt-LT"/>
        </w:rPr>
        <w:t>y</w:t>
      </w:r>
      <w:r>
        <w:rPr>
          <w:rFonts w:ascii="Times New Roman" w:eastAsia="Times New Roman" w:hAnsi="Times New Roman" w:cs="Times New Roman"/>
          <w:sz w:val="24"/>
          <w:szCs w:val="24"/>
          <w:lang w:eastAsia="lt-LT"/>
        </w:rPr>
        <w:t>ti, valdyti savo emocijas. Socializacijos projekte „Būsiu tavo draugas 2019</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vyko psichologo seminarai „Emocinių ir socialinių įgūdžių ugdymas</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5–10 klasių mokiniams.</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Stengėmės išnaudoti ugdymo plano sudaromas galimybes individualiai mokinio pažangai siekti – pradinių klasių mokiniams skirtos 2 val. konsultacijoms. Efektyvinamas patyčių prevencijos ir intervencijos organizavimas – mokiniams buvo organizuojami renginiai su policijos atstovais, </w:t>
      </w:r>
      <w:r w:rsidR="000938EA">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olerancijos dien</w:t>
      </w:r>
      <w:r w:rsidR="000938EA">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lankėsi Panevėžio krašto žmonių su negalia sąjungos nariai, mokiniai dalyvavo Panevėžio rajono pedagoginės psichologinės tarnybos konkursuose, akcijose. Nacionalinės švietimo agentūros Švietimo pagalbos departamento atstovai mokyklos mokytojams organizavo psichoaktyviųjų medžiagų vartojimo prevencinės programos „Savu keliu“ mokymus. Panevėžio rajono visuomenės sveikatos biuro specialistai vyresnių klasių mokiniams organizavo savęs pažinimo ir emocinio intelekto ugdymo užsiėmimus. Mokykloje organizuojamas mokytojų budėjimas, dirba psichologas, organizuojantis mokiniams užsiėmimus apie saugų buvimą drauge, dirba pailgintos grupės mokytojas, kuris organizuoja mokinių, ilgiau būnančių mokykloje, užimtumą.</w:t>
      </w:r>
    </w:p>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 xml:space="preserve">           </w:t>
      </w:r>
      <w:r w:rsidR="000938EA">
        <w:rPr>
          <w:rFonts w:ascii="Times New Roman" w:eastAsia="Calibri" w:hAnsi="Times New Roman" w:cs="Times New Roman"/>
          <w:bCs/>
          <w:color w:val="000000"/>
          <w:kern w:val="2"/>
          <w:sz w:val="24"/>
          <w:szCs w:val="24"/>
          <w:shd w:val="clear" w:color="auto" w:fill="FFFFFF"/>
          <w:lang w:eastAsia="ar-SA"/>
        </w:rPr>
        <w:t xml:space="preserve">   </w:t>
      </w:r>
      <w:r>
        <w:rPr>
          <w:rFonts w:ascii="Times New Roman" w:eastAsia="Calibri" w:hAnsi="Times New Roman" w:cs="Times New Roman"/>
          <w:bCs/>
          <w:color w:val="000000"/>
          <w:kern w:val="2"/>
          <w:sz w:val="24"/>
          <w:szCs w:val="24"/>
          <w:shd w:val="clear" w:color="auto" w:fill="FFFFFF"/>
          <w:lang w:eastAsia="ar-SA"/>
        </w:rPr>
        <w:t>1.5. Veiklos kokybės įsivertinimas.</w:t>
      </w:r>
    </w:p>
    <w:p w:rsidR="00D17976" w:rsidRDefault="00A7377F">
      <w:pPr>
        <w:spacing w:after="0" w:line="240" w:lineRule="auto"/>
        <w:ind w:firstLine="851"/>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Vykdant mokyklos veiklos kokybės įsivertinimą nustatyti didžiausi mokyklos privalumai: m</w:t>
      </w:r>
      <w:r>
        <w:rPr>
          <w:rFonts w:ascii="Times New Roman" w:eastAsia="Calibri" w:hAnsi="Times New Roman" w:cs="Times New Roman"/>
          <w:sz w:val="24"/>
          <w:szCs w:val="24"/>
        </w:rPr>
        <w:t xml:space="preserve">okiniai žino savo gabumus ir polinkius, pasitiki savo jėgomis, yra sveikai ambicingi ir atkaklūs. </w:t>
      </w:r>
      <w:r>
        <w:rPr>
          <w:rFonts w:ascii="Times New Roman" w:eastAsia="Calibri" w:hAnsi="Times New Roman" w:cs="Times New Roman"/>
          <w:color w:val="000000"/>
          <w:sz w:val="24"/>
          <w:szCs w:val="24"/>
        </w:rPr>
        <w:t>Valdo save stresinėse situacijose, konstruktyviai sprendžia problemas.</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Mokiniai nori ir moka bendrauti, bendradarbiauti, dalyvauti bendrose veiklose, prisiimti atsakomybę. Jie pripažįsta kitų teisę būti kitokiems, nei jie yra, gerbia kitą asmenį ir yra geranoriški. </w:t>
      </w:r>
      <w:r>
        <w:rPr>
          <w:rFonts w:ascii="Times New Roman" w:eastAsia="Calibri" w:hAnsi="Times New Roman" w:cs="Times New Roman"/>
          <w:sz w:val="24"/>
          <w:szCs w:val="24"/>
        </w:rPr>
        <w:t>Mokiniams rūpi jų aplinkos, bendruomenės, šalies gerovė ir jie prisideda ją kuriant.</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Mokiniai supranta išsilavinimo ir mokymosi vertę, turi tolesnio mokymosi siekių ir planų</w:t>
      </w:r>
      <w:r>
        <w:rPr>
          <w:rFonts w:ascii="Times New Roman" w:eastAsia="Calibri" w:hAnsi="Times New Roman" w:cs="Times New Roman"/>
          <w:sz w:val="24"/>
          <w:szCs w:val="24"/>
        </w:rPr>
        <w:t xml:space="preserve">. Mokykloje sistemingai analizuojami mokinių ugdymosi poreikiai. Atliekami tyrimai, diagnostinio vertinimo rezultatai sudaro galimybę laiku atpažinti individualius ugdymosi poreikius bei galimybes. Mokykloje susitarta dėl pagalbos teikimo mokiniams tvarkos. Kilus ugdymosi, psichologinių ar socialinių problemų, mokiniai sulaukia pagalbos. Teikdama pagalbą, mokykla bendradarbiauja su specializuotomis tarnybomis, užtikrinamas asmeninės informacijos konfidencialumas. Mokytojai pastebi ir tinkamai ugdo kiekvieno mokinio gabumus. Mokinių ugdymo(si) pasiekimai atitinka Bendrosiose ugdymo programose keliamus tikslus ir mokykloje besimokančių mokinių galias. Mokiniai, mokinių tėvai (globėjai, rūpintojai) ir mokyklą baigę mokiniai patenkinti mokyklos indėliu ugdant asmenybes – tikslais, ugdymo būdais, rezultatais. Mokykloje analizuojami apibendrinti, susumuoti atskiro ugdymo(si) laikotarpio ar ugdymo pagal tam tikrą programą rezultatai (remiantis mokinių veiklos ir elgesio stebėjimu, jų atliktų darbų įvertinimu, kontrolinių ir kitų diagnostinio vertinimo užduočių rezultatais). Sistemingai apmąstoma įvairių mokinių grupių, klasių pasiekimų dinamika. Mokytojai yra įvaldę įvairias vertinimo strategijas ir būdus, kuriuos naudoja kiekvieno mokinio galių pažinimui, ugdymo(si) proceso bei daromos pažangos stebėjimui ir įvertinimui. </w:t>
      </w:r>
    </w:p>
    <w:p w:rsidR="00D17976" w:rsidRDefault="00A7377F">
      <w:pPr>
        <w:spacing w:after="0" w:line="240" w:lineRule="auto"/>
        <w:ind w:firstLine="851"/>
        <w:jc w:val="both"/>
        <w:textAlignment w:val="baseline"/>
        <w:rPr>
          <w:rFonts w:ascii="Times New Roman" w:eastAsia="Calibri" w:hAnsi="Times New Roman" w:cs="Times New Roman"/>
          <w:sz w:val="24"/>
          <w:szCs w:val="24"/>
        </w:rPr>
      </w:pPr>
      <w:r>
        <w:rPr>
          <w:rFonts w:ascii="Times New Roman" w:eastAsia="Times New Roman" w:hAnsi="Times New Roman" w:cs="Times New Roman"/>
          <w:bCs/>
          <w:sz w:val="24"/>
          <w:szCs w:val="24"/>
          <w:lang w:eastAsia="lt-LT"/>
        </w:rPr>
        <w:t xml:space="preserve">Tobulinti pasirinktas mokyklos veiklos rodiklis – ugdymo(si) organizavimas. Siekiama, kad </w:t>
      </w:r>
      <w:r>
        <w:rPr>
          <w:rFonts w:ascii="Times New Roman" w:eastAsia="Calibri" w:hAnsi="Times New Roman" w:cs="Times New Roman"/>
          <w:sz w:val="24"/>
          <w:szCs w:val="24"/>
        </w:rPr>
        <w:t xml:space="preserve">mokytojai pripažintų mokinių skirtybes, į kurias atsižvelgtų organizuodami mokymą(si). Siekiama suasmeninti mokymąsi, t. y. skatinamas aktyvus mokinių dalyvavimas keliant individualius, su kiekvieno mokymosi galimybėmis, interesais ir siekiais derančius ugdymosi tikslus. Siekiama prasmingos integracijos, siejant formalųjį ir neformalųjį vaikų švietimą, vykstantį tiek mokykloje, tiek ir už jos ribų. Mokinių elgesį stengtis valdyti aiškiomis, sutartomis taisyklėmis, skatinti pageidaujamą elgesį, rodyti asmeninį mokytojo elgesio pavyzdį. Siekiama drausmę ir tvarką palaikyti sutelkiant mokinių dėmesį į jiems prasmingą veiklą, mokymąsi. </w:t>
      </w:r>
    </w:p>
    <w:p w:rsidR="00D17976" w:rsidRDefault="00D17976">
      <w:pPr>
        <w:spacing w:after="0" w:line="240" w:lineRule="auto"/>
        <w:ind w:firstLine="851"/>
        <w:jc w:val="both"/>
        <w:textAlignment w:val="baseline"/>
        <w:rPr>
          <w:rFonts w:ascii="Times New Roman" w:eastAsia="Calibri" w:hAnsi="Times New Roman" w:cs="Times New Roman"/>
          <w:sz w:val="24"/>
          <w:szCs w:val="24"/>
        </w:rPr>
      </w:pPr>
    </w:p>
    <w:p w:rsidR="00D17976" w:rsidRDefault="00A7377F">
      <w:pPr>
        <w:suppressLineNumbers/>
        <w:tabs>
          <w:tab w:val="center" w:pos="4153"/>
          <w:tab w:val="right" w:pos="8306"/>
        </w:tabs>
        <w:spacing w:after="0" w:line="100" w:lineRule="atLeast"/>
        <w:jc w:val="center"/>
        <w:rPr>
          <w:rFonts w:ascii="Times New Roman" w:eastAsia="Calibri" w:hAnsi="Times New Roman" w:cs="Times New Roman"/>
          <w:b/>
          <w:color w:val="000000"/>
          <w:kern w:val="2"/>
          <w:sz w:val="24"/>
          <w:szCs w:val="24"/>
          <w:lang w:eastAsia="ar-SA"/>
        </w:rPr>
      </w:pPr>
      <w:r>
        <w:rPr>
          <w:rFonts w:ascii="Times New Roman" w:eastAsia="Calibri" w:hAnsi="Times New Roman" w:cs="Times New Roman"/>
          <w:b/>
          <w:bCs/>
          <w:color w:val="000000"/>
          <w:kern w:val="2"/>
          <w:sz w:val="24"/>
          <w:szCs w:val="24"/>
          <w:lang w:eastAsia="ar-SA"/>
        </w:rPr>
        <w:t>II. MOKINIAI (VAIKAI)</w:t>
      </w:r>
    </w:p>
    <w:p w:rsidR="00D17976" w:rsidRDefault="00A7377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D17976" w:rsidRDefault="000938EA">
      <w:pPr>
        <w:spacing w:after="0" w:line="240" w:lineRule="auto"/>
        <w:ind w:firstLine="567"/>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 xml:space="preserve">2.1. Mokinių skaičius:        </w:t>
      </w:r>
    </w:p>
    <w:tbl>
      <w:tblPr>
        <w:tblStyle w:val="TableGrid"/>
        <w:tblW w:w="9360" w:type="dxa"/>
        <w:tblInd w:w="137" w:type="dxa"/>
        <w:tblLook w:val="04A0" w:firstRow="1" w:lastRow="0" w:firstColumn="1" w:lastColumn="0" w:noHBand="0" w:noVBand="1"/>
      </w:tblPr>
      <w:tblGrid>
        <w:gridCol w:w="1557"/>
        <w:gridCol w:w="1837"/>
        <w:gridCol w:w="717"/>
        <w:gridCol w:w="681"/>
        <w:gridCol w:w="708"/>
        <w:gridCol w:w="1021"/>
        <w:gridCol w:w="2839"/>
      </w:tblGrid>
      <w:tr w:rsidR="00D17976">
        <w:tc>
          <w:tcPr>
            <w:tcW w:w="1556"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Praėjusieji ir ataskaitiniai metai (09-01)</w:t>
            </w:r>
          </w:p>
        </w:tc>
        <w:tc>
          <w:tcPr>
            <w:tcW w:w="1837"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Ikimokyklinio ir priešmokyklinio ugdymo grupės vaikai</w:t>
            </w:r>
          </w:p>
        </w:tc>
        <w:tc>
          <w:tcPr>
            <w:tcW w:w="717"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1–4 kl.</w:t>
            </w:r>
          </w:p>
        </w:tc>
        <w:tc>
          <w:tcPr>
            <w:tcW w:w="681"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5–8 kl.</w:t>
            </w:r>
          </w:p>
        </w:tc>
        <w:tc>
          <w:tcPr>
            <w:tcW w:w="708"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9–10 kl.</w:t>
            </w:r>
          </w:p>
        </w:tc>
        <w:tc>
          <w:tcPr>
            <w:tcW w:w="1021"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Iš viso</w:t>
            </w:r>
          </w:p>
        </w:tc>
        <w:tc>
          <w:tcPr>
            <w:tcW w:w="2839"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Iš jų specialiųjų ugdymosi poreikių turintys mokiniai</w:t>
            </w:r>
          </w:p>
        </w:tc>
      </w:tr>
      <w:tr w:rsidR="00D17976">
        <w:tc>
          <w:tcPr>
            <w:tcW w:w="1556"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t xml:space="preserve">2018-09-01 </w:t>
            </w:r>
          </w:p>
        </w:tc>
        <w:tc>
          <w:tcPr>
            <w:tcW w:w="183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39</w:t>
            </w:r>
          </w:p>
        </w:tc>
        <w:tc>
          <w:tcPr>
            <w:tcW w:w="71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20</w:t>
            </w:r>
          </w:p>
        </w:tc>
        <w:tc>
          <w:tcPr>
            <w:tcW w:w="68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41</w:t>
            </w:r>
          </w:p>
        </w:tc>
        <w:tc>
          <w:tcPr>
            <w:tcW w:w="708"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12</w:t>
            </w:r>
          </w:p>
        </w:tc>
        <w:tc>
          <w:tcPr>
            <w:tcW w:w="102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39 + 73</w:t>
            </w:r>
          </w:p>
        </w:tc>
        <w:tc>
          <w:tcPr>
            <w:tcW w:w="2839"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26</w:t>
            </w:r>
          </w:p>
        </w:tc>
      </w:tr>
      <w:tr w:rsidR="00D17976">
        <w:tc>
          <w:tcPr>
            <w:tcW w:w="1556"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lastRenderedPageBreak/>
              <w:t xml:space="preserve">2019-09-01 </w:t>
            </w:r>
          </w:p>
        </w:tc>
        <w:tc>
          <w:tcPr>
            <w:tcW w:w="183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37</w:t>
            </w:r>
          </w:p>
        </w:tc>
        <w:tc>
          <w:tcPr>
            <w:tcW w:w="71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23</w:t>
            </w:r>
          </w:p>
        </w:tc>
        <w:tc>
          <w:tcPr>
            <w:tcW w:w="68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33</w:t>
            </w:r>
          </w:p>
        </w:tc>
        <w:tc>
          <w:tcPr>
            <w:tcW w:w="708"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15</w:t>
            </w:r>
          </w:p>
        </w:tc>
        <w:tc>
          <w:tcPr>
            <w:tcW w:w="102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37 + 71</w:t>
            </w:r>
          </w:p>
        </w:tc>
        <w:tc>
          <w:tcPr>
            <w:tcW w:w="2839"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16</w:t>
            </w:r>
          </w:p>
        </w:tc>
      </w:tr>
    </w:tbl>
    <w:p w:rsidR="00D17976" w:rsidRDefault="00D17976">
      <w:pPr>
        <w:spacing w:after="0" w:line="240" w:lineRule="auto"/>
        <w:rPr>
          <w:rFonts w:ascii="Times New Roman" w:eastAsia="Times New Roman" w:hAnsi="Times New Roman" w:cs="Times New Roman"/>
          <w:color w:val="000000"/>
          <w:sz w:val="24"/>
          <w:szCs w:val="24"/>
          <w:lang w:val="en-GB" w:eastAsia="ar-SA"/>
        </w:rPr>
      </w:pPr>
    </w:p>
    <w:p w:rsidR="00D17976" w:rsidRDefault="00A7377F">
      <w:pPr>
        <w:spacing w:after="0" w:line="240" w:lineRule="auto"/>
        <w:ind w:firstLine="567"/>
        <w:rPr>
          <w:rFonts w:ascii="Times New Roman" w:eastAsia="Calibri" w:hAnsi="Times New Roman" w:cs="Times New Roman"/>
          <w:kern w:val="2"/>
          <w:sz w:val="20"/>
          <w:szCs w:val="20"/>
          <w:lang w:eastAsia="ar-SA"/>
        </w:rPr>
      </w:pPr>
      <w:r>
        <w:rPr>
          <w:rFonts w:ascii="Times New Roman" w:eastAsia="Times New Roman" w:hAnsi="Times New Roman" w:cs="Times New Roman"/>
          <w:sz w:val="24"/>
          <w:szCs w:val="24"/>
          <w:lang w:eastAsia="ar-SA"/>
        </w:rPr>
        <w:t xml:space="preserve"> </w:t>
      </w:r>
      <w:r w:rsidR="000938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2.2. Mokinių lankomumas:</w:t>
      </w:r>
    </w:p>
    <w:tbl>
      <w:tblPr>
        <w:tblW w:w="9380" w:type="dxa"/>
        <w:tblInd w:w="109" w:type="dxa"/>
        <w:tblLook w:val="04A0" w:firstRow="1" w:lastRow="0" w:firstColumn="1" w:lastColumn="0" w:noHBand="0" w:noVBand="1"/>
      </w:tblPr>
      <w:tblGrid>
        <w:gridCol w:w="1377"/>
        <w:gridCol w:w="847"/>
        <w:gridCol w:w="961"/>
        <w:gridCol w:w="985"/>
        <w:gridCol w:w="1010"/>
        <w:gridCol w:w="849"/>
        <w:gridCol w:w="1091"/>
        <w:gridCol w:w="1119"/>
        <w:gridCol w:w="1141"/>
      </w:tblGrid>
      <w:tr w:rsidR="00D17976">
        <w:trPr>
          <w:trHeight w:val="157"/>
        </w:trPr>
        <w:tc>
          <w:tcPr>
            <w:tcW w:w="1376" w:type="dxa"/>
            <w:vMerge w:val="restart"/>
            <w:tcBorders>
              <w:top w:val="single" w:sz="8" w:space="0" w:color="000000"/>
              <w:left w:val="single" w:sz="8" w:space="0" w:color="000000"/>
              <w:bottom w:val="single" w:sz="8" w:space="0" w:color="000000"/>
              <w:right w:val="single" w:sz="8" w:space="0" w:color="000000"/>
            </w:tcBorders>
          </w:tcPr>
          <w:p w:rsidR="00D17976" w:rsidRDefault="00A7377F">
            <w:pPr>
              <w:spacing w:before="100" w:after="0" w:line="100" w:lineRule="atLeast"/>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Mokslo metai</w:t>
            </w:r>
          </w:p>
          <w:p w:rsidR="00D17976" w:rsidRDefault="00A7377F">
            <w:pPr>
              <w:spacing w:before="100" w:after="0" w:line="100" w:lineRule="atLeast"/>
              <w:jc w:val="center"/>
              <w:rPr>
                <w:rFonts w:ascii="Calibri" w:eastAsia="SimSun" w:hAnsi="Calibri" w:cs="Tahoma"/>
                <w:kern w:val="2"/>
                <w:lang w:eastAsia="ar-SA"/>
              </w:rPr>
            </w:pPr>
            <w:r>
              <w:rPr>
                <w:rFonts w:ascii="Times New Roman" w:eastAsia="SimSun" w:hAnsi="Times New Roman" w:cs="Times New Roman"/>
                <w:kern w:val="2"/>
                <w:sz w:val="24"/>
                <w:szCs w:val="24"/>
                <w:lang w:eastAsia="ar-SA"/>
              </w:rPr>
              <w:t>Praėjusieji ir ataskaitiniai metai</w:t>
            </w:r>
          </w:p>
        </w:tc>
        <w:tc>
          <w:tcPr>
            <w:tcW w:w="3803" w:type="dxa"/>
            <w:gridSpan w:val="4"/>
            <w:tcBorders>
              <w:top w:val="single" w:sz="8" w:space="0" w:color="000000"/>
              <w:bottom w:val="single" w:sz="8" w:space="0" w:color="000000"/>
              <w:right w:val="single" w:sz="8" w:space="0" w:color="000000"/>
            </w:tcBorders>
          </w:tcPr>
          <w:p w:rsidR="00D17976" w:rsidRDefault="00A7377F">
            <w:pPr>
              <w:spacing w:before="100" w:after="0" w:line="157" w:lineRule="atLeast"/>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Vidutiniškai 1 mokinys per mokslo metus praleido iš viso pamokų</w:t>
            </w:r>
          </w:p>
        </w:tc>
        <w:tc>
          <w:tcPr>
            <w:tcW w:w="4200" w:type="dxa"/>
            <w:gridSpan w:val="4"/>
            <w:tcBorders>
              <w:top w:val="single" w:sz="8" w:space="0" w:color="000000"/>
              <w:bottom w:val="single" w:sz="8" w:space="0" w:color="000000"/>
              <w:right w:val="single" w:sz="8" w:space="0" w:color="000000"/>
            </w:tcBorders>
          </w:tcPr>
          <w:p w:rsidR="00D17976" w:rsidRDefault="00A7377F">
            <w:pPr>
              <w:spacing w:before="100" w:after="0" w:line="157" w:lineRule="atLeast"/>
              <w:jc w:val="center"/>
              <w:rPr>
                <w:rFonts w:ascii="Times New Roman" w:eastAsia="SimSun" w:hAnsi="Times New Roman" w:cs="Times New Roman"/>
                <w:kern w:val="2"/>
                <w:sz w:val="20"/>
                <w:szCs w:val="20"/>
                <w:lang w:eastAsia="ar-SA"/>
              </w:rPr>
            </w:pPr>
            <w:r>
              <w:rPr>
                <w:rFonts w:ascii="Times New Roman" w:eastAsia="Times New Roman" w:hAnsi="Times New Roman" w:cs="Times New Roman"/>
                <w:sz w:val="24"/>
                <w:szCs w:val="24"/>
                <w:lang w:eastAsia="ar-SA"/>
              </w:rPr>
              <w:t>Vidutiniškai 1 mokinys per mokslo metus praleido pamokų dėl nepateisinamų priežasčių</w:t>
            </w:r>
          </w:p>
        </w:tc>
      </w:tr>
      <w:tr w:rsidR="00D17976">
        <w:trPr>
          <w:trHeight w:val="612"/>
        </w:trPr>
        <w:tc>
          <w:tcPr>
            <w:tcW w:w="1376" w:type="dxa"/>
            <w:vMerge/>
            <w:tcBorders>
              <w:top w:val="single" w:sz="8" w:space="0" w:color="000000"/>
              <w:left w:val="single" w:sz="8" w:space="0" w:color="000000"/>
              <w:bottom w:val="single" w:sz="8" w:space="0" w:color="000000"/>
              <w:right w:val="single" w:sz="8" w:space="0" w:color="000000"/>
            </w:tcBorders>
            <w:vAlign w:val="center"/>
          </w:tcPr>
          <w:p w:rsidR="00D17976" w:rsidRDefault="00D17976">
            <w:pPr>
              <w:spacing w:after="0" w:line="240" w:lineRule="auto"/>
              <w:rPr>
                <w:rFonts w:ascii="Calibri" w:eastAsia="SimSun" w:hAnsi="Calibri" w:cs="Tahoma"/>
                <w:kern w:val="2"/>
                <w:lang w:eastAsia="ar-SA"/>
              </w:rPr>
            </w:pP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1–4 kl. </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5–8 kl. </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9–10 kl.</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1–4 kl. </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5–8 kl. </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0"/>
                <w:szCs w:val="20"/>
                <w:lang w:eastAsia="ar-SA"/>
              </w:rPr>
            </w:pPr>
            <w:r>
              <w:rPr>
                <w:rFonts w:ascii="Times New Roman" w:eastAsia="Times New Roman" w:hAnsi="Times New Roman" w:cs="Times New Roman"/>
                <w:sz w:val="24"/>
                <w:szCs w:val="24"/>
                <w:lang w:eastAsia="ar-SA"/>
              </w:rPr>
              <w:t>9–10 kl.</w:t>
            </w:r>
          </w:p>
        </w:tc>
      </w:tr>
      <w:tr w:rsidR="00D17976">
        <w:tc>
          <w:tcPr>
            <w:tcW w:w="1376" w:type="dxa"/>
            <w:tcBorders>
              <w:left w:val="single" w:sz="8" w:space="0" w:color="000000"/>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2017–2018 m. m.</w:t>
            </w: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93,29</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87,51</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93,46</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103,92</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13,18</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2,81</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13,76</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31,57</w:t>
            </w:r>
          </w:p>
        </w:tc>
      </w:tr>
      <w:tr w:rsidR="00D17976">
        <w:tc>
          <w:tcPr>
            <w:tcW w:w="1376" w:type="dxa"/>
            <w:tcBorders>
              <w:left w:val="single" w:sz="8" w:space="0" w:color="000000"/>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2018–2019 m. m.</w:t>
            </w: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100,7</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65,5</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113,6</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164,5</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18,4</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57,5</w:t>
            </w:r>
          </w:p>
        </w:tc>
      </w:tr>
    </w:tbl>
    <w:p w:rsidR="00D17976" w:rsidRDefault="00A7377F">
      <w:pPr>
        <w:spacing w:after="0" w:line="240" w:lineRule="auto"/>
        <w:jc w:val="both"/>
        <w:rPr>
          <w:rFonts w:ascii="Times New Roman" w:eastAsia="Calibri" w:hAnsi="Times New Roman" w:cs="Times New Roman"/>
          <w:color w:val="000000"/>
          <w:kern w:val="2"/>
          <w:sz w:val="24"/>
          <w:szCs w:val="24"/>
          <w:lang w:eastAsia="ar-SA"/>
        </w:rPr>
      </w:pPr>
      <w:r>
        <w:rPr>
          <w:rFonts w:ascii="Times New Roman" w:eastAsia="Times New Roman" w:hAnsi="Times New Roman" w:cs="Times New Roman"/>
          <w:sz w:val="24"/>
          <w:szCs w:val="24"/>
          <w:lang w:eastAsia="ar-SA"/>
        </w:rPr>
        <w:t xml:space="preserve">  </w:t>
      </w:r>
    </w:p>
    <w:p w:rsidR="00D17976" w:rsidRDefault="00A6574B">
      <w:pPr>
        <w:spacing w:after="0" w:line="240" w:lineRule="auto"/>
        <w:ind w:firstLine="6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2.3. Šeimos:</w:t>
      </w:r>
    </w:p>
    <w:tbl>
      <w:tblPr>
        <w:tblW w:w="9494" w:type="dxa"/>
        <w:tblInd w:w="99" w:type="dxa"/>
        <w:tblLook w:val="04A0" w:firstRow="1" w:lastRow="0" w:firstColumn="1" w:lastColumn="0" w:noHBand="0" w:noVBand="1"/>
      </w:tblPr>
      <w:tblGrid>
        <w:gridCol w:w="4109"/>
        <w:gridCol w:w="2837"/>
        <w:gridCol w:w="2548"/>
      </w:tblGrid>
      <w:tr w:rsidR="00D17976" w:rsidTr="004569DB">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Mokinių, gyvenančių šeimose, skaičius</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bCs/>
                <w:sz w:val="24"/>
                <w:szCs w:val="24"/>
                <w:lang w:eastAsia="ar-SA"/>
              </w:rPr>
              <w:t>Proc. nuo mokinių skaičiaus</w:t>
            </w:r>
          </w:p>
        </w:tc>
      </w:tr>
      <w:tr w:rsidR="00D17976">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Cs/>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37</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49,3</w:t>
            </w:r>
          </w:p>
        </w:tc>
      </w:tr>
      <w:tr w:rsidR="00D17976">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13,3</w:t>
            </w:r>
          </w:p>
        </w:tc>
      </w:tr>
    </w:tbl>
    <w:p w:rsidR="00D17976" w:rsidRPr="00111273" w:rsidRDefault="00D17976">
      <w:pPr>
        <w:spacing w:after="0" w:line="240" w:lineRule="auto"/>
        <w:jc w:val="both"/>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68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2.4. Mokiniai, palikti kartoti ugdymo programos kursą:</w:t>
      </w:r>
    </w:p>
    <w:tbl>
      <w:tblPr>
        <w:tblStyle w:val="TableGrid"/>
        <w:tblW w:w="9497" w:type="dxa"/>
        <w:tblInd w:w="137" w:type="dxa"/>
        <w:tblLook w:val="04A0" w:firstRow="1" w:lastRow="0" w:firstColumn="1" w:lastColumn="0" w:noHBand="0" w:noVBand="1"/>
      </w:tblPr>
      <w:tblGrid>
        <w:gridCol w:w="4593"/>
        <w:gridCol w:w="4904"/>
      </w:tblGrid>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Skaičius</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sz w:val="24"/>
                <w:szCs w:val="24"/>
                <w:lang w:eastAsia="ar-SA"/>
              </w:rPr>
              <w:t>Proc. nuo mokinių skaičiaus</w:t>
            </w:r>
          </w:p>
        </w:tc>
      </w:tr>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0</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0</w:t>
            </w:r>
          </w:p>
        </w:tc>
      </w:tr>
    </w:tbl>
    <w:p w:rsidR="00D17976" w:rsidRDefault="00D17976">
      <w:pPr>
        <w:spacing w:after="0" w:line="240" w:lineRule="auto"/>
        <w:rPr>
          <w:rFonts w:ascii="Times New Roman" w:eastAsia="Times New Roman" w:hAnsi="Times New Roman" w:cs="Times New Roman"/>
          <w:bCs/>
          <w:sz w:val="24"/>
          <w:szCs w:val="24"/>
          <w:lang w:eastAsia="ar-SA"/>
        </w:rPr>
      </w:pPr>
    </w:p>
    <w:p w:rsidR="00D17976" w:rsidRDefault="00A6574B">
      <w:pPr>
        <w:spacing w:after="0" w:line="240" w:lineRule="auto"/>
        <w:ind w:firstLine="737"/>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2.5. Mokiniai, gaunantieji nemokamą maitinimą:</w:t>
      </w:r>
    </w:p>
    <w:tbl>
      <w:tblPr>
        <w:tblStyle w:val="TableGrid"/>
        <w:tblW w:w="9497" w:type="dxa"/>
        <w:tblInd w:w="137" w:type="dxa"/>
        <w:tblLook w:val="04A0" w:firstRow="1" w:lastRow="0" w:firstColumn="1" w:lastColumn="0" w:noHBand="0" w:noVBand="1"/>
      </w:tblPr>
      <w:tblGrid>
        <w:gridCol w:w="4593"/>
        <w:gridCol w:w="4904"/>
      </w:tblGrid>
      <w:tr w:rsidR="00D17976">
        <w:tc>
          <w:tcPr>
            <w:tcW w:w="4593"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Mokinių skaičius</w:t>
            </w:r>
          </w:p>
        </w:tc>
        <w:tc>
          <w:tcPr>
            <w:tcW w:w="4903"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Proc. nuo mokinių skaičiaus</w:t>
            </w:r>
          </w:p>
        </w:tc>
      </w:tr>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37</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49,3</w:t>
            </w:r>
          </w:p>
        </w:tc>
      </w:tr>
    </w:tbl>
    <w:p w:rsidR="00D17976" w:rsidRPr="00111273" w:rsidRDefault="00D17976">
      <w:pPr>
        <w:spacing w:after="0" w:line="240" w:lineRule="auto"/>
        <w:jc w:val="both"/>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73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D17976">
        <w:tc>
          <w:tcPr>
            <w:tcW w:w="3018"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Lankančiųjų mokinių skaičius</w:t>
            </w:r>
          </w:p>
        </w:tc>
        <w:tc>
          <w:tcPr>
            <w:tcW w:w="3155"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Mokykloje proc. nuo mokinių skaičiaus</w:t>
            </w:r>
          </w:p>
        </w:tc>
        <w:tc>
          <w:tcPr>
            <w:tcW w:w="3324"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Už mokyklos ribų proc. nuo mokinių skaičiaus</w:t>
            </w:r>
          </w:p>
        </w:tc>
      </w:tr>
      <w:tr w:rsidR="00D17976">
        <w:tc>
          <w:tcPr>
            <w:tcW w:w="3018"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69</w:t>
            </w:r>
          </w:p>
        </w:tc>
        <w:tc>
          <w:tcPr>
            <w:tcW w:w="3155"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95</w:t>
            </w:r>
          </w:p>
        </w:tc>
        <w:tc>
          <w:tcPr>
            <w:tcW w:w="3324"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29,3</w:t>
            </w:r>
          </w:p>
        </w:tc>
      </w:tr>
    </w:tbl>
    <w:p w:rsidR="00D17976" w:rsidRDefault="00D17976">
      <w:pPr>
        <w:spacing w:after="0" w:line="240" w:lineRule="auto"/>
        <w:rPr>
          <w:rFonts w:ascii="Times New Roman" w:eastAsia="Calibri" w:hAnsi="Times New Roman" w:cs="Times New Roman"/>
          <w:color w:val="000000"/>
          <w:kern w:val="2"/>
          <w:sz w:val="24"/>
          <w:szCs w:val="24"/>
          <w:lang w:eastAsia="ar-SA"/>
        </w:rPr>
      </w:pPr>
    </w:p>
    <w:p w:rsidR="00D17976" w:rsidRDefault="00A6574B">
      <w:pPr>
        <w:spacing w:after="0" w:line="240" w:lineRule="auto"/>
        <w:ind w:firstLine="79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2.7. Olimpiados, konkursai ir kiti renginiai:</w:t>
      </w:r>
    </w:p>
    <w:tbl>
      <w:tblPr>
        <w:tblStyle w:val="TableGrid"/>
        <w:tblW w:w="9626" w:type="dxa"/>
        <w:tblInd w:w="137" w:type="dxa"/>
        <w:tblLook w:val="04A0" w:firstRow="1" w:lastRow="0" w:firstColumn="1" w:lastColumn="0" w:noHBand="0" w:noVBand="1"/>
      </w:tblPr>
      <w:tblGrid>
        <w:gridCol w:w="1269"/>
        <w:gridCol w:w="1140"/>
        <w:gridCol w:w="1268"/>
        <w:gridCol w:w="1138"/>
        <w:gridCol w:w="1267"/>
        <w:gridCol w:w="1140"/>
        <w:gridCol w:w="1268"/>
        <w:gridCol w:w="1136"/>
      </w:tblGrid>
      <w:tr w:rsidR="00D17976">
        <w:tc>
          <w:tcPr>
            <w:tcW w:w="2407"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Rajono</w:t>
            </w:r>
          </w:p>
        </w:tc>
        <w:tc>
          <w:tcPr>
            <w:tcW w:w="2406"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sz w:val="20"/>
                <w:lang w:eastAsia="ar-SA"/>
              </w:rPr>
              <w:t>Regiono</w:t>
            </w:r>
          </w:p>
        </w:tc>
        <w:tc>
          <w:tcPr>
            <w:tcW w:w="2407"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sz w:val="20"/>
                <w:lang w:eastAsia="ar-SA"/>
              </w:rPr>
              <w:t>Šalies</w:t>
            </w:r>
          </w:p>
        </w:tc>
        <w:tc>
          <w:tcPr>
            <w:tcW w:w="2404" w:type="dxa"/>
            <w:gridSpan w:val="2"/>
          </w:tcPr>
          <w:p w:rsidR="00D17976" w:rsidRPr="004569DB" w:rsidRDefault="00A7377F">
            <w:pPr>
              <w:spacing w:after="0" w:line="240" w:lineRule="auto"/>
              <w:rPr>
                <w:sz w:val="20"/>
                <w:lang w:eastAsia="ar-SA"/>
              </w:rPr>
            </w:pPr>
            <w:r w:rsidRPr="004569DB">
              <w:rPr>
                <w:rFonts w:ascii="Times New Roman" w:eastAsia="Times New Roman" w:hAnsi="Times New Roman" w:cs="Times New Roman"/>
                <w:bCs/>
                <w:sz w:val="20"/>
                <w:lang w:eastAsia="ar-SA"/>
              </w:rPr>
              <w:t>Tarptautiniai</w:t>
            </w:r>
          </w:p>
        </w:tc>
      </w:tr>
      <w:tr w:rsidR="00D17976">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9"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7"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40"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6"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r>
      <w:tr w:rsidR="00D17976">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148</w:t>
            </w:r>
          </w:p>
        </w:tc>
        <w:tc>
          <w:tcPr>
            <w:tcW w:w="1139"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57</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10</w:t>
            </w:r>
          </w:p>
        </w:tc>
        <w:tc>
          <w:tcPr>
            <w:tcW w:w="113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10</w:t>
            </w:r>
          </w:p>
        </w:tc>
        <w:tc>
          <w:tcPr>
            <w:tcW w:w="1267"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21</w:t>
            </w:r>
          </w:p>
        </w:tc>
        <w:tc>
          <w:tcPr>
            <w:tcW w:w="1140"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3</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w:t>
            </w:r>
          </w:p>
        </w:tc>
        <w:tc>
          <w:tcPr>
            <w:tcW w:w="1136"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w:t>
            </w:r>
          </w:p>
        </w:tc>
      </w:tr>
    </w:tbl>
    <w:p w:rsidR="00D17976" w:rsidRDefault="00D17976">
      <w:pPr>
        <w:spacing w:after="0" w:line="240" w:lineRule="auto"/>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794"/>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2.8. Projektai:</w:t>
      </w:r>
    </w:p>
    <w:tbl>
      <w:tblPr>
        <w:tblStyle w:val="TableGrid"/>
        <w:tblW w:w="9497" w:type="dxa"/>
        <w:tblInd w:w="137" w:type="dxa"/>
        <w:tblLook w:val="04A0" w:firstRow="1" w:lastRow="0" w:firstColumn="1" w:lastColumn="0" w:noHBand="0" w:noVBand="1"/>
      </w:tblPr>
      <w:tblGrid>
        <w:gridCol w:w="4536"/>
        <w:gridCol w:w="1561"/>
        <w:gridCol w:w="1560"/>
        <w:gridCol w:w="1840"/>
      </w:tblGrid>
      <w:tr w:rsidR="00D17976">
        <w:tc>
          <w:tcPr>
            <w:tcW w:w="4535" w:type="dxa"/>
          </w:tcPr>
          <w:p w:rsidR="00D17976" w:rsidRDefault="00D17976">
            <w:pPr>
              <w:spacing w:after="0" w:line="240" w:lineRule="auto"/>
              <w:jc w:val="center"/>
              <w:rPr>
                <w:bCs/>
                <w:sz w:val="24"/>
                <w:szCs w:val="24"/>
                <w:lang w:eastAsia="ar-SA"/>
              </w:rPr>
            </w:pPr>
          </w:p>
        </w:tc>
        <w:tc>
          <w:tcPr>
            <w:tcW w:w="1561"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Rajono</w:t>
            </w:r>
          </w:p>
        </w:tc>
        <w:tc>
          <w:tcPr>
            <w:tcW w:w="1560"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Šalies</w:t>
            </w:r>
          </w:p>
        </w:tc>
        <w:tc>
          <w:tcPr>
            <w:tcW w:w="1840"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Tarptautiniai</w:t>
            </w:r>
          </w:p>
        </w:tc>
      </w:tr>
      <w:tr w:rsidR="00D17976">
        <w:tc>
          <w:tcPr>
            <w:tcW w:w="4535" w:type="dxa"/>
          </w:tcPr>
          <w:p w:rsidR="00D17976" w:rsidRDefault="00A7377F">
            <w:pPr>
              <w:spacing w:after="0" w:line="240" w:lineRule="auto"/>
              <w:jc w:val="both"/>
              <w:rPr>
                <w:bCs/>
                <w:sz w:val="24"/>
                <w:szCs w:val="24"/>
                <w:lang w:eastAsia="ar-SA"/>
              </w:rPr>
            </w:pPr>
            <w:r>
              <w:rPr>
                <w:rFonts w:ascii="Times New Roman" w:eastAsia="Times New Roman" w:hAnsi="Times New Roman" w:cs="Times New Roman"/>
                <w:bCs/>
                <w:sz w:val="24"/>
                <w:szCs w:val="24"/>
                <w:lang w:eastAsia="ar-SA"/>
              </w:rPr>
              <w:t>Vykdytų projektų skaičius</w:t>
            </w:r>
          </w:p>
        </w:tc>
        <w:tc>
          <w:tcPr>
            <w:tcW w:w="1561"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3</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1</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r w:rsidR="00D17976">
        <w:tc>
          <w:tcPr>
            <w:tcW w:w="4535" w:type="dxa"/>
          </w:tcPr>
          <w:p w:rsidR="00D17976" w:rsidRDefault="00A7377F">
            <w:pPr>
              <w:spacing w:after="0" w:line="240" w:lineRule="auto"/>
              <w:jc w:val="both"/>
              <w:rPr>
                <w:bCs/>
                <w:sz w:val="24"/>
                <w:szCs w:val="24"/>
                <w:lang w:eastAsia="ar-SA"/>
              </w:rPr>
            </w:pPr>
            <w:r>
              <w:rPr>
                <w:rFonts w:ascii="Times New Roman" w:eastAsia="Times New Roman" w:hAnsi="Times New Roman" w:cs="Times New Roman"/>
                <w:bCs/>
                <w:sz w:val="24"/>
                <w:szCs w:val="24"/>
                <w:lang w:eastAsia="ar-SA"/>
              </w:rPr>
              <w:t>Dalyvavusių mokinių skaičius</w:t>
            </w:r>
          </w:p>
        </w:tc>
        <w:tc>
          <w:tcPr>
            <w:tcW w:w="1561"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71</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71</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r w:rsidR="00D17976">
        <w:tc>
          <w:tcPr>
            <w:tcW w:w="4535" w:type="dxa"/>
          </w:tcPr>
          <w:p w:rsidR="00D17976" w:rsidRDefault="00A7377F">
            <w:pPr>
              <w:spacing w:after="0" w:line="240" w:lineRule="auto"/>
              <w:jc w:val="both"/>
              <w:rPr>
                <w:sz w:val="24"/>
                <w:szCs w:val="24"/>
                <w:lang w:eastAsia="ar-SA"/>
              </w:rPr>
            </w:pPr>
            <w:r>
              <w:rPr>
                <w:rFonts w:ascii="Times New Roman" w:eastAsia="Times New Roman" w:hAnsi="Times New Roman" w:cs="Times New Roman"/>
                <w:bCs/>
                <w:sz w:val="24"/>
                <w:szCs w:val="24"/>
                <w:lang w:eastAsia="ar-SA"/>
              </w:rPr>
              <w:t>Proc. nuo bendro mokinių skaičiaus</w:t>
            </w:r>
          </w:p>
        </w:tc>
        <w:tc>
          <w:tcPr>
            <w:tcW w:w="1561"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t>100</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100</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bl>
    <w:p w:rsidR="00D17976" w:rsidRDefault="00D17976">
      <w:pPr>
        <w:spacing w:after="0" w:line="240" w:lineRule="auto"/>
        <w:jc w:val="both"/>
        <w:rPr>
          <w:rFonts w:ascii="Times New Roman" w:eastAsia="Calibri" w:hAnsi="Times New Roman" w:cs="Times New Roman"/>
          <w:color w:val="000000"/>
          <w:kern w:val="2"/>
          <w:sz w:val="24"/>
          <w:szCs w:val="24"/>
          <w:lang w:val="en-GB" w:eastAsia="ar-SA"/>
        </w:rPr>
      </w:pPr>
    </w:p>
    <w:p w:rsidR="00D17976" w:rsidRDefault="00A6574B">
      <w:pPr>
        <w:spacing w:after="0" w:line="240" w:lineRule="auto"/>
        <w:ind w:firstLine="794"/>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2.9. Mokiniai, turintieji specialiųjų ugdymosi poreikių:</w:t>
      </w:r>
    </w:p>
    <w:tbl>
      <w:tblPr>
        <w:tblStyle w:val="TableGrid"/>
        <w:tblW w:w="9497" w:type="dxa"/>
        <w:tblInd w:w="137" w:type="dxa"/>
        <w:tblLook w:val="04A0" w:firstRow="1" w:lastRow="0" w:firstColumn="1" w:lastColumn="0" w:noHBand="0" w:noVBand="1"/>
      </w:tblPr>
      <w:tblGrid>
        <w:gridCol w:w="2834"/>
        <w:gridCol w:w="1763"/>
        <w:gridCol w:w="2366"/>
        <w:gridCol w:w="2534"/>
      </w:tblGrid>
      <w:tr w:rsidR="00D17976">
        <w:tc>
          <w:tcPr>
            <w:tcW w:w="2833" w:type="dxa"/>
          </w:tcPr>
          <w:p w:rsidR="00D17976" w:rsidRDefault="00A7377F">
            <w:pPr>
              <w:spacing w:after="0" w:line="240" w:lineRule="auto"/>
              <w:jc w:val="center"/>
              <w:rPr>
                <w:bCs/>
                <w:lang w:eastAsia="ar-SA"/>
              </w:rPr>
            </w:pPr>
            <w:r>
              <w:rPr>
                <w:rFonts w:ascii="Times New Roman" w:eastAsia="Times New Roman" w:hAnsi="Times New Roman" w:cs="Times New Roman"/>
                <w:bCs/>
                <w:sz w:val="24"/>
                <w:szCs w:val="24"/>
                <w:lang w:eastAsia="ar-SA"/>
              </w:rPr>
              <w:t>Skaičius mokykloje</w:t>
            </w:r>
          </w:p>
        </w:tc>
        <w:tc>
          <w:tcPr>
            <w:tcW w:w="6663" w:type="dxa"/>
            <w:gridSpan w:val="3"/>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Proc. nuo mokinių skaičiaus</w:t>
            </w:r>
          </w:p>
        </w:tc>
      </w:tr>
      <w:tr w:rsidR="00D17976">
        <w:tc>
          <w:tcPr>
            <w:tcW w:w="2833" w:type="dxa"/>
            <w:vMerge w:val="restart"/>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lastRenderedPageBreak/>
              <w:t>16</w:t>
            </w:r>
          </w:p>
        </w:tc>
        <w:tc>
          <w:tcPr>
            <w:tcW w:w="1763"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Didelių poreikių</w:t>
            </w:r>
          </w:p>
        </w:tc>
        <w:tc>
          <w:tcPr>
            <w:tcW w:w="2366"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Vidutinių poreikių</w:t>
            </w:r>
          </w:p>
        </w:tc>
        <w:tc>
          <w:tcPr>
            <w:tcW w:w="2534"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Nedidelių poreikių</w:t>
            </w:r>
          </w:p>
        </w:tc>
      </w:tr>
      <w:tr w:rsidR="00D17976">
        <w:tc>
          <w:tcPr>
            <w:tcW w:w="2833" w:type="dxa"/>
            <w:vMerge/>
            <w:vAlign w:val="center"/>
          </w:tcPr>
          <w:p w:rsidR="00D17976" w:rsidRDefault="00D17976">
            <w:pPr>
              <w:spacing w:after="0" w:line="240" w:lineRule="auto"/>
              <w:rPr>
                <w:bCs/>
                <w:lang w:eastAsia="ar-SA"/>
              </w:rPr>
            </w:pPr>
          </w:p>
        </w:tc>
        <w:tc>
          <w:tcPr>
            <w:tcW w:w="176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3</w:t>
            </w:r>
          </w:p>
        </w:tc>
        <w:tc>
          <w:tcPr>
            <w:tcW w:w="2366"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18</w:t>
            </w:r>
          </w:p>
        </w:tc>
        <w:tc>
          <w:tcPr>
            <w:tcW w:w="2534"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1</w:t>
            </w:r>
          </w:p>
        </w:tc>
      </w:tr>
    </w:tbl>
    <w:p w:rsidR="00D17976" w:rsidRDefault="00D17976">
      <w:pPr>
        <w:spacing w:after="0" w:line="240" w:lineRule="auto"/>
        <w:jc w:val="both"/>
        <w:rPr>
          <w:rFonts w:ascii="Times New Roman" w:eastAsia="Calibri" w:hAnsi="Times New Roman" w:cs="Times New Roman"/>
          <w:color w:val="000000"/>
          <w:kern w:val="2"/>
          <w:sz w:val="24"/>
          <w:szCs w:val="24"/>
          <w:lang w:val="en-GB" w:eastAsia="ar-SA"/>
        </w:rPr>
      </w:pPr>
    </w:p>
    <w:p w:rsidR="00D17976" w:rsidRDefault="00A7377F">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4"/>
          <w:szCs w:val="24"/>
          <w:lang w:eastAsia="ar-SA"/>
        </w:rPr>
        <w:t>III. INFORMACIJA APIE MOKINIŲ VEIKLOS REZULTATUS</w:t>
      </w:r>
    </w:p>
    <w:p w:rsidR="00D17976" w:rsidRPr="00111273" w:rsidRDefault="00D17976">
      <w:pPr>
        <w:spacing w:after="0" w:line="240" w:lineRule="auto"/>
        <w:jc w:val="center"/>
        <w:rPr>
          <w:rFonts w:ascii="Times New Roman" w:eastAsia="Times New Roman" w:hAnsi="Times New Roman" w:cs="Times New Roman"/>
          <w:sz w:val="24"/>
          <w:szCs w:val="24"/>
          <w:lang w:eastAsia="ar-SA"/>
        </w:rPr>
      </w:pPr>
    </w:p>
    <w:p w:rsidR="00D17976" w:rsidRDefault="00C61852">
      <w:pPr>
        <w:spacing w:after="0" w:line="240" w:lineRule="auto"/>
        <w:ind w:firstLine="85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lt-LT"/>
        </w:rPr>
        <w:t xml:space="preserve">      </w:t>
      </w:r>
      <w:r w:rsidR="00A7377F">
        <w:rPr>
          <w:rFonts w:ascii="Times New Roman" w:eastAsia="Times New Roman" w:hAnsi="Times New Roman" w:cs="Times New Roman"/>
          <w:sz w:val="24"/>
          <w:szCs w:val="24"/>
          <w:lang w:eastAsia="lt-LT"/>
        </w:rPr>
        <w:t>3.1. Standartizuotų testų (NMPP) rezultatai 2018–2019 m. m.:</w:t>
      </w:r>
    </w:p>
    <w:tbl>
      <w:tblPr>
        <w:tblStyle w:val="TableGrid"/>
        <w:tblW w:w="9583" w:type="dxa"/>
        <w:tblInd w:w="109" w:type="dxa"/>
        <w:tblLook w:val="04A0" w:firstRow="1" w:lastRow="0" w:firstColumn="1" w:lastColumn="0" w:noHBand="0" w:noVBand="1"/>
      </w:tblPr>
      <w:tblGrid>
        <w:gridCol w:w="1509"/>
        <w:gridCol w:w="2035"/>
        <w:gridCol w:w="1558"/>
        <w:gridCol w:w="1421"/>
        <w:gridCol w:w="1559"/>
        <w:gridCol w:w="1501"/>
      </w:tblGrid>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Klasė, mokinių skaičius</w:t>
            </w:r>
          </w:p>
        </w:tc>
        <w:tc>
          <w:tcPr>
            <w:tcW w:w="2035"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Testo pavadinimas</w:t>
            </w:r>
          </w:p>
        </w:tc>
        <w:tc>
          <w:tcPr>
            <w:tcW w:w="6039" w:type="dxa"/>
            <w:gridSpan w:val="4"/>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Mokinių (proc.), pasiekusių</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vMerge/>
          </w:tcPr>
          <w:p w:rsidR="00D17976" w:rsidRDefault="00D17976">
            <w:pPr>
              <w:spacing w:after="0" w:line="240" w:lineRule="auto"/>
              <w:textAlignment w:val="baseline"/>
              <w:rPr>
                <w:rFonts w:eastAsia="Calibri"/>
                <w:bCs/>
                <w:kern w:val="2"/>
                <w:sz w:val="24"/>
                <w:szCs w:val="24"/>
                <w:lang w:eastAsia="ar-SA"/>
              </w:rPr>
            </w:pP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Aukštesnįjį lygį</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Pagrindinį lygį</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Patenkinamą lygį</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Nepasiekė patenkinamo lygio</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4 klasė </w:t>
            </w:r>
            <w:r>
              <w:rPr>
                <w:rFonts w:ascii="Times New Roman" w:eastAsia="Calibri" w:hAnsi="Times New Roman" w:cs="Times New Roman"/>
                <w:bCs/>
                <w:kern w:val="2"/>
                <w:sz w:val="24"/>
                <w:szCs w:val="24"/>
                <w:lang w:eastAsia="ar-SA"/>
              </w:rPr>
              <w:br/>
              <w:t>(5 mokiniai)</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Skaitymo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
                <w:bCs/>
                <w:kern w:val="2"/>
                <w:sz w:val="24"/>
                <w:szCs w:val="24"/>
                <w:lang w:eastAsia="ar-SA"/>
              </w:rPr>
            </w:pPr>
            <w:r>
              <w:rPr>
                <w:rFonts w:ascii="Times New Roman" w:eastAsia="Calibri" w:hAnsi="Times New Roman" w:cs="Times New Roman"/>
                <w:bCs/>
                <w:kern w:val="2"/>
                <w:sz w:val="24"/>
                <w:szCs w:val="24"/>
                <w:lang w:eastAsia="ar-SA"/>
              </w:rPr>
              <w:t>Pasaulio pažinimo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6 klasė </w:t>
            </w:r>
            <w:r>
              <w:rPr>
                <w:rFonts w:ascii="Times New Roman" w:eastAsia="Calibri" w:hAnsi="Times New Roman" w:cs="Times New Roman"/>
                <w:bCs/>
                <w:kern w:val="2"/>
                <w:sz w:val="24"/>
                <w:szCs w:val="24"/>
                <w:lang w:eastAsia="ar-SA"/>
              </w:rPr>
              <w:br/>
              <w:t>(9 mokiniai)</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12,5</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62,5</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Skaitymo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57,1</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42,9</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33,3</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16,7</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8 klasė </w:t>
            </w:r>
            <w:r>
              <w:rPr>
                <w:rFonts w:ascii="Times New Roman" w:eastAsia="Calibri" w:hAnsi="Times New Roman" w:cs="Times New Roman"/>
                <w:bCs/>
                <w:kern w:val="2"/>
                <w:sz w:val="24"/>
                <w:szCs w:val="24"/>
                <w:lang w:eastAsia="ar-SA"/>
              </w:rPr>
              <w:br/>
              <w:t>(13 mokini</w:t>
            </w:r>
            <w:r w:rsidR="00C61852">
              <w:rPr>
                <w:rFonts w:ascii="Times New Roman" w:eastAsia="Calibri" w:hAnsi="Times New Roman" w:cs="Times New Roman"/>
                <w:bCs/>
                <w:kern w:val="2"/>
                <w:sz w:val="24"/>
                <w:szCs w:val="24"/>
                <w:lang w:eastAsia="ar-SA"/>
              </w:rPr>
              <w:t>ų</w:t>
            </w:r>
            <w:r>
              <w:rPr>
                <w:rFonts w:ascii="Times New Roman" w:eastAsia="Calibri" w:hAnsi="Times New Roman" w:cs="Times New Roman"/>
                <w:bCs/>
                <w:kern w:val="2"/>
                <w:sz w:val="24"/>
                <w:szCs w:val="24"/>
                <w:lang w:eastAsia="ar-SA"/>
              </w:rPr>
              <w:t>)</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15,3</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34,1</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35,9</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14,8</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14,5</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36,2</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35,4</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14,0</w:t>
            </w:r>
          </w:p>
        </w:tc>
      </w:tr>
    </w:tbl>
    <w:p w:rsidR="00D17976" w:rsidRPr="00111273" w:rsidRDefault="00D17976">
      <w:pPr>
        <w:spacing w:after="0" w:line="240" w:lineRule="auto"/>
        <w:rPr>
          <w:rFonts w:ascii="Times New Roman" w:eastAsia="Times New Roman" w:hAnsi="Times New Roman" w:cs="Times New Roman"/>
          <w:bCs/>
          <w:sz w:val="24"/>
          <w:szCs w:val="24"/>
          <w:lang w:eastAsia="ar-SA"/>
        </w:rPr>
      </w:pPr>
    </w:p>
    <w:p w:rsidR="00D17976" w:rsidRDefault="00C61852">
      <w:pPr>
        <w:spacing w:after="0" w:line="240" w:lineRule="auto"/>
        <w:ind w:firstLine="850"/>
        <w:textAlignment w:val="baseline"/>
        <w:rPr>
          <w:rFonts w:ascii="Times New Roman" w:eastAsia="Calibri" w:hAnsi="Times New Roman" w:cs="Times New Roman"/>
          <w:color w:val="000000"/>
          <w:kern w:val="2"/>
          <w:sz w:val="24"/>
          <w:szCs w:val="24"/>
          <w:lang w:val="en-GB" w:eastAsia="ar-SA"/>
        </w:rPr>
      </w:pPr>
      <w:r>
        <w:rPr>
          <w:rFonts w:ascii="Times New Roman" w:eastAsia="Calibri" w:hAnsi="Times New Roman" w:cs="Times New Roman"/>
          <w:color w:val="000000"/>
          <w:kern w:val="2"/>
          <w:sz w:val="24"/>
          <w:szCs w:val="24"/>
          <w:lang w:val="en-GB" w:eastAsia="ar-SA"/>
        </w:rPr>
        <w:t xml:space="preserve">      </w:t>
      </w:r>
      <w:r w:rsidR="00A7377F">
        <w:rPr>
          <w:rFonts w:ascii="Times New Roman" w:eastAsia="Calibri" w:hAnsi="Times New Roman" w:cs="Times New Roman"/>
          <w:color w:val="000000"/>
          <w:kern w:val="2"/>
          <w:sz w:val="24"/>
          <w:szCs w:val="24"/>
          <w:lang w:val="en-GB" w:eastAsia="ar-SA"/>
        </w:rPr>
        <w:t>3.2.</w:t>
      </w:r>
      <w:r w:rsidR="00111273">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Pagrindinio</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ugdymo</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pasiekimų</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patikrinimo</w:t>
      </w:r>
      <w:proofErr w:type="spellEnd"/>
      <w:r w:rsidR="00A7377F">
        <w:rPr>
          <w:rFonts w:ascii="Times New Roman" w:eastAsia="Calibri" w:hAnsi="Times New Roman" w:cs="Times New Roman"/>
          <w:color w:val="000000"/>
          <w:kern w:val="2"/>
          <w:sz w:val="24"/>
          <w:szCs w:val="24"/>
          <w:lang w:val="en-GB" w:eastAsia="ar-SA"/>
        </w:rPr>
        <w:t xml:space="preserve"> (PUPP) </w:t>
      </w:r>
      <w:proofErr w:type="spellStart"/>
      <w:r w:rsidR="00A7377F">
        <w:rPr>
          <w:rFonts w:ascii="Times New Roman" w:eastAsia="Calibri" w:hAnsi="Times New Roman" w:cs="Times New Roman"/>
          <w:color w:val="000000"/>
          <w:kern w:val="2"/>
          <w:sz w:val="24"/>
          <w:szCs w:val="24"/>
          <w:lang w:val="en-GB" w:eastAsia="ar-SA"/>
        </w:rPr>
        <w:t>rezultatai</w:t>
      </w:r>
      <w:proofErr w:type="spellEnd"/>
      <w:r w:rsidR="00A7377F">
        <w:rPr>
          <w:rFonts w:ascii="Times New Roman" w:eastAsia="Calibri" w:hAnsi="Times New Roman" w:cs="Times New Roman"/>
          <w:color w:val="000000"/>
          <w:kern w:val="2"/>
          <w:sz w:val="24"/>
          <w:szCs w:val="24"/>
          <w:lang w:val="en-GB" w:eastAsia="ar-SA"/>
        </w:rPr>
        <w:t xml:space="preserve"> 2019 m.:</w:t>
      </w:r>
    </w:p>
    <w:tbl>
      <w:tblPr>
        <w:tblStyle w:val="TableGrid"/>
        <w:tblW w:w="9520" w:type="dxa"/>
        <w:tblInd w:w="109" w:type="dxa"/>
        <w:tblLook w:val="04A0" w:firstRow="1" w:lastRow="0" w:firstColumn="1" w:lastColumn="0" w:noHBand="0" w:noVBand="1"/>
      </w:tblPr>
      <w:tblGrid>
        <w:gridCol w:w="1130"/>
        <w:gridCol w:w="3661"/>
        <w:gridCol w:w="4729"/>
      </w:tblGrid>
      <w:tr w:rsidR="00D17976">
        <w:tc>
          <w:tcPr>
            <w:tcW w:w="1130" w:type="dxa"/>
            <w:vMerge w:val="restart"/>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Mokinių skaičius</w:t>
            </w:r>
          </w:p>
        </w:tc>
        <w:tc>
          <w:tcPr>
            <w:tcW w:w="8390" w:type="dxa"/>
            <w:gridSpan w:val="2"/>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PUPP rezultatai</w:t>
            </w:r>
          </w:p>
        </w:tc>
      </w:tr>
      <w:tr w:rsidR="00D17976">
        <w:tc>
          <w:tcPr>
            <w:tcW w:w="1130" w:type="dxa"/>
            <w:vMerge/>
          </w:tcPr>
          <w:p w:rsidR="00D17976" w:rsidRDefault="00D17976">
            <w:pPr>
              <w:spacing w:after="0" w:line="240" w:lineRule="auto"/>
              <w:textAlignment w:val="baseline"/>
              <w:rPr>
                <w:rFonts w:eastAsia="Calibri"/>
                <w:bCs/>
                <w:kern w:val="2"/>
                <w:sz w:val="24"/>
                <w:szCs w:val="24"/>
                <w:lang w:eastAsia="ar-SA"/>
              </w:rPr>
            </w:pPr>
          </w:p>
        </w:tc>
        <w:tc>
          <w:tcPr>
            <w:tcW w:w="3661"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Lietuvių kalbos (gimtosios)</w:t>
            </w:r>
          </w:p>
        </w:tc>
        <w:tc>
          <w:tcPr>
            <w:tcW w:w="4729"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r>
      <w:tr w:rsidR="00D17976">
        <w:tc>
          <w:tcPr>
            <w:tcW w:w="1130"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7</w:t>
            </w:r>
          </w:p>
        </w:tc>
        <w:tc>
          <w:tcPr>
            <w:tcW w:w="3661"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Penkių mokinių pasiekimų lygis patenkinamas, dviejų – aukštesnysis.</w:t>
            </w:r>
          </w:p>
          <w:p w:rsidR="00D17976" w:rsidRDefault="00D17976">
            <w:pPr>
              <w:spacing w:after="0" w:line="240" w:lineRule="auto"/>
              <w:textAlignment w:val="baseline"/>
              <w:rPr>
                <w:rFonts w:eastAsia="Calibri"/>
                <w:bCs/>
                <w:kern w:val="2"/>
                <w:sz w:val="24"/>
                <w:szCs w:val="24"/>
                <w:lang w:eastAsia="ar-SA"/>
              </w:rPr>
            </w:pPr>
          </w:p>
        </w:tc>
        <w:tc>
          <w:tcPr>
            <w:tcW w:w="4729"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Vieno mokinio pasiekimų lygis nepatenkinamas, keturių – patenkinamas, vieno – pagrindinis, vieno – aukštesnysis.</w:t>
            </w:r>
          </w:p>
          <w:p w:rsidR="00D17976" w:rsidRDefault="00D17976">
            <w:pPr>
              <w:spacing w:after="0" w:line="240" w:lineRule="auto"/>
              <w:textAlignment w:val="baseline"/>
              <w:rPr>
                <w:rFonts w:eastAsia="Calibri"/>
                <w:bCs/>
                <w:kern w:val="2"/>
                <w:sz w:val="24"/>
                <w:szCs w:val="24"/>
                <w:lang w:eastAsia="ar-SA"/>
              </w:rPr>
            </w:pPr>
          </w:p>
        </w:tc>
      </w:tr>
    </w:tbl>
    <w:p w:rsidR="00D17976" w:rsidRDefault="00E022C4">
      <w:pPr>
        <w:pStyle w:val="No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A7377F">
        <w:rPr>
          <w:rFonts w:ascii="Times New Roman" w:hAnsi="Times New Roman" w:cs="Times New Roman"/>
          <w:sz w:val="24"/>
          <w:szCs w:val="24"/>
          <w:lang w:eastAsia="lt-LT"/>
        </w:rPr>
        <w:t xml:space="preserve">Mokykloje stengiamasi sudaryti sąlygas mokinių individualių gebėjimų stiprinimui ir mokinių bendrųjų kompetencijų ugdymui. Pradinių klasių mokiniai lankė lietuvių kalbos konsultacijas, pailgintos dienos grupėje rengė namų darbus. Mokytojai kartu su mokiniais aptarė mokinių lūkesčius, asmeninę pažangą, numatė būdus, kaip siekti geresnių rezultatų. Mokiniams pagalbą teikė psichologas, logopedas, specialusis pedagogas, mokytojo padėjėjas. Mokiniai dalyvavo neformaliojo vaikų švietimo programose, sporto varžybose, konkursuose, olimpiadose, socialinėse akcijose, pažintinėse edukacinėse programose, vaikų vasaros poilsio ir socializacijos stovyklose. </w:t>
      </w:r>
    </w:p>
    <w:p w:rsidR="00D17976" w:rsidRPr="00111273"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IV. PEDAGOGŲ PASIEKIMAI</w:t>
      </w:r>
    </w:p>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D17976" w:rsidRDefault="00A7377F">
      <w:pPr>
        <w:spacing w:after="0" w:line="240" w:lineRule="auto"/>
        <w:ind w:firstLine="90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4.1. Pedagogų kvalifikacijos tobulinimo prioritetai: </w:t>
      </w:r>
      <w:r>
        <w:rPr>
          <w:rFonts w:ascii="Times New Roman" w:eastAsia="Times New Roman" w:hAnsi="Times New Roman" w:cs="Times New Roman"/>
          <w:sz w:val="24"/>
          <w:szCs w:val="24"/>
          <w:lang w:eastAsia="ar-SA"/>
        </w:rPr>
        <w:t>mokymo(si) ir ugdymo(si) kokybės gerinimas</w:t>
      </w:r>
      <w:r>
        <w:rPr>
          <w:rFonts w:ascii="Times New Roman" w:eastAsia="Times New Roman" w:hAnsi="Times New Roman" w:cs="Times New Roman"/>
          <w:sz w:val="24"/>
          <w:szCs w:val="24"/>
          <w:lang w:eastAsia="lt-LT"/>
        </w:rPr>
        <w:t xml:space="preserve"> (vertinimo strategijų, orientuotų į mokinio individualią pažangą, tobulinimas; </w:t>
      </w:r>
      <w:r>
        <w:rPr>
          <w:rFonts w:ascii="Times New Roman" w:eastAsia="Times New Roman" w:hAnsi="Times New Roman" w:cs="Times New Roman"/>
          <w:sz w:val="24"/>
          <w:szCs w:val="24"/>
        </w:rPr>
        <w:t>mokymosi uždavinių orientavimas į pamatuojamą mokinių veiklos rezultatą;</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mokymosi motyvacijos skatinimas pamokose taikant formuojamąjį ir kaupiamąjį vertinimą;</w:t>
      </w:r>
      <w:r>
        <w:rPr>
          <w:rFonts w:ascii="Times New Roman" w:eastAsia="Times New Roman" w:hAnsi="Times New Roman" w:cs="Times New Roman"/>
          <w:sz w:val="24"/>
          <w:szCs w:val="24"/>
          <w:lang w:eastAsia="lt-LT"/>
        </w:rPr>
        <w:t xml:space="preserve"> mokymosi bendradarbiaujant skatinimas;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ugdymo veiklų individualizavimas ir diferencijavimas;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aktyvių mokymo(si) metodų taikymas, diegiant į ugdymo procesą informacines ir komunikacines technologijas;</w:t>
      </w:r>
      <w:r>
        <w:rPr>
          <w:rFonts w:ascii="Times-Roman" w:eastAsia="Calibri" w:hAnsi="Times-Roman" w:cs="Times-Roman"/>
          <w:sz w:val="24"/>
          <w:szCs w:val="24"/>
        </w:rPr>
        <w:t xml:space="preserve"> </w:t>
      </w:r>
      <w:proofErr w:type="spellStart"/>
      <w:r>
        <w:rPr>
          <w:rFonts w:ascii="Times New Roman" w:eastAsia="Times New Roman" w:hAnsi="Times New Roman" w:cs="Times New Roman"/>
          <w:sz w:val="24"/>
          <w:szCs w:val="24"/>
          <w:lang w:val="en-US"/>
        </w:rPr>
        <w:t>mokinių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savarankiško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darbo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skatinimas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Roman" w:eastAsia="Calibri" w:hAnsi="Times-Roman" w:cs="Times-Roman"/>
          <w:sz w:val="24"/>
          <w:szCs w:val="24"/>
        </w:rPr>
        <w:t>pagalbos mokiniams organizavimas rengiant namų darbus);</w:t>
      </w:r>
      <w:r>
        <w:rPr>
          <w:rFonts w:ascii="Times New Roman" w:eastAsia="Times New Roman" w:hAnsi="Times New Roman" w:cs="Times New Roman"/>
          <w:sz w:val="24"/>
          <w:szCs w:val="24"/>
          <w:lang w:eastAsia="ar-SA"/>
        </w:rPr>
        <w:t xml:space="preserve"> pagalbos mokiniui sistemos tobulinimas (</w:t>
      </w:r>
      <w:r>
        <w:rPr>
          <w:rFonts w:ascii="Times New Roman" w:eastAsia="Times New Roman" w:hAnsi="Times New Roman" w:cs="Times New Roman"/>
          <w:sz w:val="24"/>
          <w:szCs w:val="24"/>
          <w:lang w:eastAsia="lt-LT"/>
        </w:rPr>
        <w:t>šeimos ir mokyklos bendradarbiavimo gerinimas, siekiant mokinių ugdymo kokybės; pedagoginės, socialinės ir psichologinės pagalbos mokiniui efektyvinimas; ugdymo plano galimybių išnaudojimas individualiai mokinio pažangai siekti; patyčių prevencijos ir intervencijos organizavimo efektyvinimas).</w:t>
      </w:r>
    </w:p>
    <w:p w:rsidR="00D17976" w:rsidRDefault="00A7377F">
      <w:pPr>
        <w:spacing w:after="0" w:line="240" w:lineRule="auto"/>
        <w:ind w:firstLine="9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4.2. Pedagoginės veiklos pasiekimai (mokytojų dalyvavimas šalies ir užsienio projektuose, publikuoti leidiniai, vesti seminarai ir kt.).</w:t>
      </w:r>
    </w:p>
    <w:p w:rsidR="00D17976" w:rsidRDefault="00A7377F">
      <w:pPr>
        <w:pStyle w:val="NoSpacing"/>
        <w:ind w:firstLine="851"/>
        <w:jc w:val="both"/>
        <w:rPr>
          <w:rFonts w:ascii="Times New Roman" w:eastAsia="Calibri" w:hAnsi="Times New Roman" w:cs="Times New Roman"/>
          <w:color w:val="000000"/>
          <w:kern w:val="2"/>
          <w:sz w:val="24"/>
          <w:szCs w:val="24"/>
          <w:lang w:val="en-GB" w:eastAsia="ar-SA"/>
        </w:rPr>
      </w:pPr>
      <w:r>
        <w:rPr>
          <w:rFonts w:ascii="Times New Roman" w:hAnsi="Times New Roman" w:cs="Times New Roman"/>
          <w:sz w:val="24"/>
          <w:szCs w:val="24"/>
        </w:rPr>
        <w:t>Vesdami, stebėdami kitų pedagogų pamokas, mokytojai mokėsi naujų mokymo formų, tobulino gebėjimą įvertinti veiklą. Mokytojams sudaromos sąlygos kelti kvalifikaciją, tobulinti kompetencijas įvairiuose kvalifikacijos tobulinimo renginiuose, edukacinėse programose ir praktinėje veikloje.</w:t>
      </w:r>
    </w:p>
    <w:p w:rsidR="00D17976" w:rsidRDefault="00A7377F">
      <w:pPr>
        <w:pStyle w:val="NoSpacing"/>
        <w:ind w:firstLine="851"/>
        <w:jc w:val="both"/>
        <w:rPr>
          <w:rFonts w:ascii="Times New Roman" w:hAnsi="Times New Roman"/>
          <w:sz w:val="24"/>
          <w:szCs w:val="24"/>
        </w:rPr>
      </w:pPr>
      <w:r>
        <w:rPr>
          <w:rFonts w:ascii="Times New Roman" w:hAnsi="Times New Roman"/>
          <w:sz w:val="24"/>
          <w:szCs w:val="24"/>
        </w:rPr>
        <w:t xml:space="preserve">Siekiant mokymo(si) ir ugdymo(si) kokybės, mokytojų komanda kėlė kvalifikaciją seminaruose: „Individualios mokinių pažangos stebėjimas ir skatinimas“ Šiaulių Salduvės progimnazijoje, „Mokinių asmeninės pažangos matavimas, fiksavimas ir vertinimas“, „Formuojamasis vertinimas mokinių pasiekimams ir pažangai“, paskaitoje „Vaikų emocinio intelekto ugdymo mokykloje svarba ir galimybės“, prevencinės programos „Savu keliu“ mokymuose, seminare Sveikatą stiprinančioms mokykloms, kurį organizavo Sveikatos mokymų ir ligų prevencijos centras. </w:t>
      </w:r>
    </w:p>
    <w:p w:rsidR="00E022C4" w:rsidRDefault="00E022C4">
      <w:pPr>
        <w:pStyle w:val="NoSpacing"/>
        <w:ind w:firstLine="851"/>
        <w:jc w:val="both"/>
        <w:rPr>
          <w:rFonts w:ascii="Times New Roman" w:eastAsia="Calibri" w:hAnsi="Times New Roman" w:cs="Times New Roman"/>
          <w:color w:val="000000"/>
          <w:kern w:val="2"/>
          <w:sz w:val="24"/>
          <w:szCs w:val="24"/>
          <w:lang w:val="en-GB"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 FINANSAVIMAS</w:t>
      </w:r>
    </w:p>
    <w:p w:rsidR="00D17976" w:rsidRPr="00111273"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val="en-US"/>
        </w:rPr>
        <w:t xml:space="preserve">2019 m. </w:t>
      </w:r>
      <w:r>
        <w:rPr>
          <w:rFonts w:ascii="Times New Roman" w:hAnsi="Times New Roman" w:cs="Times New Roman"/>
          <w:sz w:val="24"/>
          <w:szCs w:val="24"/>
        </w:rPr>
        <w:t>mokytojų atlyginimai buvo skaičiuojami pagal koeficientų vidurkius.</w:t>
      </w:r>
      <w:r>
        <w:rPr>
          <w:rFonts w:ascii="Times New Roman" w:eastAsia="Times New Roman" w:hAnsi="Times New Roman" w:cs="Times New Roman"/>
          <w:color w:val="000000"/>
          <w:sz w:val="24"/>
          <w:szCs w:val="24"/>
          <w:lang w:eastAsia="lt-LT"/>
        </w:rPr>
        <w:t xml:space="preserve"> Iš viso </w:t>
      </w:r>
      <w:r>
        <w:rPr>
          <w:rFonts w:ascii="Times New Roman" w:eastAsia="Times New Roman" w:hAnsi="Times New Roman" w:cs="Times New Roman"/>
          <w:color w:val="000000"/>
          <w:sz w:val="24"/>
          <w:szCs w:val="24"/>
          <w:lang w:eastAsia="lt-LT"/>
        </w:rPr>
        <w:br/>
        <w:t>2019 m. mokyklai</w:t>
      </w:r>
      <w:r>
        <w:rPr>
          <w:rFonts w:ascii="Times New Roman" w:eastAsia="Times New Roman" w:hAnsi="Times New Roman" w:cs="Times New Roman"/>
          <w:sz w:val="24"/>
          <w:szCs w:val="24"/>
          <w:lang w:eastAsia="lt-LT"/>
        </w:rPr>
        <w:t xml:space="preserve"> skirta 548 919,42 Eur, Mokymo lėšų – 259 700 Eur. Iš jų: darbo užmokesčiui ir socialinio draudimo įmokoms – 251 168,37 Eur, kvalifikacijos kėlimo išlaidoms – 626,48 </w:t>
      </w:r>
      <w:r>
        <w:rPr>
          <w:rFonts w:ascii="Times New Roman" w:eastAsia="Times New Roman" w:hAnsi="Times New Roman" w:cs="Times New Roman"/>
          <w:color w:val="000000"/>
          <w:sz w:val="24"/>
          <w:szCs w:val="24"/>
          <w:lang w:eastAsia="lt-LT"/>
        </w:rPr>
        <w:t xml:space="preserve">Eur, ūkiniam inventoriui (vadovėliams, mokymo priemonėms ir kt.) bei kitoms prekėms ir paslaugoms įsigyti įsigyti – </w:t>
      </w:r>
      <w:r>
        <w:rPr>
          <w:rFonts w:ascii="Times New Roman" w:eastAsia="Times New Roman" w:hAnsi="Times New Roman" w:cs="Times New Roman"/>
          <w:sz w:val="24"/>
          <w:szCs w:val="24"/>
          <w:lang w:eastAsia="lt-LT"/>
        </w:rPr>
        <w:t xml:space="preserve">7 300,76 </w:t>
      </w:r>
      <w:r>
        <w:rPr>
          <w:rFonts w:ascii="Times New Roman" w:eastAsia="Times New Roman" w:hAnsi="Times New Roman" w:cs="Times New Roman"/>
          <w:color w:val="000000"/>
          <w:sz w:val="24"/>
          <w:szCs w:val="24"/>
          <w:lang w:eastAsia="lt-LT"/>
        </w:rPr>
        <w:t xml:space="preserve">Eur, darbdavio socialinei paramai pinigais – </w:t>
      </w:r>
      <w:r>
        <w:rPr>
          <w:rFonts w:ascii="Times New Roman" w:eastAsia="Times New Roman" w:hAnsi="Times New Roman" w:cs="Times New Roman"/>
          <w:sz w:val="24"/>
          <w:szCs w:val="24"/>
          <w:lang w:eastAsia="lt-LT"/>
        </w:rPr>
        <w:t xml:space="preserve">604,39 </w:t>
      </w:r>
      <w:r>
        <w:rPr>
          <w:rFonts w:ascii="Times New Roman" w:eastAsia="Times New Roman" w:hAnsi="Times New Roman" w:cs="Times New Roman"/>
          <w:color w:val="000000"/>
          <w:sz w:val="24"/>
          <w:szCs w:val="24"/>
          <w:lang w:eastAsia="lt-LT"/>
        </w:rPr>
        <w:t xml:space="preserve">Eur. Mokykla </w:t>
      </w:r>
      <w:r w:rsidR="004569DB">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color w:val="000000"/>
          <w:sz w:val="24"/>
          <w:szCs w:val="24"/>
          <w:lang w:eastAsia="lt-LT"/>
        </w:rPr>
        <w:t>3 projektams vykdyti („Būsiu tavo draugas 2019“, „Į sveikatos šalį“ ir „Mano pasirinkimas – sveika gyvensena“) gavo 1 580,00 Eur finansavimą. Savivaldybė skyrė mokyklos remontui (stogo remonto darbams) – 13 700,00 Eur.</w:t>
      </w:r>
    </w:p>
    <w:p w:rsidR="00D17976" w:rsidRDefault="00D17976">
      <w:pPr>
        <w:spacing w:after="0" w:line="240" w:lineRule="auto"/>
        <w:jc w:val="both"/>
        <w:textAlignment w:val="baseline"/>
        <w:rPr>
          <w:rFonts w:ascii="Times New Roman" w:eastAsia="Times New Roman" w:hAnsi="Times New Roman" w:cs="Times New Roman"/>
          <w:color w:val="000000"/>
          <w:sz w:val="24"/>
          <w:szCs w:val="24"/>
          <w:lang w:eastAsia="lt-LT"/>
        </w:rPr>
      </w:pPr>
    </w:p>
    <w:p w:rsidR="00D17976" w:rsidRDefault="00A7377F">
      <w:pPr>
        <w:spacing w:after="0" w:line="100" w:lineRule="atLeast"/>
        <w:jc w:val="center"/>
        <w:rPr>
          <w:rFonts w:ascii="Times New Roman" w:eastAsia="SimSun" w:hAnsi="Times New Roman" w:cs="Times New Roman"/>
          <w:b/>
          <w:kern w:val="2"/>
          <w:sz w:val="24"/>
          <w:szCs w:val="24"/>
          <w:lang w:eastAsia="ar-SA"/>
        </w:rPr>
      </w:pPr>
      <w:r>
        <w:rPr>
          <w:rFonts w:ascii="Times New Roman" w:eastAsia="SimSun" w:hAnsi="Times New Roman" w:cs="Times New Roman"/>
          <w:b/>
          <w:kern w:val="2"/>
          <w:sz w:val="24"/>
          <w:szCs w:val="24"/>
          <w:lang w:eastAsia="ar-SA"/>
        </w:rPr>
        <w:t>VI. PROBLEMOS IR JŲ SPRENDIMO BŪDAI</w:t>
      </w:r>
    </w:p>
    <w:p w:rsidR="00D17976" w:rsidRPr="00111273" w:rsidRDefault="00D17976">
      <w:pPr>
        <w:spacing w:after="0" w:line="100" w:lineRule="atLeast"/>
        <w:jc w:val="center"/>
        <w:rPr>
          <w:rFonts w:ascii="Times New Roman" w:eastAsia="SimSun" w:hAnsi="Times New Roman" w:cs="Times New Roman"/>
          <w:kern w:val="2"/>
          <w:sz w:val="24"/>
          <w:szCs w:val="24"/>
          <w:lang w:eastAsia="ar-SA"/>
        </w:rPr>
      </w:pPr>
    </w:p>
    <w:p w:rsidR="00D17976" w:rsidRDefault="00A7377F">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Problemos: žemi kai kurių mokinių ugdymosi pasiekimai (sprendimo būdai: šeimos atsakomybės didinimas, inovatyvių ugdymo(si) metodų ir formų taikymas, mokytojų kvalifikacijos kėlimas); </w:t>
      </w:r>
      <w:r>
        <w:rPr>
          <w:rFonts w:ascii="Times New Roman" w:hAnsi="Times New Roman" w:cs="Times New Roman"/>
          <w:sz w:val="24"/>
          <w:szCs w:val="24"/>
        </w:rPr>
        <w:t>mažas bendras mokinių skaičius mokykloje, jungiamos klasės, daugėja tuščių mokymosi vietų (sprendimo būdai: patrauklesnių mokyklos veiklų organizavimas ir aktyvus viešinimas).</w:t>
      </w:r>
    </w:p>
    <w:p w:rsidR="00D17976" w:rsidRDefault="00D17976">
      <w:pPr>
        <w:tabs>
          <w:tab w:val="left" w:pos="1338"/>
        </w:tabs>
        <w:spacing w:after="0" w:line="240" w:lineRule="auto"/>
        <w:rPr>
          <w:rFonts w:ascii="Times New Roman" w:eastAsia="Calibri" w:hAnsi="Times New Roman" w:cs="Times New Roman"/>
          <w:color w:val="000000"/>
          <w:kern w:val="2"/>
          <w:sz w:val="24"/>
          <w:szCs w:val="24"/>
          <w:lang w:val="en-GB" w:eastAsia="zh-CN"/>
        </w:rPr>
      </w:pPr>
    </w:p>
    <w:p w:rsidR="00D17976" w:rsidRDefault="00E022C4">
      <w:pPr>
        <w:tabs>
          <w:tab w:val="left" w:pos="1338"/>
        </w:tabs>
        <w:spacing w:after="0" w:line="240" w:lineRule="auto"/>
        <w:rPr>
          <w:rFonts w:ascii="Times New Roman" w:eastAsia="Calibri" w:hAnsi="Times New Roman" w:cs="Times New Roman"/>
          <w:color w:val="000000"/>
          <w:kern w:val="2"/>
          <w:sz w:val="24"/>
          <w:szCs w:val="24"/>
          <w:lang w:val="en-GB" w:eastAsia="zh-CN"/>
        </w:rPr>
      </w:pPr>
      <w:r>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Patvirtinu</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kad</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pateikta</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informacija</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yra</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tiksli</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ir</w:t>
      </w:r>
      <w:proofErr w:type="spellEnd"/>
      <w:r w:rsidR="00A7377F">
        <w:rPr>
          <w:rFonts w:ascii="Times New Roman" w:eastAsia="Calibri" w:hAnsi="Times New Roman" w:cs="Times New Roman"/>
          <w:color w:val="000000"/>
          <w:kern w:val="2"/>
          <w:sz w:val="24"/>
          <w:szCs w:val="24"/>
          <w:lang w:val="en-GB" w:eastAsia="zh-CN"/>
        </w:rPr>
        <w:t xml:space="preserve"> </w:t>
      </w:r>
      <w:proofErr w:type="spellStart"/>
      <w:r w:rsidR="00A7377F">
        <w:rPr>
          <w:rFonts w:ascii="Times New Roman" w:eastAsia="Calibri" w:hAnsi="Times New Roman" w:cs="Times New Roman"/>
          <w:color w:val="000000"/>
          <w:kern w:val="2"/>
          <w:sz w:val="24"/>
          <w:szCs w:val="24"/>
          <w:lang w:val="en-GB" w:eastAsia="zh-CN"/>
        </w:rPr>
        <w:t>teisinga</w:t>
      </w:r>
      <w:proofErr w:type="spellEnd"/>
      <w:r w:rsidR="00A7377F">
        <w:rPr>
          <w:rFonts w:ascii="Times New Roman" w:eastAsia="Calibri" w:hAnsi="Times New Roman" w:cs="Times New Roman"/>
          <w:color w:val="000000"/>
          <w:kern w:val="2"/>
          <w:sz w:val="24"/>
          <w:szCs w:val="24"/>
          <w:lang w:val="en-GB" w:eastAsia="zh-CN"/>
        </w:rPr>
        <w:t>.</w:t>
      </w:r>
    </w:p>
    <w:p w:rsidR="00D17976" w:rsidRDefault="00D17976">
      <w:pPr>
        <w:tabs>
          <w:tab w:val="left" w:pos="1338"/>
        </w:tabs>
        <w:spacing w:after="0" w:line="240" w:lineRule="auto"/>
        <w:rPr>
          <w:rFonts w:ascii="Times New Roman" w:eastAsia="Calibri" w:hAnsi="Times New Roman" w:cs="Times New Roman"/>
          <w:color w:val="000000"/>
          <w:kern w:val="2"/>
          <w:sz w:val="24"/>
          <w:szCs w:val="24"/>
          <w:lang w:val="en-GB" w:eastAsia="zh-CN"/>
        </w:rPr>
      </w:pPr>
    </w:p>
    <w:p w:rsidR="00E022C4" w:rsidRDefault="00E022C4">
      <w:pPr>
        <w:tabs>
          <w:tab w:val="left" w:pos="1338"/>
        </w:tabs>
        <w:spacing w:after="0" w:line="240" w:lineRule="auto"/>
        <w:rPr>
          <w:rFonts w:ascii="Times New Roman" w:eastAsia="Calibri" w:hAnsi="Times New Roman" w:cs="Times New Roman"/>
          <w:color w:val="000000"/>
          <w:kern w:val="2"/>
          <w:sz w:val="24"/>
          <w:szCs w:val="24"/>
          <w:lang w:val="en-GB" w:eastAsia="zh-CN"/>
        </w:rPr>
      </w:pPr>
    </w:p>
    <w:p w:rsidR="00D17976" w:rsidRDefault="00A7377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Mokyklos direktorė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Jurgita Zalatorienė</w:t>
      </w:r>
    </w:p>
    <w:p w:rsidR="00D17976" w:rsidRDefault="00D17976">
      <w:pPr>
        <w:spacing w:after="0" w:line="240" w:lineRule="auto"/>
        <w:rPr>
          <w:rFonts w:ascii="Times New Roman" w:eastAsia="Times New Roman" w:hAnsi="Times New Roman" w:cs="Times New Roman"/>
          <w:sz w:val="24"/>
          <w:szCs w:val="24"/>
          <w:lang w:eastAsia="ar-SA"/>
        </w:rPr>
      </w:pPr>
    </w:p>
    <w:p w:rsidR="004569DB" w:rsidRDefault="004569DB">
      <w:pPr>
        <w:spacing w:after="0" w:line="240" w:lineRule="auto"/>
        <w:rPr>
          <w:rFonts w:ascii="Times New Roman" w:eastAsia="Times New Roman" w:hAnsi="Times New Roman" w:cs="Times New Roman"/>
          <w:sz w:val="24"/>
          <w:szCs w:val="24"/>
          <w:lang w:eastAsia="ar-SA"/>
        </w:rPr>
      </w:pPr>
    </w:p>
    <w:p w:rsidR="00D17976" w:rsidRDefault="00A7377F">
      <w:pPr>
        <w:spacing w:after="0" w:line="240" w:lineRule="auto"/>
        <w:rPr>
          <w:rFonts w:ascii="Times New Roman" w:eastAsia="Calibri" w:hAnsi="Times New Roman" w:cs="Times New Roman"/>
          <w:kern w:val="2"/>
          <w:sz w:val="24"/>
          <w:szCs w:val="24"/>
          <w:lang w:val="en-GB" w:eastAsia="zh-CN"/>
        </w:rPr>
      </w:pPr>
      <w:r>
        <w:rPr>
          <w:rFonts w:ascii="Times New Roman" w:eastAsia="Calibri" w:hAnsi="Times New Roman" w:cs="Times New Roman"/>
          <w:kern w:val="2"/>
          <w:sz w:val="24"/>
          <w:szCs w:val="24"/>
          <w:lang w:val="en-GB" w:eastAsia="zh-CN"/>
        </w:rPr>
        <w:t>PRITARTA</w:t>
      </w:r>
    </w:p>
    <w:p w:rsidR="00D17976" w:rsidRDefault="00A7377F">
      <w:pPr>
        <w:spacing w:after="0" w:line="240" w:lineRule="auto"/>
        <w:rPr>
          <w:rFonts w:ascii="Times New Roman" w:eastAsia="Calibri" w:hAnsi="Times New Roman" w:cs="Times New Roman"/>
          <w:kern w:val="2"/>
          <w:sz w:val="24"/>
          <w:szCs w:val="24"/>
          <w:lang w:val="en-GB" w:eastAsia="zh-CN"/>
        </w:rPr>
      </w:pPr>
      <w:proofErr w:type="spellStart"/>
      <w:r>
        <w:rPr>
          <w:rFonts w:ascii="Times New Roman" w:eastAsia="Calibri" w:hAnsi="Times New Roman" w:cs="Times New Roman"/>
          <w:kern w:val="2"/>
          <w:sz w:val="24"/>
          <w:szCs w:val="24"/>
          <w:lang w:val="en-GB" w:eastAsia="zh-CN"/>
        </w:rPr>
        <w:t>Mokyklos</w:t>
      </w:r>
      <w:proofErr w:type="spellEnd"/>
      <w:r>
        <w:rPr>
          <w:rFonts w:ascii="Times New Roman" w:eastAsia="Calibri" w:hAnsi="Times New Roman" w:cs="Times New Roman"/>
          <w:kern w:val="2"/>
          <w:sz w:val="24"/>
          <w:szCs w:val="24"/>
          <w:lang w:val="en-GB" w:eastAsia="zh-CN"/>
        </w:rPr>
        <w:t xml:space="preserve"> </w:t>
      </w:r>
      <w:proofErr w:type="spellStart"/>
      <w:r>
        <w:rPr>
          <w:rFonts w:ascii="Times New Roman" w:eastAsia="Calibri" w:hAnsi="Times New Roman" w:cs="Times New Roman"/>
          <w:kern w:val="2"/>
          <w:sz w:val="24"/>
          <w:szCs w:val="24"/>
          <w:lang w:val="en-GB" w:eastAsia="zh-CN"/>
        </w:rPr>
        <w:t>tarybos</w:t>
      </w:r>
      <w:proofErr w:type="spellEnd"/>
    </w:p>
    <w:p w:rsidR="00D17976" w:rsidRDefault="00A7377F">
      <w:pPr>
        <w:spacing w:after="0" w:line="240" w:lineRule="auto"/>
        <w:rPr>
          <w:rFonts w:ascii="Times New Roman" w:eastAsia="Calibri" w:hAnsi="Times New Roman" w:cs="Times New Roman"/>
          <w:kern w:val="2"/>
          <w:sz w:val="24"/>
          <w:szCs w:val="24"/>
          <w:lang w:val="en-GB" w:eastAsia="zh-CN"/>
        </w:rPr>
      </w:pPr>
      <w:r>
        <w:rPr>
          <w:rFonts w:ascii="Times New Roman" w:eastAsia="Calibri" w:hAnsi="Times New Roman" w:cs="Times New Roman"/>
          <w:kern w:val="2"/>
          <w:sz w:val="24"/>
          <w:szCs w:val="24"/>
          <w:lang w:val="en-GB" w:eastAsia="zh-CN"/>
        </w:rPr>
        <w:t xml:space="preserve">2020 m. </w:t>
      </w:r>
      <w:proofErr w:type="spellStart"/>
      <w:r>
        <w:rPr>
          <w:rFonts w:ascii="Times New Roman" w:eastAsia="Calibri" w:hAnsi="Times New Roman" w:cs="Times New Roman"/>
          <w:kern w:val="2"/>
          <w:sz w:val="24"/>
          <w:szCs w:val="24"/>
          <w:lang w:val="en-GB" w:eastAsia="zh-CN"/>
        </w:rPr>
        <w:t>balandžio</w:t>
      </w:r>
      <w:proofErr w:type="spellEnd"/>
      <w:r>
        <w:rPr>
          <w:rFonts w:ascii="Times New Roman" w:eastAsia="Calibri" w:hAnsi="Times New Roman" w:cs="Times New Roman"/>
          <w:kern w:val="2"/>
          <w:sz w:val="24"/>
          <w:szCs w:val="24"/>
          <w:lang w:val="en-GB" w:eastAsia="zh-CN"/>
        </w:rPr>
        <w:t xml:space="preserve"> 30 d. </w:t>
      </w:r>
      <w:proofErr w:type="spellStart"/>
      <w:r>
        <w:rPr>
          <w:rFonts w:ascii="Times New Roman" w:eastAsia="Calibri" w:hAnsi="Times New Roman" w:cs="Times New Roman"/>
          <w:kern w:val="2"/>
          <w:sz w:val="24"/>
          <w:szCs w:val="24"/>
          <w:lang w:val="en-GB" w:eastAsia="zh-CN"/>
        </w:rPr>
        <w:t>posėdžio</w:t>
      </w:r>
      <w:proofErr w:type="spellEnd"/>
      <w:r>
        <w:rPr>
          <w:rFonts w:ascii="Times New Roman" w:eastAsia="Calibri" w:hAnsi="Times New Roman" w:cs="Times New Roman"/>
          <w:kern w:val="2"/>
          <w:sz w:val="24"/>
          <w:szCs w:val="24"/>
          <w:lang w:val="en-GB" w:eastAsia="zh-CN"/>
        </w:rPr>
        <w:t xml:space="preserve"> </w:t>
      </w:r>
      <w:proofErr w:type="spellStart"/>
      <w:r>
        <w:rPr>
          <w:rFonts w:ascii="Times New Roman" w:eastAsia="Calibri" w:hAnsi="Times New Roman" w:cs="Times New Roman"/>
          <w:kern w:val="2"/>
          <w:sz w:val="24"/>
          <w:szCs w:val="24"/>
          <w:lang w:val="en-GB" w:eastAsia="zh-CN"/>
        </w:rPr>
        <w:t>protokolas</w:t>
      </w:r>
      <w:proofErr w:type="spellEnd"/>
      <w:r>
        <w:rPr>
          <w:rFonts w:ascii="Times New Roman" w:eastAsia="Calibri" w:hAnsi="Times New Roman" w:cs="Times New Roman"/>
          <w:kern w:val="2"/>
          <w:sz w:val="24"/>
          <w:szCs w:val="24"/>
          <w:lang w:val="en-GB" w:eastAsia="zh-CN"/>
        </w:rPr>
        <w:t xml:space="preserve"> Nr. 1</w:t>
      </w:r>
    </w:p>
    <w:p w:rsidR="00D17976" w:rsidRDefault="00D17976">
      <w:pPr>
        <w:spacing w:after="0" w:line="240" w:lineRule="auto"/>
        <w:rPr>
          <w:rFonts w:ascii="Times New Roman" w:eastAsia="Times New Roman" w:hAnsi="Times New Roman" w:cs="Times New Roman"/>
          <w:sz w:val="24"/>
          <w:szCs w:val="24"/>
          <w:lang w:eastAsia="ar-SA"/>
        </w:rPr>
      </w:pPr>
    </w:p>
    <w:p w:rsidR="004569DB" w:rsidRDefault="004569DB">
      <w:pPr>
        <w:spacing w:after="0" w:line="240" w:lineRule="auto"/>
        <w:rPr>
          <w:rFonts w:ascii="Times New Roman" w:eastAsia="Times New Roman" w:hAnsi="Times New Roman" w:cs="Times New Roman"/>
          <w:sz w:val="24"/>
          <w:szCs w:val="24"/>
          <w:lang w:eastAsia="ar-SA"/>
        </w:rPr>
      </w:pPr>
      <w:bookmarkStart w:id="0" w:name="_GoBack"/>
      <w:bookmarkEnd w:id="0"/>
    </w:p>
    <w:p w:rsidR="00D17976" w:rsidRDefault="00A7377F">
      <w:pPr>
        <w:spacing w:after="0" w:line="240" w:lineRule="auto"/>
        <w:rPr>
          <w:rFonts w:ascii="Times New Roman" w:eastAsia="Calibri" w:hAnsi="Times New Roman" w:cs="Times New Roman"/>
          <w:kern w:val="2"/>
          <w:sz w:val="24"/>
          <w:szCs w:val="24"/>
          <w:lang w:val="en-GB" w:eastAsia="zh-CN"/>
        </w:rPr>
      </w:pPr>
      <w:r>
        <w:rPr>
          <w:rFonts w:ascii="Times New Roman" w:eastAsia="Calibri" w:hAnsi="Times New Roman" w:cs="Times New Roman"/>
          <w:kern w:val="2"/>
          <w:sz w:val="24"/>
          <w:szCs w:val="24"/>
          <w:lang w:val="en-GB" w:eastAsia="zh-CN"/>
        </w:rPr>
        <w:t>SUDERINTA</w:t>
      </w:r>
    </w:p>
    <w:p w:rsidR="00D17976" w:rsidRDefault="00A7377F">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r>
        <w:rPr>
          <w:color w:val="auto"/>
        </w:rPr>
        <w:t xml:space="preserve"> </w:t>
      </w:r>
    </w:p>
    <w:p w:rsidR="00E022C4" w:rsidRDefault="00A7377F">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r>
        <w:rPr>
          <w:color w:val="auto"/>
        </w:rPr>
        <w:t xml:space="preserve"> </w:t>
      </w:r>
    </w:p>
    <w:p w:rsidR="00D17976" w:rsidRDefault="00A7377F">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D17976" w:rsidSect="00111273">
      <w:headerReference w:type="default" r:id="rId8"/>
      <w:pgSz w:w="11906" w:h="16838"/>
      <w:pgMar w:top="1701" w:right="567" w:bottom="1134" w:left="1701" w:header="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98B" w:rsidRDefault="0056498B" w:rsidP="001F16A2">
      <w:pPr>
        <w:spacing w:after="0" w:line="240" w:lineRule="auto"/>
      </w:pPr>
      <w:r>
        <w:separator/>
      </w:r>
    </w:p>
  </w:endnote>
  <w:endnote w:type="continuationSeparator" w:id="0">
    <w:p w:rsidR="0056498B" w:rsidRDefault="0056498B" w:rsidP="001F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BA"/>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98B" w:rsidRDefault="0056498B" w:rsidP="001F16A2">
      <w:pPr>
        <w:spacing w:after="0" w:line="240" w:lineRule="auto"/>
      </w:pPr>
      <w:r>
        <w:separator/>
      </w:r>
    </w:p>
  </w:footnote>
  <w:footnote w:type="continuationSeparator" w:id="0">
    <w:p w:rsidR="0056498B" w:rsidRDefault="0056498B" w:rsidP="001F1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89733"/>
      <w:docPartObj>
        <w:docPartGallery w:val="Page Numbers (Top of Page)"/>
        <w:docPartUnique/>
      </w:docPartObj>
    </w:sdtPr>
    <w:sdtEndPr>
      <w:rPr>
        <w:noProof/>
      </w:rPr>
    </w:sdtEndPr>
    <w:sdtContent>
      <w:p w:rsidR="00C61852" w:rsidRDefault="00C61852">
        <w:pPr>
          <w:pStyle w:val="Header"/>
          <w:jc w:val="center"/>
        </w:pPr>
        <w:r>
          <w:fldChar w:fldCharType="begin"/>
        </w:r>
        <w:r>
          <w:instrText xml:space="preserve"> PAGE   \* MERGEFORMAT </w:instrText>
        </w:r>
        <w:r>
          <w:fldChar w:fldCharType="separate"/>
        </w:r>
        <w:r w:rsidR="004569DB">
          <w:rPr>
            <w:noProof/>
          </w:rPr>
          <w:t>6</w:t>
        </w:r>
        <w:r>
          <w:rPr>
            <w:noProof/>
          </w:rPr>
          <w:fldChar w:fldCharType="end"/>
        </w:r>
      </w:p>
    </w:sdtContent>
  </w:sdt>
  <w:p w:rsidR="00C61852" w:rsidRDefault="00C61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A2752"/>
    <w:multiLevelType w:val="multilevel"/>
    <w:tmpl w:val="674C59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99937E6"/>
    <w:multiLevelType w:val="multilevel"/>
    <w:tmpl w:val="5284F608"/>
    <w:lvl w:ilvl="0">
      <w:start w:val="1"/>
      <w:numFmt w:val="decimal"/>
      <w:lvlText w:val="%1."/>
      <w:lvlJc w:val="left"/>
      <w:pPr>
        <w:ind w:left="150" w:hanging="510"/>
      </w:pPr>
    </w:lvl>
    <w:lvl w:ilvl="1">
      <w:start w:val="1"/>
      <w:numFmt w:val="decimal"/>
      <w:lvlText w:val="%1.%2."/>
      <w:lvlJc w:val="left"/>
      <w:pPr>
        <w:ind w:left="270" w:hanging="510"/>
      </w:pPr>
    </w:lvl>
    <w:lvl w:ilvl="2">
      <w:start w:val="1"/>
      <w:numFmt w:val="decimal"/>
      <w:lvlText w:val="%1.%2.%3."/>
      <w:lvlJc w:val="left"/>
      <w:pPr>
        <w:ind w:left="600" w:hanging="720"/>
      </w:pPr>
    </w:lvl>
    <w:lvl w:ilvl="3">
      <w:start w:val="1"/>
      <w:numFmt w:val="decimal"/>
      <w:lvlText w:val="%1.%2.%3.%4."/>
      <w:lvlJc w:val="left"/>
      <w:pPr>
        <w:ind w:left="720" w:hanging="720"/>
      </w:pPr>
    </w:lvl>
    <w:lvl w:ilvl="4">
      <w:start w:val="1"/>
      <w:numFmt w:val="decimal"/>
      <w:lvlText w:val="%1.%2.%3.%4.%5."/>
      <w:lvlJc w:val="left"/>
      <w:pPr>
        <w:ind w:left="1200" w:hanging="1080"/>
      </w:pPr>
    </w:lvl>
    <w:lvl w:ilvl="5">
      <w:start w:val="1"/>
      <w:numFmt w:val="decimal"/>
      <w:lvlText w:val="%1.%2.%3.%4.%5.%6."/>
      <w:lvlJc w:val="left"/>
      <w:pPr>
        <w:ind w:left="1320" w:hanging="1080"/>
      </w:pPr>
    </w:lvl>
    <w:lvl w:ilvl="6">
      <w:start w:val="1"/>
      <w:numFmt w:val="decimal"/>
      <w:lvlText w:val="%1.%2.%3.%4.%5.%6.%7."/>
      <w:lvlJc w:val="left"/>
      <w:pPr>
        <w:ind w:left="1800" w:hanging="1440"/>
      </w:pPr>
    </w:lvl>
    <w:lvl w:ilvl="7">
      <w:start w:val="1"/>
      <w:numFmt w:val="decimal"/>
      <w:lvlText w:val="%1.%2.%3.%4.%5.%6.%7.%8."/>
      <w:lvlJc w:val="left"/>
      <w:pPr>
        <w:ind w:left="1920" w:hanging="1440"/>
      </w:pPr>
    </w:lvl>
    <w:lvl w:ilvl="8">
      <w:start w:val="1"/>
      <w:numFmt w:val="decimal"/>
      <w:lvlText w:val="%1.%2.%3.%4.%5.%6.%7.%8.%9."/>
      <w:lvlJc w:val="left"/>
      <w:pPr>
        <w:ind w:left="24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76"/>
    <w:rsid w:val="000938EA"/>
    <w:rsid w:val="00111273"/>
    <w:rsid w:val="00131DF5"/>
    <w:rsid w:val="001F16A2"/>
    <w:rsid w:val="004569DB"/>
    <w:rsid w:val="0056498B"/>
    <w:rsid w:val="00A6574B"/>
    <w:rsid w:val="00A7377F"/>
    <w:rsid w:val="00C61852"/>
    <w:rsid w:val="00D17976"/>
    <w:rsid w:val="00DE4647"/>
    <w:rsid w:val="00E022C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CE9DF-DF6D-4F96-B152-95641BCD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2302B"/>
    <w:pPr>
      <w:ind w:left="720"/>
      <w:contextualSpacing/>
    </w:pPr>
  </w:style>
  <w:style w:type="paragraph" w:styleId="NoSpacing">
    <w:name w:val="No Spacing"/>
    <w:uiPriority w:val="1"/>
    <w:qFormat/>
    <w:rsid w:val="007A34B7"/>
    <w:rPr>
      <w:sz w:val="22"/>
    </w:rPr>
  </w:style>
  <w:style w:type="paragraph" w:styleId="NormalWeb">
    <w:name w:val="Normal (Web)"/>
    <w:basedOn w:val="Normal"/>
    <w:uiPriority w:val="99"/>
    <w:semiHidden/>
    <w:unhideWhenUsed/>
    <w:qFormat/>
    <w:rsid w:val="0001234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Standard">
    <w:name w:val="Standard"/>
    <w:qFormat/>
    <w:rsid w:val="00073FA6"/>
    <w:rPr>
      <w:rFonts w:ascii="Times New Roman" w:eastAsia="Calibri" w:hAnsi="Times New Roman" w:cs="Times New Roman"/>
      <w:color w:val="000000"/>
      <w:kern w:val="2"/>
      <w:sz w:val="24"/>
      <w:szCs w:val="24"/>
      <w:lang w:val="en-GB" w:eastAsia="zh-CN"/>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link w:val="HeaderChar"/>
    <w:uiPriority w:val="99"/>
  </w:style>
  <w:style w:type="table" w:styleId="TableGrid">
    <w:name w:val="Table Grid"/>
    <w:basedOn w:val="TableNormal"/>
    <w:uiPriority w:val="39"/>
    <w:rsid w:val="00AB4D6E"/>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A2"/>
    <w:rPr>
      <w:rFonts w:ascii="Segoe UI" w:hAnsi="Segoe UI" w:cs="Segoe UI"/>
      <w:sz w:val="18"/>
      <w:szCs w:val="18"/>
    </w:rPr>
  </w:style>
  <w:style w:type="paragraph" w:styleId="Footer">
    <w:name w:val="footer"/>
    <w:basedOn w:val="Normal"/>
    <w:link w:val="FooterChar"/>
    <w:uiPriority w:val="99"/>
    <w:unhideWhenUsed/>
    <w:rsid w:val="001F1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6A2"/>
    <w:rPr>
      <w:sz w:val="22"/>
    </w:rPr>
  </w:style>
  <w:style w:type="character" w:customStyle="1" w:styleId="HeaderChar">
    <w:name w:val="Header Char"/>
    <w:basedOn w:val="DefaultParagraphFont"/>
    <w:link w:val="Header"/>
    <w:uiPriority w:val="99"/>
    <w:rsid w:val="001F16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AA62-CD6E-4C27-AA19-660C8CFE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Upytes direkt</dc:creator>
  <dc:description/>
  <cp:lastModifiedBy>Inesa</cp:lastModifiedBy>
  <cp:revision>4</cp:revision>
  <dcterms:created xsi:type="dcterms:W3CDTF">2020-05-08T11:16:00Z</dcterms:created>
  <dcterms:modified xsi:type="dcterms:W3CDTF">2020-05-14T06:14:00Z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