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33" w:rsidRPr="00646750" w:rsidRDefault="00C96233" w:rsidP="00C96233">
      <w:pPr>
        <w:pStyle w:val="Standard"/>
        <w:ind w:left="3888" w:firstLine="1296"/>
        <w:jc w:val="both"/>
        <w:rPr>
          <w:bCs/>
        </w:rPr>
      </w:pPr>
      <w:r>
        <w:rPr>
          <w:bCs/>
        </w:rPr>
        <w:t>PRITARTA</w:t>
      </w:r>
    </w:p>
    <w:p w:rsidR="00C96233" w:rsidRPr="00646750" w:rsidRDefault="00C96233" w:rsidP="00C96233">
      <w:pPr>
        <w:pStyle w:val="Standard"/>
        <w:ind w:left="3888" w:firstLine="1296"/>
        <w:jc w:val="both"/>
        <w:rPr>
          <w:bCs/>
        </w:rPr>
      </w:pPr>
      <w:proofErr w:type="spellStart"/>
      <w:r w:rsidRPr="00646750"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 w:rsidRPr="00646750"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 w:rsidRPr="00646750">
        <w:rPr>
          <w:bCs/>
        </w:rPr>
        <w:t>savivaldybės</w:t>
      </w:r>
      <w:proofErr w:type="spellEnd"/>
      <w:r w:rsidR="001302C9">
        <w:rPr>
          <w:bCs/>
        </w:rPr>
        <w:t xml:space="preserve"> </w:t>
      </w:r>
      <w:proofErr w:type="spellStart"/>
      <w:r w:rsidRPr="00646750">
        <w:rPr>
          <w:bCs/>
        </w:rPr>
        <w:t>tarybos</w:t>
      </w:r>
      <w:proofErr w:type="spellEnd"/>
    </w:p>
    <w:p w:rsidR="00C96233" w:rsidRPr="00102952" w:rsidRDefault="00C96233" w:rsidP="00C96233">
      <w:pPr>
        <w:jc w:val="center"/>
        <w:rPr>
          <w:sz w:val="24"/>
          <w:szCs w:val="24"/>
        </w:rPr>
      </w:pP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102952">
        <w:rPr>
          <w:bCs/>
          <w:sz w:val="24"/>
          <w:szCs w:val="24"/>
        </w:rPr>
        <w:t>20</w:t>
      </w:r>
      <w:r w:rsidR="004E14A8">
        <w:rPr>
          <w:bCs/>
          <w:sz w:val="24"/>
          <w:szCs w:val="24"/>
        </w:rPr>
        <w:t>20</w:t>
      </w:r>
      <w:r w:rsidRPr="00102952">
        <w:rPr>
          <w:bCs/>
          <w:sz w:val="24"/>
          <w:szCs w:val="24"/>
        </w:rPr>
        <w:t xml:space="preserve"> m. </w:t>
      </w:r>
      <w:r>
        <w:rPr>
          <w:bCs/>
          <w:sz w:val="24"/>
          <w:szCs w:val="24"/>
        </w:rPr>
        <w:t>gegužės 30</w:t>
      </w:r>
      <w:r w:rsidRPr="00102952">
        <w:rPr>
          <w:bCs/>
          <w:sz w:val="24"/>
          <w:szCs w:val="24"/>
        </w:rPr>
        <w:t xml:space="preserve"> d.</w:t>
      </w:r>
      <w:r w:rsidRPr="00102952">
        <w:rPr>
          <w:sz w:val="24"/>
          <w:szCs w:val="24"/>
          <w:lang w:val="pt-PT"/>
        </w:rPr>
        <w:t xml:space="preserve"> sprendimu Nr. </w:t>
      </w:r>
    </w:p>
    <w:p w:rsidR="002837D1" w:rsidRPr="00C96233" w:rsidRDefault="002837D1" w:rsidP="000B10EB">
      <w:pPr>
        <w:pStyle w:val="Standard"/>
        <w:jc w:val="both"/>
        <w:rPr>
          <w:bCs/>
          <w:lang w:val="de-DE"/>
        </w:rPr>
      </w:pPr>
    </w:p>
    <w:p w:rsidR="00C7470C" w:rsidRPr="00AA2A30" w:rsidRDefault="00C7470C" w:rsidP="00C7470C">
      <w:pPr>
        <w:ind w:left="360"/>
        <w:jc w:val="center"/>
        <w:rPr>
          <w:b/>
          <w:sz w:val="24"/>
          <w:szCs w:val="24"/>
        </w:rPr>
      </w:pPr>
      <w:r w:rsidRPr="00AA2A30">
        <w:rPr>
          <w:b/>
          <w:sz w:val="24"/>
          <w:szCs w:val="24"/>
        </w:rPr>
        <w:t xml:space="preserve">PANEVĖŽIO RAJONO </w:t>
      </w:r>
      <w:r w:rsidR="0000331C">
        <w:rPr>
          <w:b/>
          <w:sz w:val="24"/>
          <w:szCs w:val="24"/>
        </w:rPr>
        <w:t xml:space="preserve">LIŪDYNĖS </w:t>
      </w:r>
      <w:r w:rsidRPr="00AA2A30">
        <w:rPr>
          <w:b/>
          <w:sz w:val="24"/>
          <w:szCs w:val="24"/>
        </w:rPr>
        <w:t>KULTŪROS CENTRO</w:t>
      </w:r>
      <w:r w:rsidR="0000331C">
        <w:rPr>
          <w:b/>
          <w:sz w:val="24"/>
          <w:szCs w:val="24"/>
        </w:rPr>
        <w:t xml:space="preserve"> 201</w:t>
      </w:r>
      <w:r w:rsidR="004E14A8">
        <w:rPr>
          <w:b/>
          <w:sz w:val="24"/>
          <w:szCs w:val="24"/>
        </w:rPr>
        <w:t>9</w:t>
      </w:r>
      <w:r w:rsidR="0000331C">
        <w:rPr>
          <w:b/>
          <w:sz w:val="24"/>
          <w:szCs w:val="24"/>
        </w:rPr>
        <w:t xml:space="preserve"> </w:t>
      </w:r>
      <w:r w:rsidRPr="00AA2A30">
        <w:rPr>
          <w:b/>
          <w:sz w:val="24"/>
          <w:szCs w:val="24"/>
        </w:rPr>
        <w:t>METŲ VEIKLOS ATASKAITA</w:t>
      </w:r>
    </w:p>
    <w:p w:rsidR="00C7470C" w:rsidRPr="003B2A28" w:rsidRDefault="00C7470C" w:rsidP="00C7470C">
      <w:pPr>
        <w:ind w:left="360"/>
        <w:jc w:val="center"/>
        <w:rPr>
          <w:sz w:val="24"/>
          <w:szCs w:val="24"/>
        </w:rPr>
      </w:pPr>
    </w:p>
    <w:p w:rsidR="003B2A28" w:rsidRPr="003B2A28" w:rsidRDefault="003B2A28" w:rsidP="003B2A28">
      <w:pPr>
        <w:ind w:firstLine="626"/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t xml:space="preserve">I. PANEVĖŽIO RAJONO SAVIVALDYBĖS AKTYVAUS BENDRUOMENĖS GYVENIMO SKATINIMO PROGRAMOS (Nr. 3) 01 UŽDAVINYS – </w:t>
      </w:r>
      <w:r w:rsidRPr="003B2A28">
        <w:rPr>
          <w:b/>
          <w:caps/>
          <w:sz w:val="24"/>
          <w:szCs w:val="24"/>
        </w:rPr>
        <w:t>Sudaryti sąlygas gauti aukštos kokybės kultūrines paslaugas</w:t>
      </w:r>
    </w:p>
    <w:p w:rsidR="003B2A28" w:rsidRPr="00E33B93" w:rsidRDefault="003B2A28" w:rsidP="003B2A28">
      <w:pPr>
        <w:pStyle w:val="Header"/>
        <w:jc w:val="both"/>
        <w:rPr>
          <w:sz w:val="24"/>
          <w:szCs w:val="24"/>
        </w:rPr>
      </w:pPr>
    </w:p>
    <w:p w:rsidR="00C27C1D" w:rsidRPr="003B2A28" w:rsidRDefault="003B2A28" w:rsidP="0087198D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 xml:space="preserve">1.1. Aprašymas (kultūros centro tikslai, uždaviniai ir funkcijos (pagal nuostatus ir savivaldybės strateginį veiklos planą). </w:t>
      </w:r>
      <w:r w:rsidR="00C27C1D">
        <w:rPr>
          <w:sz w:val="24"/>
          <w:szCs w:val="24"/>
        </w:rPr>
        <w:t>Didžiausi 201</w:t>
      </w:r>
      <w:r w:rsidR="004E14A8">
        <w:rPr>
          <w:sz w:val="24"/>
          <w:szCs w:val="24"/>
        </w:rPr>
        <w:t>9</w:t>
      </w:r>
      <w:r w:rsidR="00C27C1D">
        <w:rPr>
          <w:sz w:val="24"/>
          <w:szCs w:val="24"/>
        </w:rPr>
        <w:t xml:space="preserve"> </w:t>
      </w:r>
      <w:r w:rsidRPr="003B2A28">
        <w:rPr>
          <w:sz w:val="24"/>
          <w:szCs w:val="24"/>
        </w:rPr>
        <w:t>m. pasiekimai ir įgyvendinti projektai.</w:t>
      </w:r>
    </w:p>
    <w:p w:rsidR="004E14A8" w:rsidRDefault="004E14A8" w:rsidP="004E14A8">
      <w:pPr>
        <w:ind w:firstLine="626"/>
        <w:jc w:val="both"/>
        <w:rPr>
          <w:sz w:val="24"/>
          <w:szCs w:val="24"/>
        </w:rPr>
      </w:pPr>
      <w:r w:rsidRPr="003802BF">
        <w:rPr>
          <w:sz w:val="24"/>
          <w:szCs w:val="24"/>
        </w:rPr>
        <w:t>L</w:t>
      </w:r>
      <w:r w:rsidR="00BB7D09">
        <w:rPr>
          <w:sz w:val="24"/>
          <w:szCs w:val="24"/>
        </w:rPr>
        <w:t>iūdynės kultūros centro misija –</w:t>
      </w:r>
      <w:r w:rsidRPr="003802BF">
        <w:rPr>
          <w:sz w:val="24"/>
          <w:szCs w:val="24"/>
        </w:rPr>
        <w:t xml:space="preserve"> sudaryti sąlygas vietos gyventojų meninei saviraiškai, visapusiškai tenkinti ir ugdyti visų amžiaus ir socialinių grupių kultūrinius poreikius, puoselėjant krašto tradicijas, etnokultūrą bei organizuojant profesionalaus meno sklaidą. Įstaigos vizija – patraukli kultūrinė erdvė</w:t>
      </w:r>
      <w:r w:rsidR="00BB7D09">
        <w:rPr>
          <w:sz w:val="24"/>
          <w:szCs w:val="24"/>
        </w:rPr>
        <w:t>,</w:t>
      </w:r>
      <w:r w:rsidRPr="003802BF">
        <w:rPr>
          <w:sz w:val="24"/>
          <w:szCs w:val="24"/>
        </w:rPr>
        <w:t xml:space="preserve"> siūlanti aukštą veiklos ir paslaugų kokybę, įvairias pasirinkimo galimybes saviraiškai ir kultūriniams poreikiams. Prioritetiniai tikslai: ieškoti naujų renginių formų, kelti kolektyvų meninį lygį, aktyviai rengti projektus, edukacines programas, parodas; renginius bei mėgėjų meno kolektyvų veiklą orientuoti į bendruomenės poreikių tenkinimą, saviraiškos skatinimą; rengti ir vykdyti neformaliojo </w:t>
      </w:r>
      <w:r w:rsidR="00BB7D09">
        <w:rPr>
          <w:sz w:val="24"/>
          <w:szCs w:val="24"/>
        </w:rPr>
        <w:t xml:space="preserve">vaikų </w:t>
      </w:r>
      <w:r w:rsidRPr="003802BF">
        <w:rPr>
          <w:sz w:val="24"/>
          <w:szCs w:val="24"/>
        </w:rPr>
        <w:t>švietimo, vaikų socializacijos programas; užtikrinti tradicinėmis tapusių švenčių, festivalių „Velžio klumpė“, „Jaunystės šėlsmas“, „Cibulinė“ tęstinumą. Liūdynės kultūros centro meno mėgėjų kolektyvai dalyvauja rajono, regiono, šalies konkursuose, Dainų šventėse; įstaiga bendrauja ir bendradarbiauja su kitomis kultūros įstaigomis ir organizacijomis; organizuojamos valstybinės, kalendorinės, tradicinės kaimo šventės, ieškoma naujų renginių formų. Aktyviai bendradarbiaujama su bendruomenėmis, kuriami bendri projektai. Nuolat siekiama modernizuoti materialinius išteklius ir infrastruktūrą.</w:t>
      </w:r>
    </w:p>
    <w:p w:rsidR="004E14A8" w:rsidRDefault="004E14A8" w:rsidP="004E14A8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>2019 m. kultūros centras</w:t>
      </w:r>
      <w:r w:rsidRPr="009F37D7">
        <w:rPr>
          <w:sz w:val="24"/>
          <w:szCs w:val="24"/>
        </w:rPr>
        <w:t xml:space="preserve"> sėkmingai</w:t>
      </w:r>
      <w:r w:rsidR="00BB7D09">
        <w:rPr>
          <w:sz w:val="24"/>
          <w:szCs w:val="24"/>
        </w:rPr>
        <w:t xml:space="preserve"> sudarė</w:t>
      </w:r>
      <w:r>
        <w:rPr>
          <w:sz w:val="24"/>
          <w:szCs w:val="24"/>
        </w:rPr>
        <w:t xml:space="preserve"> sąlygas </w:t>
      </w:r>
      <w:r w:rsidRPr="009F37D7">
        <w:rPr>
          <w:sz w:val="24"/>
          <w:szCs w:val="24"/>
        </w:rPr>
        <w:t>gyventojų meninei saviraiškai</w:t>
      </w:r>
      <w:r>
        <w:t xml:space="preserve">, </w:t>
      </w:r>
      <w:r>
        <w:rPr>
          <w:sz w:val="24"/>
          <w:szCs w:val="24"/>
        </w:rPr>
        <w:t>puoselėdamas</w:t>
      </w:r>
      <w:r w:rsidRPr="009F37D7">
        <w:rPr>
          <w:sz w:val="24"/>
          <w:szCs w:val="24"/>
        </w:rPr>
        <w:t xml:space="preserve"> krašto tradicijas, etnokultūrą</w:t>
      </w:r>
      <w:r>
        <w:rPr>
          <w:sz w:val="24"/>
          <w:szCs w:val="24"/>
        </w:rPr>
        <w:t xml:space="preserve">, organizuodamas tradicinius renginius. </w:t>
      </w:r>
      <w:r w:rsidR="00082BE8" w:rsidRPr="00082BE8">
        <w:rPr>
          <w:sz w:val="24"/>
          <w:szCs w:val="24"/>
        </w:rPr>
        <w:t>Tr</w:t>
      </w:r>
      <w:r w:rsidR="00BB7D09">
        <w:rPr>
          <w:sz w:val="24"/>
          <w:szCs w:val="24"/>
        </w:rPr>
        <w:t>adiciniame renginyje „Cibulinė –</w:t>
      </w:r>
      <w:r w:rsidR="00082BE8" w:rsidRPr="00082BE8">
        <w:rPr>
          <w:sz w:val="24"/>
          <w:szCs w:val="24"/>
        </w:rPr>
        <w:t xml:space="preserve"> lauko sezono atidarym</w:t>
      </w:r>
      <w:r w:rsidR="00BB7D09">
        <w:rPr>
          <w:sz w:val="24"/>
          <w:szCs w:val="24"/>
        </w:rPr>
        <w:t xml:space="preserve">as“ paminėti Žemaitijos metai. </w:t>
      </w:r>
      <w:r w:rsidR="00082BE8" w:rsidRPr="00082BE8">
        <w:rPr>
          <w:sz w:val="24"/>
          <w:szCs w:val="24"/>
        </w:rPr>
        <w:t>Renginio vedėja</w:t>
      </w:r>
      <w:r w:rsidR="00BB7D09">
        <w:rPr>
          <w:sz w:val="24"/>
          <w:szCs w:val="24"/>
        </w:rPr>
        <w:t>,</w:t>
      </w:r>
      <w:r w:rsidR="00082BE8" w:rsidRPr="00082BE8">
        <w:rPr>
          <w:sz w:val="24"/>
          <w:szCs w:val="24"/>
        </w:rPr>
        <w:t xml:space="preserve"> kilusi iš Žemaitijos</w:t>
      </w:r>
      <w:r w:rsidR="00BB7D09">
        <w:rPr>
          <w:sz w:val="24"/>
          <w:szCs w:val="24"/>
        </w:rPr>
        <w:t>,</w:t>
      </w:r>
      <w:r w:rsidR="00082BE8" w:rsidRPr="00082BE8">
        <w:rPr>
          <w:sz w:val="24"/>
          <w:szCs w:val="24"/>
        </w:rPr>
        <w:t xml:space="preserve"> buvo pasipuošusi to krašto tautiniu kostiumu bei kalbėjo žemaičių tarme. </w:t>
      </w:r>
      <w:r w:rsidR="00082BE8">
        <w:rPr>
          <w:sz w:val="24"/>
          <w:szCs w:val="24"/>
        </w:rPr>
        <w:t>2019 m. t</w:t>
      </w:r>
      <w:r>
        <w:rPr>
          <w:sz w:val="24"/>
          <w:szCs w:val="24"/>
        </w:rPr>
        <w:t xml:space="preserve">aip pat buvo </w:t>
      </w:r>
      <w:r w:rsidRPr="009F37D7">
        <w:rPr>
          <w:sz w:val="24"/>
          <w:szCs w:val="24"/>
        </w:rPr>
        <w:t>rašomi</w:t>
      </w:r>
      <w:r>
        <w:rPr>
          <w:sz w:val="24"/>
          <w:szCs w:val="24"/>
        </w:rPr>
        <w:t xml:space="preserve"> ir įgyvendinami</w:t>
      </w:r>
      <w:r w:rsidRPr="009F37D7">
        <w:rPr>
          <w:sz w:val="24"/>
          <w:szCs w:val="24"/>
        </w:rPr>
        <w:t xml:space="preserve"> projektai, edukacinės programos</w:t>
      </w:r>
      <w:r w:rsidR="00BB7D09">
        <w:rPr>
          <w:sz w:val="24"/>
          <w:szCs w:val="24"/>
        </w:rPr>
        <w:t>,</w:t>
      </w:r>
      <w:r w:rsidRPr="009F37D7">
        <w:rPr>
          <w:sz w:val="24"/>
          <w:szCs w:val="24"/>
        </w:rPr>
        <w:t xml:space="preserve"> atliepiančios vietos bendruomenių poreikius, ieškoma naujų renginių formų ir idėjų</w:t>
      </w:r>
      <w:r>
        <w:rPr>
          <w:sz w:val="24"/>
          <w:szCs w:val="24"/>
        </w:rPr>
        <w:t>. Sėkmingai vykdomas</w:t>
      </w:r>
      <w:r w:rsidRPr="009F37D7">
        <w:rPr>
          <w:sz w:val="24"/>
          <w:szCs w:val="24"/>
        </w:rPr>
        <w:t xml:space="preserve"> viešosios inf</w:t>
      </w:r>
      <w:r w:rsidR="00BB7D09">
        <w:rPr>
          <w:sz w:val="24"/>
          <w:szCs w:val="24"/>
        </w:rPr>
        <w:t>rastruktūros plėtros projektas „</w:t>
      </w:r>
      <w:r w:rsidRPr="009F37D7">
        <w:rPr>
          <w:sz w:val="24"/>
          <w:szCs w:val="24"/>
        </w:rPr>
        <w:t>Dembavos padalinio kapitalinis</w:t>
      </w:r>
      <w:r w:rsidR="00BB7D09">
        <w:rPr>
          <w:sz w:val="24"/>
          <w:szCs w:val="24"/>
        </w:rPr>
        <w:t xml:space="preserve"> remontas ir priestato statyba“</w:t>
      </w:r>
      <w:r w:rsidR="009E49D4">
        <w:rPr>
          <w:sz w:val="24"/>
          <w:szCs w:val="24"/>
        </w:rPr>
        <w:t>, vykdytos dvi NVŠ programos, pa</w:t>
      </w:r>
      <w:r w:rsidR="00BB7D09">
        <w:rPr>
          <w:sz w:val="24"/>
          <w:szCs w:val="24"/>
        </w:rPr>
        <w:t>rengti, laimėti ir įgyvendinti V</w:t>
      </w:r>
      <w:r w:rsidR="009E49D4">
        <w:rPr>
          <w:sz w:val="24"/>
          <w:szCs w:val="24"/>
        </w:rPr>
        <w:t>aikų socializacijos</w:t>
      </w:r>
      <w:r w:rsidR="00BB7D09">
        <w:rPr>
          <w:sz w:val="24"/>
          <w:szCs w:val="24"/>
        </w:rPr>
        <w:t xml:space="preserve"> programos ir Sveikatos programos</w:t>
      </w:r>
      <w:r w:rsidR="009E49D4">
        <w:rPr>
          <w:sz w:val="24"/>
          <w:szCs w:val="24"/>
        </w:rPr>
        <w:t xml:space="preserve"> projektai. Du tautinių šokių kolek</w:t>
      </w:r>
      <w:r w:rsidR="00BB7D09">
        <w:rPr>
          <w:sz w:val="24"/>
          <w:szCs w:val="24"/>
        </w:rPr>
        <w:t>tyvai atstovavo Panevėžio rajonui</w:t>
      </w:r>
      <w:r w:rsidR="009E49D4">
        <w:rPr>
          <w:sz w:val="24"/>
          <w:szCs w:val="24"/>
        </w:rPr>
        <w:t xml:space="preserve"> tarptautiniuose festiva</w:t>
      </w:r>
      <w:r w:rsidR="00082BE8">
        <w:rPr>
          <w:sz w:val="24"/>
          <w:szCs w:val="24"/>
        </w:rPr>
        <w:t>liuose Lenkij</w:t>
      </w:r>
      <w:r w:rsidR="00BB7D09">
        <w:rPr>
          <w:sz w:val="24"/>
          <w:szCs w:val="24"/>
        </w:rPr>
        <w:t>oje ir Kroatijoje bei paminėjo V</w:t>
      </w:r>
      <w:r w:rsidR="00082BE8">
        <w:rPr>
          <w:sz w:val="24"/>
          <w:szCs w:val="24"/>
        </w:rPr>
        <w:t xml:space="preserve">ietovardžių metus pristatydami savo vietoves užsienio valstybėse. </w:t>
      </w:r>
      <w:r w:rsidR="009E49D4">
        <w:rPr>
          <w:sz w:val="24"/>
          <w:szCs w:val="24"/>
        </w:rPr>
        <w:t xml:space="preserve"> </w:t>
      </w:r>
    </w:p>
    <w:p w:rsidR="004E14A8" w:rsidRDefault="004E14A8" w:rsidP="004E14A8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1.2. Rezultatai (kultūros centro problemos</w:t>
      </w:r>
      <w:r>
        <w:rPr>
          <w:sz w:val="24"/>
          <w:szCs w:val="24"/>
        </w:rPr>
        <w:t xml:space="preserve"> 2019</w:t>
      </w:r>
      <w:r w:rsidRPr="003B2A28">
        <w:rPr>
          <w:sz w:val="24"/>
          <w:szCs w:val="24"/>
        </w:rPr>
        <w:t xml:space="preserve"> m., patirtos finansinės ir kt. nesėkmės).</w:t>
      </w:r>
    </w:p>
    <w:p w:rsidR="001302C9" w:rsidRPr="003B2A28" w:rsidRDefault="00BB7D09" w:rsidP="00765E0D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>Didesnių nesėkmių</w:t>
      </w:r>
      <w:r w:rsidR="004E14A8" w:rsidRPr="00560907">
        <w:rPr>
          <w:sz w:val="24"/>
          <w:szCs w:val="24"/>
        </w:rPr>
        <w:t xml:space="preserve"> įstaiga nepatyr</w:t>
      </w:r>
      <w:r>
        <w:rPr>
          <w:sz w:val="24"/>
          <w:szCs w:val="24"/>
        </w:rPr>
        <w:t>ė, problemos ilgalaikės, tokios</w:t>
      </w:r>
      <w:r w:rsidR="004E14A8" w:rsidRPr="00560907">
        <w:rPr>
          <w:sz w:val="24"/>
          <w:szCs w:val="24"/>
        </w:rPr>
        <w:t xml:space="preserve"> kaip didelis </w:t>
      </w:r>
      <w:r>
        <w:rPr>
          <w:sz w:val="24"/>
          <w:szCs w:val="24"/>
        </w:rPr>
        <w:t>administracinis ir ūkinio aptarnavimo</w:t>
      </w:r>
      <w:r w:rsidR="004E14A8" w:rsidRPr="00560907">
        <w:rPr>
          <w:sz w:val="24"/>
          <w:szCs w:val="24"/>
        </w:rPr>
        <w:t xml:space="preserve"> krūvis, neturint darbuotojų šioms sritims. Taip pat darbuotojų kintamosios dalies dydis neproporcingas metinėms užduotims ir nemo</w:t>
      </w:r>
      <w:r>
        <w:rPr>
          <w:sz w:val="24"/>
          <w:szCs w:val="24"/>
        </w:rPr>
        <w:t>tyvuoja</w:t>
      </w:r>
      <w:r w:rsidR="004E14A8" w:rsidRPr="00560907">
        <w:rPr>
          <w:sz w:val="24"/>
          <w:szCs w:val="24"/>
        </w:rPr>
        <w:t xml:space="preserve"> kitais metais išsikelti rezultatyvių užduočių.</w:t>
      </w:r>
    </w:p>
    <w:p w:rsidR="00F50CD1" w:rsidRPr="00E33B93" w:rsidRDefault="003B2A28" w:rsidP="00E33B93">
      <w:pPr>
        <w:ind w:left="2160"/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II. KULTŪROS CENTRO STRUKTŪRA</w:t>
      </w:r>
    </w:p>
    <w:p w:rsidR="00F50CD1" w:rsidRPr="00F50CD1" w:rsidRDefault="00F50CD1" w:rsidP="00F50CD1">
      <w:pPr>
        <w:ind w:left="851"/>
        <w:rPr>
          <w:sz w:val="24"/>
          <w:szCs w:val="24"/>
        </w:rPr>
      </w:pPr>
      <w:r w:rsidRPr="00F50CD1">
        <w:rPr>
          <w:sz w:val="24"/>
          <w:szCs w:val="24"/>
        </w:rPr>
        <w:t>2.1. Darbuotojai:</w:t>
      </w:r>
    </w:p>
    <w:tbl>
      <w:tblPr>
        <w:tblpPr w:leftFromText="180" w:rightFromText="180" w:vertAnchor="text" w:horzAnchor="margin" w:tblpX="108" w:tblpY="548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739"/>
        <w:gridCol w:w="528"/>
        <w:gridCol w:w="739"/>
        <w:gridCol w:w="566"/>
        <w:gridCol w:w="743"/>
        <w:gridCol w:w="607"/>
        <w:gridCol w:w="795"/>
        <w:gridCol w:w="577"/>
        <w:gridCol w:w="743"/>
        <w:gridCol w:w="529"/>
        <w:gridCol w:w="739"/>
        <w:gridCol w:w="528"/>
        <w:gridCol w:w="683"/>
      </w:tblGrid>
      <w:tr w:rsidR="003B2A28" w:rsidRPr="003B2A28" w:rsidTr="006E5078">
        <w:trPr>
          <w:trHeight w:val="381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Darbuotojai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Pareigybės</w:t>
            </w:r>
          </w:p>
        </w:tc>
        <w:tc>
          <w:tcPr>
            <w:tcW w:w="30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Kultūros ir meno darbuotojų išsilavinimas</w:t>
            </w:r>
          </w:p>
          <w:p w:rsidR="003B2A28" w:rsidRPr="003B2A28" w:rsidRDefault="003B2A28">
            <w:pPr>
              <w:jc w:val="center"/>
            </w:pPr>
            <w:r w:rsidRPr="003B2A28">
              <w:t>(pagal turimus diplomus)</w:t>
            </w:r>
          </w:p>
        </w:tc>
      </w:tr>
      <w:tr w:rsidR="006E5078" w:rsidRPr="003B2A28" w:rsidTr="006E5078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/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Aukštasis universitetinis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Aukštasis neuniversiteti-nis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Aukštesnysis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Specialusis vidurinis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Vidu-rinis</w:t>
            </w:r>
          </w:p>
        </w:tc>
      </w:tr>
      <w:tr w:rsidR="006E5078" w:rsidRPr="003B2A28" w:rsidTr="006E507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/>
        </w:tc>
      </w:tr>
      <w:tr w:rsidR="006E5078" w:rsidRPr="003B2A28" w:rsidTr="006E5078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13</w:t>
            </w:r>
          </w:p>
        </w:tc>
      </w:tr>
      <w:tr w:rsidR="006E5078" w:rsidRPr="003B2A28" w:rsidTr="006E5078">
        <w:trPr>
          <w:trHeight w:val="6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Pr="00E33B93" w:rsidRDefault="006E5078">
            <w:r w:rsidRPr="00E33B93">
              <w:t>Liūdynės</w:t>
            </w:r>
          </w:p>
          <w:p w:rsidR="006E5078" w:rsidRPr="00E33B93" w:rsidRDefault="006E5078">
            <w:r w:rsidRPr="00E33B93">
              <w:t>kultūros centras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3,25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E5078" w:rsidRPr="003B2A28" w:rsidTr="006E5078">
        <w:trPr>
          <w:trHeight w:val="4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Pr="00E33B93" w:rsidRDefault="006E5078" w:rsidP="006E5078">
            <w:r w:rsidRPr="00E33B93">
              <w:t>Liūdynės</w:t>
            </w:r>
          </w:p>
          <w:p w:rsidR="006E5078" w:rsidRPr="00E33B93" w:rsidRDefault="006E5078" w:rsidP="006E5078">
            <w:r w:rsidRPr="00E33B93">
              <w:t>kultūros centro</w:t>
            </w:r>
          </w:p>
          <w:p w:rsidR="006E5078" w:rsidRPr="00E33B93" w:rsidRDefault="006E5078" w:rsidP="006E5078">
            <w:r w:rsidRPr="00E33B93">
              <w:t>Dembavos padalinys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 w:rsidP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 w:rsidP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E5078" w:rsidRPr="00E33B93">
              <w:rPr>
                <w:color w:val="000000"/>
              </w:rPr>
              <w:t>,25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0,25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E5078" w:rsidRPr="003B2A28" w:rsidTr="006E5078">
        <w:trPr>
          <w:trHeight w:val="4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Pr="00E33B93" w:rsidRDefault="006E5078" w:rsidP="006E5078">
            <w:r w:rsidRPr="00E33B93">
              <w:t>Liūdynės</w:t>
            </w:r>
          </w:p>
          <w:p w:rsidR="006E5078" w:rsidRPr="00E33B93" w:rsidRDefault="006E5078" w:rsidP="006E5078">
            <w:r w:rsidRPr="00E33B93">
              <w:t>kultūros centro</w:t>
            </w:r>
          </w:p>
          <w:p w:rsidR="006E5078" w:rsidRPr="00E33B93" w:rsidRDefault="006E5078" w:rsidP="006E5078">
            <w:r w:rsidRPr="00E33B93">
              <w:t>Velžio padalinys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0,75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E5078" w:rsidRPr="003B2A28" w:rsidTr="006E5078">
        <w:trPr>
          <w:trHeight w:val="39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Pr="00E33B93" w:rsidRDefault="006E5078">
            <w:r w:rsidRPr="00E33B93">
              <w:t>Iš viso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4E14A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</w:t>
            </w:r>
            <w:r w:rsidR="004E14A8">
              <w:rPr>
                <w:color w:val="000000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 w:rsidP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302C9" w:rsidRPr="003B2A28" w:rsidRDefault="003B2A28" w:rsidP="00765E0D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>2.2. Kvalifikacija:</w:t>
      </w:r>
      <w:bookmarkStart w:id="0" w:name="_GoBack"/>
      <w:bookmarkEnd w:id="0"/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3B2A28" w:rsidTr="006E5078">
        <w:trPr>
          <w:trHeight w:val="4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Kėlė kvalifikaciją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ataskaitiniais metais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pareigybių 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Kultūros ir meno specialistų 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poreikis</w:t>
            </w:r>
          </w:p>
        </w:tc>
      </w:tr>
      <w:tr w:rsidR="003B2A28" w:rsidTr="006E5078">
        <w:trPr>
          <w:trHeight w:val="4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nesuteikiant klasės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6E5078" w:rsidTr="00556B17">
        <w:trPr>
          <w:trHeight w:val="2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Default="006E5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Liūdynės kultūros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4E1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E5078" w:rsidTr="00BD5736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Default="006E5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Liūdynės kultūros centro Dembavos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4E14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E5078" w:rsidTr="00BD5736">
        <w:trPr>
          <w:trHeight w:val="4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Default="006E5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Liūdynės kultūros centro Velžio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E5078" w:rsidTr="00556B17">
        <w:trPr>
          <w:trHeight w:val="2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Default="006E5078">
            <w:r>
              <w:t>Iš viso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4E1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4E14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1302C9" w:rsidRPr="00BB7D09" w:rsidRDefault="001302C9" w:rsidP="004C4D1E">
      <w:pPr>
        <w:jc w:val="center"/>
        <w:rPr>
          <w:sz w:val="24"/>
          <w:szCs w:val="24"/>
        </w:rPr>
      </w:pPr>
    </w:p>
    <w:p w:rsidR="003B2A28" w:rsidRPr="00E33B93" w:rsidRDefault="003B2A28" w:rsidP="004C4D1E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III. VEIKLA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Skaičius / priedas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žiūrovų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E14A8" w:rsidP="004E14A8">
            <w:r>
              <w:t>27 559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Parduotų bilietų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E14A8">
            <w:r>
              <w:t>3</w:t>
            </w:r>
            <w:r w:rsidR="00F50CD1">
              <w:t>0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dalyvių, užimtų kultūros įstaigos veikloje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B1CA5" w:rsidP="004E14A8">
            <w:r>
              <w:t>2</w:t>
            </w:r>
            <w:r w:rsidR="00B975AD">
              <w:t>15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vietos gyventojų, gyvenančių ar dirbančių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2324E4" w:rsidP="004E14A8">
            <w:r>
              <w:t>2</w:t>
            </w:r>
            <w:r w:rsidR="004E14A8">
              <w:t>0</w:t>
            </w:r>
            <w:r>
              <w:t>0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kultūros centro veikloje dalyvaujančių savanorių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2324E4">
            <w:r>
              <w:t>15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Pateiktų projektų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BB7D09">
            <w:r>
              <w:t>10 / p</w:t>
            </w:r>
            <w:r w:rsidR="003B2A28">
              <w:t>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Naujų parengtų programų (koncertinių, edukacinių) ir kitų naujų veiklų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BB7D09" w:rsidP="00C67DB8">
            <w:r>
              <w:t>97 / p</w:t>
            </w:r>
            <w:r w:rsidR="003B2A28">
              <w:t>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6.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Laimėjimai konkursuose: pagrindinis prizas, I, II, III vietos (rajono, regiono, šalies bei tarptautiniuose), kultūros srities nominacijų laimėjimai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BB7D09">
            <w:r>
              <w:t>11/ p</w:t>
            </w:r>
            <w:r w:rsidR="003B2A28">
              <w:t>riedas</w:t>
            </w:r>
            <w:r w:rsidR="00F50CD1">
              <w:t xml:space="preserve"> </w:t>
            </w:r>
          </w:p>
        </w:tc>
      </w:tr>
    </w:tbl>
    <w:p w:rsidR="001302C9" w:rsidRPr="00BB7D09" w:rsidRDefault="001302C9" w:rsidP="00BB7D09">
      <w:pPr>
        <w:tabs>
          <w:tab w:val="left" w:pos="567"/>
        </w:tabs>
        <w:rPr>
          <w:sz w:val="24"/>
          <w:szCs w:val="24"/>
        </w:rPr>
      </w:pPr>
    </w:p>
    <w:p w:rsidR="001302C9" w:rsidRPr="00BB7D09" w:rsidRDefault="003B2A28" w:rsidP="00BB7D09">
      <w:pPr>
        <w:tabs>
          <w:tab w:val="left" w:pos="567"/>
        </w:tabs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IV. RENGINIAI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532"/>
        <w:gridCol w:w="1271"/>
      </w:tblGrid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Renginio 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Renginių skaičius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Renginiai, iš viso (1 + 2)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1F7408" w:rsidP="00C67DB8">
            <w:r>
              <w:t>1</w:t>
            </w:r>
            <w:r w:rsidR="00C67DB8">
              <w:t>37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Renginiai vietoje,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75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 w:rsidP="003B2A28">
            <w:pPr>
              <w:numPr>
                <w:ilvl w:val="1"/>
                <w:numId w:val="2"/>
              </w:numPr>
              <w:suppressAutoHyphens w:val="0"/>
            </w:pP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 lauke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12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 uždarose patalpose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63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Renginiai išvykose,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62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Panevėžio rajono savivaldybėje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26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lastRenderedPageBreak/>
              <w:t>2.2.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šalyje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34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tarptautiniuose renginiuose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2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 renginiai (visi)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47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Dalyvavimas konkursuose, 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12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Panevėžio rajono savivaldybės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šalies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tarptautiniuose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Parodos, iš viso (profesionaliojo meno, tautodailės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28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vizualiojo meno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17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Meno profesionalų sklaidos renginiai, iš viso (išskyrus parodas)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akademinio žanro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B1CA5">
            <w:r>
              <w:t>0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(džiazo, lengvosios muzikos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Kiti renginiai, iš viso (edukacijos, bendri įvairių žanrų </w:t>
            </w:r>
            <w:r w:rsidRPr="00494573">
              <w:t>kolektyvų projektai)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0130A" w:rsidP="00C67DB8">
            <w:r>
              <w:t>2</w:t>
            </w:r>
            <w:r w:rsidR="00C67DB8"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edukaciniai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B1CA5" w:rsidP="00C67DB8">
            <w:r>
              <w:t>2</w:t>
            </w:r>
            <w:r w:rsidR="00C67DB8"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494573" w:rsidRDefault="003B2A28">
            <w:r w:rsidRPr="00494573">
              <w:t>tarpsritiniai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0464EA">
            <w:r>
              <w:t>0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kvalifikacijos kėlimo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B1CA5">
            <w:r>
              <w:t>0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8.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laisvalaikio renginiai (šokių vakarai, vakaronės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0130A">
            <w:r>
              <w:t>3</w:t>
            </w:r>
          </w:p>
        </w:tc>
      </w:tr>
    </w:tbl>
    <w:p w:rsidR="003B2A28" w:rsidRPr="00E33B93" w:rsidRDefault="003B2A28" w:rsidP="003B2A28">
      <w:pPr>
        <w:jc w:val="both"/>
        <w:rPr>
          <w:sz w:val="24"/>
          <w:szCs w:val="24"/>
        </w:rPr>
      </w:pPr>
    </w:p>
    <w:p w:rsidR="003B2A28" w:rsidRPr="00E33B93" w:rsidRDefault="003B2A28" w:rsidP="00E33B93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V. MENO KOLEKTYVAI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354"/>
        <w:gridCol w:w="1272"/>
      </w:tblGrid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Kolektyvo tipas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Kolektyvų skaičius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kolektyvų (1 + 2 )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D32444" w:rsidP="00C67DB8">
            <w:r>
              <w:t>1</w:t>
            </w:r>
            <w:r w:rsidR="00C67DB8">
              <w:t>4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Kolektyvai pagal Lietuvos nacionalinio kultūros centro parengtą ir patvirtintą meno mėgėjų kolektyvų klasifikaciją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0464EA" w:rsidP="00C67DB8">
            <w:r>
              <w:t>1</w:t>
            </w:r>
            <w:r w:rsidR="00C67DB8">
              <w:t>2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2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2324E4">
            <w:r>
              <w:t>3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2324E4">
            <w:r>
              <w:t>6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0464EA">
            <w:r>
              <w:t>0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Studijos, būreliai, klubai ir kiti kolektyvai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D32444">
            <w:r>
              <w:t>2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Iš viso Dainų švenčių tradicijos tęstinumo programoje dalyvaujančių kolektyvų skaičius (dalyvavimas dainų švenčių atrankose, šventėse – </w:t>
            </w:r>
            <w:r>
              <w:br/>
              <w:t>5 paskutinių metų laikotarpis)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7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1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0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0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0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3.6.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amatai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0</w:t>
            </w:r>
          </w:p>
        </w:tc>
      </w:tr>
    </w:tbl>
    <w:p w:rsidR="001302C9" w:rsidRPr="00BB7D09" w:rsidRDefault="001302C9" w:rsidP="004C4D1E">
      <w:pPr>
        <w:jc w:val="center"/>
        <w:rPr>
          <w:sz w:val="24"/>
          <w:szCs w:val="24"/>
        </w:rPr>
      </w:pPr>
    </w:p>
    <w:p w:rsidR="003B2A28" w:rsidRPr="00E33B93" w:rsidRDefault="003B2A28" w:rsidP="004C4D1E">
      <w:pPr>
        <w:jc w:val="center"/>
        <w:rPr>
          <w:b/>
          <w:sz w:val="24"/>
          <w:szCs w:val="24"/>
        </w:rPr>
      </w:pPr>
      <w:r w:rsidRPr="006E5078">
        <w:rPr>
          <w:b/>
          <w:sz w:val="24"/>
          <w:szCs w:val="24"/>
        </w:rPr>
        <w:t>VI. FINANSAVIMO ŠALTINIAI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549"/>
        <w:gridCol w:w="1263"/>
      </w:tblGrid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ind w:left="-93"/>
            </w:pPr>
            <w:r>
              <w:t>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Gautos lėšos Eur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Iš viso lėšų (1 + 2)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BB7D09" w:rsidRDefault="00C67DB8" w:rsidP="00C67DB8">
            <w:r w:rsidRPr="00BB7D09">
              <w:t>287 968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lėšos iš savivaldybės biudžeto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BB7D09" w:rsidRDefault="00C67DB8" w:rsidP="00C67DB8">
            <w:r w:rsidRPr="00BB7D09">
              <w:t>274 567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darbo užmokesčiui neatskaičiavus mokesčių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 w:rsidP="00C67DB8">
            <w:r>
              <w:t>108 733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infrastruktūrai išlaikyti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 w:rsidP="00C67DB8">
            <w:r>
              <w:t>11 900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ilgalaikiam materialiajam turtui įsigyti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 w:rsidP="00C67DB8">
            <w:r>
              <w:t>138 646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lėšos veiklai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14 031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išlaidos transportui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1 257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pritraukta lėšų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BB7D09" w:rsidRDefault="00E4654F" w:rsidP="00C67DB8">
            <w:r w:rsidRPr="00BB7D09">
              <w:t>13 401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projektams įgyvendinti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E4654F" w:rsidP="00C67DB8">
            <w:r>
              <w:t>6 260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pajamos už teikiamas paslaugas (bilietai, nuoma, renginių organizavimas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871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rėmėjų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0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2 % parama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666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lastRenderedPageBreak/>
              <w:t>2.5.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neformaliojo vaikų švietimo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5 604</w:t>
            </w:r>
          </w:p>
        </w:tc>
      </w:tr>
    </w:tbl>
    <w:p w:rsidR="001302C9" w:rsidRPr="00BB7D09" w:rsidRDefault="001302C9" w:rsidP="004C4D1E">
      <w:pPr>
        <w:jc w:val="center"/>
        <w:rPr>
          <w:sz w:val="24"/>
          <w:szCs w:val="24"/>
        </w:rPr>
      </w:pPr>
    </w:p>
    <w:p w:rsidR="003B2A28" w:rsidRPr="00E33B93" w:rsidRDefault="003B2A28" w:rsidP="004C4D1E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VII. MATERIALINIAI IR TECHNINIAI IŠTEKLIAI</w:t>
      </w:r>
    </w:p>
    <w:p w:rsidR="003B2A28" w:rsidRPr="003B2A28" w:rsidRDefault="003B2A28" w:rsidP="00BB7D09">
      <w:pPr>
        <w:ind w:firstLine="720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7.1. Atlikt</w:t>
      </w:r>
      <w:r w:rsidR="00E4654F">
        <w:rPr>
          <w:sz w:val="24"/>
          <w:szCs w:val="24"/>
        </w:rPr>
        <w:t>i</w:t>
      </w:r>
      <w:r w:rsidRPr="003B2A28">
        <w:rPr>
          <w:sz w:val="24"/>
          <w:szCs w:val="24"/>
        </w:rPr>
        <w:t xml:space="preserve"> įstaigos remonto darb</w:t>
      </w:r>
      <w:r w:rsidR="00E4654F">
        <w:rPr>
          <w:sz w:val="24"/>
          <w:szCs w:val="24"/>
        </w:rPr>
        <w:t>ai</w:t>
      </w:r>
      <w:r w:rsidR="00EC58EB">
        <w:rPr>
          <w:sz w:val="24"/>
          <w:szCs w:val="24"/>
        </w:rPr>
        <w:t>.</w:t>
      </w:r>
      <w:r w:rsidR="00E4654F">
        <w:rPr>
          <w:sz w:val="24"/>
          <w:szCs w:val="24"/>
        </w:rPr>
        <w:t xml:space="preserve"> Dembavos padalinio kapitalinio remonto ir priestato statybos darbų vertė – 202 992 Eur.</w:t>
      </w:r>
    </w:p>
    <w:p w:rsidR="00E4654F" w:rsidRPr="003B2A28" w:rsidRDefault="003B2A28" w:rsidP="00BB7D09">
      <w:pPr>
        <w:ind w:firstLine="720"/>
        <w:jc w:val="both"/>
        <w:rPr>
          <w:sz w:val="24"/>
          <w:szCs w:val="24"/>
        </w:rPr>
      </w:pPr>
      <w:r w:rsidRPr="003B2A28">
        <w:rPr>
          <w:sz w:val="24"/>
          <w:szCs w:val="24"/>
        </w:rPr>
        <w:t xml:space="preserve">7.2. </w:t>
      </w:r>
      <w:r w:rsidR="00DD790E">
        <w:rPr>
          <w:sz w:val="24"/>
          <w:szCs w:val="24"/>
        </w:rPr>
        <w:t>Atnaujinti techniniai ištekliai</w:t>
      </w:r>
      <w:r w:rsidR="00E4654F">
        <w:rPr>
          <w:sz w:val="24"/>
          <w:szCs w:val="24"/>
        </w:rPr>
        <w:t>:</w:t>
      </w:r>
      <w:r w:rsidR="00EC58EB">
        <w:rPr>
          <w:sz w:val="24"/>
          <w:szCs w:val="24"/>
        </w:rPr>
        <w:t xml:space="preserve"> </w:t>
      </w:r>
      <w:r w:rsidR="00E4654F">
        <w:rPr>
          <w:sz w:val="24"/>
          <w:szCs w:val="24"/>
        </w:rPr>
        <w:t xml:space="preserve">apšvietimo įranga </w:t>
      </w:r>
      <w:r w:rsidR="006E60D2">
        <w:rPr>
          <w:sz w:val="24"/>
          <w:szCs w:val="24"/>
        </w:rPr>
        <w:t xml:space="preserve">– </w:t>
      </w:r>
      <w:r w:rsidR="00E4654F">
        <w:rPr>
          <w:sz w:val="24"/>
          <w:szCs w:val="24"/>
        </w:rPr>
        <w:t>900</w:t>
      </w:r>
      <w:r w:rsidR="006E60D2">
        <w:rPr>
          <w:sz w:val="24"/>
          <w:szCs w:val="24"/>
        </w:rPr>
        <w:t xml:space="preserve"> </w:t>
      </w:r>
      <w:r w:rsidR="00EC58EB">
        <w:rPr>
          <w:sz w:val="24"/>
          <w:szCs w:val="24"/>
        </w:rPr>
        <w:t>E</w:t>
      </w:r>
      <w:r w:rsidR="006E60D2">
        <w:rPr>
          <w:sz w:val="24"/>
          <w:szCs w:val="24"/>
        </w:rPr>
        <w:t>u</w:t>
      </w:r>
      <w:r w:rsidR="005025EF">
        <w:rPr>
          <w:sz w:val="24"/>
          <w:szCs w:val="24"/>
        </w:rPr>
        <w:t>r</w:t>
      </w:r>
      <w:r w:rsidR="00E4654F">
        <w:rPr>
          <w:sz w:val="24"/>
          <w:szCs w:val="24"/>
        </w:rPr>
        <w:t>, spausdintuvas – 500 E</w:t>
      </w:r>
      <w:r w:rsidR="005025EF">
        <w:rPr>
          <w:sz w:val="24"/>
          <w:szCs w:val="24"/>
        </w:rPr>
        <w:t>ur</w:t>
      </w:r>
      <w:r w:rsidR="00E4654F">
        <w:rPr>
          <w:sz w:val="24"/>
          <w:szCs w:val="24"/>
        </w:rPr>
        <w:t>,</w:t>
      </w:r>
      <w:r w:rsidR="00BB7D09">
        <w:rPr>
          <w:sz w:val="24"/>
          <w:szCs w:val="24"/>
        </w:rPr>
        <w:t xml:space="preserve"> </w:t>
      </w:r>
      <w:r w:rsidR="005025EF">
        <w:rPr>
          <w:sz w:val="24"/>
          <w:szCs w:val="24"/>
        </w:rPr>
        <w:t>n</w:t>
      </w:r>
      <w:r w:rsidR="00E4654F">
        <w:rPr>
          <w:sz w:val="24"/>
          <w:szCs w:val="24"/>
        </w:rPr>
        <w:t>ešiojamasis kompiuteris – 450 E</w:t>
      </w:r>
      <w:r w:rsidR="005025EF">
        <w:rPr>
          <w:sz w:val="24"/>
          <w:szCs w:val="24"/>
        </w:rPr>
        <w:t>ur</w:t>
      </w:r>
      <w:r w:rsidR="00E4654F">
        <w:rPr>
          <w:sz w:val="24"/>
          <w:szCs w:val="24"/>
        </w:rPr>
        <w:t xml:space="preserve">, mikrofonai </w:t>
      </w:r>
      <w:r w:rsidR="00BC4F4F">
        <w:rPr>
          <w:sz w:val="24"/>
          <w:szCs w:val="24"/>
        </w:rPr>
        <w:t>3</w:t>
      </w:r>
      <w:r w:rsidR="00BC4F4F" w:rsidRPr="00BC4F4F">
        <w:rPr>
          <w:sz w:val="24"/>
          <w:szCs w:val="24"/>
        </w:rPr>
        <w:t xml:space="preserve"> </w:t>
      </w:r>
      <w:r w:rsidR="00E4654F" w:rsidRPr="00BC4F4F">
        <w:rPr>
          <w:sz w:val="24"/>
          <w:szCs w:val="24"/>
        </w:rPr>
        <w:t>vnt</w:t>
      </w:r>
      <w:r w:rsidR="005025EF" w:rsidRPr="00BB7D09">
        <w:rPr>
          <w:sz w:val="24"/>
          <w:szCs w:val="24"/>
        </w:rPr>
        <w:t>.</w:t>
      </w:r>
      <w:r w:rsidR="00E4654F" w:rsidRPr="005025EF">
        <w:rPr>
          <w:sz w:val="24"/>
          <w:szCs w:val="24"/>
        </w:rPr>
        <w:t xml:space="preserve"> </w:t>
      </w:r>
      <w:r w:rsidR="00BC4F4F">
        <w:rPr>
          <w:sz w:val="24"/>
          <w:szCs w:val="24"/>
        </w:rPr>
        <w:t xml:space="preserve">– 380 </w:t>
      </w:r>
      <w:r w:rsidR="00E4654F">
        <w:rPr>
          <w:sz w:val="24"/>
          <w:szCs w:val="24"/>
        </w:rPr>
        <w:t>Eur.</w:t>
      </w:r>
    </w:p>
    <w:p w:rsidR="001729F0" w:rsidRPr="003B2A28" w:rsidRDefault="003B2A28" w:rsidP="00BB7D09">
      <w:pPr>
        <w:ind w:firstLine="720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7.3. Įsigyti koncertiniai drabužiai (sceniniai, tautiniai kostiumai, jų dalys)</w:t>
      </w:r>
      <w:r w:rsidR="00E4654F">
        <w:rPr>
          <w:sz w:val="24"/>
          <w:szCs w:val="24"/>
        </w:rPr>
        <w:t>.</w:t>
      </w:r>
      <w:r w:rsidRPr="003B2A28">
        <w:rPr>
          <w:sz w:val="24"/>
          <w:szCs w:val="24"/>
        </w:rPr>
        <w:t xml:space="preserve"> </w:t>
      </w:r>
      <w:r w:rsidR="00E4654F">
        <w:rPr>
          <w:sz w:val="24"/>
          <w:szCs w:val="24"/>
        </w:rPr>
        <w:t>Koncertiniai marškinėliai</w:t>
      </w:r>
      <w:r w:rsidR="00BC4F4F">
        <w:rPr>
          <w:sz w:val="24"/>
          <w:szCs w:val="24"/>
        </w:rPr>
        <w:t>, skarelės, kepurės</w:t>
      </w:r>
      <w:r w:rsidR="006E60D2">
        <w:rPr>
          <w:sz w:val="24"/>
          <w:szCs w:val="24"/>
        </w:rPr>
        <w:t xml:space="preserve"> </w:t>
      </w:r>
      <w:r w:rsidR="00BC4F4F" w:rsidRPr="00BC4F4F">
        <w:rPr>
          <w:sz w:val="24"/>
          <w:szCs w:val="24"/>
        </w:rPr>
        <w:t>po 20 vnt.</w:t>
      </w:r>
      <w:r w:rsidR="001729F0" w:rsidRPr="00BC4F4F">
        <w:rPr>
          <w:sz w:val="24"/>
          <w:szCs w:val="24"/>
        </w:rPr>
        <w:t xml:space="preserve"> –</w:t>
      </w:r>
      <w:r w:rsidR="006E60D2" w:rsidRPr="00BC4F4F">
        <w:rPr>
          <w:sz w:val="24"/>
          <w:szCs w:val="24"/>
        </w:rPr>
        <w:t xml:space="preserve"> </w:t>
      </w:r>
      <w:r w:rsidR="00E4654F" w:rsidRPr="00BC4F4F">
        <w:rPr>
          <w:sz w:val="24"/>
          <w:szCs w:val="24"/>
        </w:rPr>
        <w:t>350</w:t>
      </w:r>
      <w:r w:rsidR="001729F0" w:rsidRPr="00BC4F4F">
        <w:rPr>
          <w:sz w:val="24"/>
          <w:szCs w:val="24"/>
        </w:rPr>
        <w:t xml:space="preserve"> </w:t>
      </w:r>
      <w:r w:rsidR="00EC58EB" w:rsidRPr="00BC4F4F">
        <w:rPr>
          <w:sz w:val="24"/>
          <w:szCs w:val="24"/>
        </w:rPr>
        <w:t>E</w:t>
      </w:r>
      <w:r w:rsidR="001729F0" w:rsidRPr="00BC4F4F">
        <w:rPr>
          <w:sz w:val="24"/>
          <w:szCs w:val="24"/>
        </w:rPr>
        <w:t>u</w:t>
      </w:r>
      <w:r w:rsidR="00EC58EB" w:rsidRPr="00BC4F4F">
        <w:rPr>
          <w:sz w:val="24"/>
          <w:szCs w:val="24"/>
        </w:rPr>
        <w:t xml:space="preserve">r, </w:t>
      </w:r>
      <w:r w:rsidR="00E4654F">
        <w:rPr>
          <w:sz w:val="24"/>
          <w:szCs w:val="24"/>
        </w:rPr>
        <w:t>naginės</w:t>
      </w:r>
      <w:r w:rsidR="001729F0">
        <w:rPr>
          <w:sz w:val="24"/>
          <w:szCs w:val="24"/>
        </w:rPr>
        <w:t xml:space="preserve"> </w:t>
      </w:r>
      <w:r w:rsidR="00BC4F4F" w:rsidRPr="00BC4F4F">
        <w:rPr>
          <w:sz w:val="24"/>
          <w:szCs w:val="24"/>
        </w:rPr>
        <w:t>17 porų</w:t>
      </w:r>
      <w:r w:rsidR="001729F0" w:rsidRPr="00BC4F4F">
        <w:rPr>
          <w:sz w:val="24"/>
          <w:szCs w:val="24"/>
        </w:rPr>
        <w:t xml:space="preserve"> </w:t>
      </w:r>
      <w:r w:rsidR="001729F0">
        <w:rPr>
          <w:sz w:val="24"/>
          <w:szCs w:val="24"/>
        </w:rPr>
        <w:t xml:space="preserve">– </w:t>
      </w:r>
      <w:r w:rsidR="00161B9F">
        <w:rPr>
          <w:sz w:val="24"/>
          <w:szCs w:val="24"/>
        </w:rPr>
        <w:t>221</w:t>
      </w:r>
      <w:r w:rsidR="001729F0">
        <w:rPr>
          <w:sz w:val="24"/>
          <w:szCs w:val="24"/>
        </w:rPr>
        <w:t xml:space="preserve"> </w:t>
      </w:r>
      <w:r w:rsidR="00EC58EB">
        <w:rPr>
          <w:sz w:val="24"/>
          <w:szCs w:val="24"/>
        </w:rPr>
        <w:t>E</w:t>
      </w:r>
      <w:r w:rsidR="001729F0">
        <w:rPr>
          <w:sz w:val="24"/>
          <w:szCs w:val="24"/>
        </w:rPr>
        <w:t>u</w:t>
      </w:r>
      <w:r w:rsidR="00EC58EB">
        <w:rPr>
          <w:sz w:val="24"/>
          <w:szCs w:val="24"/>
        </w:rPr>
        <w:t>r</w:t>
      </w:r>
      <w:r w:rsidR="00BB7D09">
        <w:rPr>
          <w:sz w:val="24"/>
          <w:szCs w:val="24"/>
        </w:rPr>
        <w:t>,</w:t>
      </w:r>
      <w:r w:rsidR="00EC58EB">
        <w:rPr>
          <w:sz w:val="24"/>
          <w:szCs w:val="24"/>
        </w:rPr>
        <w:t xml:space="preserve"> k</w:t>
      </w:r>
      <w:r w:rsidR="001729F0">
        <w:rPr>
          <w:sz w:val="24"/>
          <w:szCs w:val="24"/>
        </w:rPr>
        <w:t xml:space="preserve">oncertiniai </w:t>
      </w:r>
      <w:r w:rsidR="00161B9F">
        <w:rPr>
          <w:sz w:val="24"/>
          <w:szCs w:val="24"/>
        </w:rPr>
        <w:t>kostiumai</w:t>
      </w:r>
      <w:r w:rsidR="000D28FB">
        <w:rPr>
          <w:sz w:val="24"/>
          <w:szCs w:val="24"/>
        </w:rPr>
        <w:t xml:space="preserve"> šokių studijai</w:t>
      </w:r>
      <w:r w:rsidR="00BB7D09">
        <w:rPr>
          <w:sz w:val="24"/>
          <w:szCs w:val="24"/>
        </w:rPr>
        <w:t xml:space="preserve"> </w:t>
      </w:r>
      <w:r w:rsidR="000D28FB" w:rsidRPr="000D28FB">
        <w:rPr>
          <w:sz w:val="24"/>
          <w:szCs w:val="24"/>
        </w:rPr>
        <w:t>9 vnt.</w:t>
      </w:r>
      <w:r w:rsidR="001729F0" w:rsidRPr="000D28FB">
        <w:rPr>
          <w:sz w:val="24"/>
          <w:szCs w:val="24"/>
        </w:rPr>
        <w:t xml:space="preserve"> – </w:t>
      </w:r>
      <w:r w:rsidR="000D28FB" w:rsidRPr="000D28FB">
        <w:rPr>
          <w:sz w:val="24"/>
          <w:szCs w:val="24"/>
        </w:rPr>
        <w:t>280</w:t>
      </w:r>
      <w:r w:rsidR="001729F0" w:rsidRPr="000D28FB">
        <w:rPr>
          <w:sz w:val="24"/>
          <w:szCs w:val="24"/>
        </w:rPr>
        <w:t xml:space="preserve"> </w:t>
      </w:r>
      <w:r w:rsidR="00EC58EB" w:rsidRPr="000D28FB">
        <w:rPr>
          <w:sz w:val="24"/>
          <w:szCs w:val="24"/>
        </w:rPr>
        <w:t>E</w:t>
      </w:r>
      <w:r w:rsidR="001729F0" w:rsidRPr="000D28FB">
        <w:rPr>
          <w:sz w:val="24"/>
          <w:szCs w:val="24"/>
        </w:rPr>
        <w:t>u</w:t>
      </w:r>
      <w:r w:rsidR="00EC58EB" w:rsidRPr="000D28FB">
        <w:rPr>
          <w:sz w:val="24"/>
          <w:szCs w:val="24"/>
        </w:rPr>
        <w:t>r.</w:t>
      </w:r>
    </w:p>
    <w:p w:rsidR="00937247" w:rsidRDefault="003B2A28" w:rsidP="00BB7D09">
      <w:pPr>
        <w:ind w:firstLine="720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7.4. Įsigyt</w:t>
      </w:r>
      <w:r w:rsidR="00161B9F">
        <w:rPr>
          <w:sz w:val="24"/>
          <w:szCs w:val="24"/>
        </w:rPr>
        <w:t>ų</w:t>
      </w:r>
      <w:r w:rsidRPr="003B2A28">
        <w:rPr>
          <w:sz w:val="24"/>
          <w:szCs w:val="24"/>
        </w:rPr>
        <w:t xml:space="preserve"> instrument</w:t>
      </w:r>
      <w:r w:rsidR="00161B9F">
        <w:rPr>
          <w:sz w:val="24"/>
          <w:szCs w:val="24"/>
        </w:rPr>
        <w:t>ų</w:t>
      </w:r>
      <w:r w:rsidRPr="003B2A28">
        <w:rPr>
          <w:sz w:val="24"/>
          <w:szCs w:val="24"/>
        </w:rPr>
        <w:t xml:space="preserve"> </w:t>
      </w:r>
      <w:r w:rsidR="00161B9F">
        <w:rPr>
          <w:sz w:val="24"/>
          <w:szCs w:val="24"/>
        </w:rPr>
        <w:t>nebuvo</w:t>
      </w:r>
      <w:r w:rsidR="00EC58EB">
        <w:rPr>
          <w:sz w:val="24"/>
          <w:szCs w:val="24"/>
        </w:rPr>
        <w:t>.</w:t>
      </w:r>
    </w:p>
    <w:p w:rsidR="00C96233" w:rsidRPr="00937247" w:rsidRDefault="00C96233" w:rsidP="00937247">
      <w:pPr>
        <w:ind w:firstLine="720"/>
        <w:rPr>
          <w:sz w:val="24"/>
          <w:szCs w:val="24"/>
        </w:rPr>
      </w:pPr>
      <w:r w:rsidRPr="00937247">
        <w:rPr>
          <w:sz w:val="24"/>
          <w:szCs w:val="24"/>
        </w:rPr>
        <w:t>Patvirtinu, kad pateikta informacija yra tiksli ir teisinga.</w:t>
      </w:r>
    </w:p>
    <w:p w:rsidR="00C96233" w:rsidRDefault="00C96233" w:rsidP="00C96233">
      <w:pPr>
        <w:pStyle w:val="Standard"/>
        <w:tabs>
          <w:tab w:val="left" w:pos="1338"/>
        </w:tabs>
        <w:jc w:val="both"/>
        <w:rPr>
          <w:lang w:val="lt-LT"/>
        </w:rPr>
      </w:pPr>
    </w:p>
    <w:p w:rsidR="00BB7D09" w:rsidRPr="00937247" w:rsidRDefault="00BB7D09" w:rsidP="00C96233">
      <w:pPr>
        <w:pStyle w:val="Standard"/>
        <w:tabs>
          <w:tab w:val="left" w:pos="1338"/>
        </w:tabs>
        <w:jc w:val="both"/>
        <w:rPr>
          <w:lang w:val="lt-LT"/>
        </w:rPr>
      </w:pPr>
    </w:p>
    <w:p w:rsidR="00C96233" w:rsidRDefault="00C96233" w:rsidP="00C96233">
      <w:pPr>
        <w:pStyle w:val="Standard"/>
        <w:tabs>
          <w:tab w:val="left" w:pos="1338"/>
        </w:tabs>
        <w:jc w:val="both"/>
        <w:rPr>
          <w:lang w:val="lt-LT"/>
        </w:rPr>
      </w:pPr>
      <w:r w:rsidRPr="00C96233">
        <w:rPr>
          <w:lang w:val="lt-LT"/>
        </w:rPr>
        <w:t>Direktorė</w:t>
      </w:r>
      <w:r w:rsidRPr="00C96233">
        <w:rPr>
          <w:lang w:val="lt-LT"/>
        </w:rPr>
        <w:tab/>
      </w:r>
      <w:r w:rsidRPr="00C96233">
        <w:rPr>
          <w:lang w:val="lt-LT"/>
        </w:rPr>
        <w:tab/>
      </w:r>
      <w:r w:rsidRPr="00C96233">
        <w:rPr>
          <w:lang w:val="lt-LT"/>
        </w:rPr>
        <w:tab/>
      </w:r>
      <w:r w:rsidRPr="00C96233">
        <w:rPr>
          <w:lang w:val="lt-LT"/>
        </w:rPr>
        <w:tab/>
      </w:r>
      <w:r w:rsidRPr="00C96233">
        <w:rPr>
          <w:lang w:val="lt-LT"/>
        </w:rPr>
        <w:tab/>
      </w:r>
      <w:r w:rsidRPr="00C96233">
        <w:rPr>
          <w:lang w:val="lt-LT"/>
        </w:rPr>
        <w:tab/>
      </w:r>
      <w:r w:rsidRPr="00C96233">
        <w:rPr>
          <w:lang w:val="lt-LT"/>
        </w:rPr>
        <w:tab/>
      </w:r>
      <w:r w:rsidRPr="00C96233">
        <w:rPr>
          <w:lang w:val="lt-LT"/>
        </w:rPr>
        <w:tab/>
      </w:r>
      <w:r w:rsidRPr="00C96233">
        <w:rPr>
          <w:lang w:val="lt-LT"/>
        </w:rPr>
        <w:tab/>
      </w:r>
      <w:r w:rsidRPr="00C96233">
        <w:rPr>
          <w:lang w:val="lt-LT"/>
        </w:rPr>
        <w:tab/>
      </w:r>
      <w:r w:rsidR="009D6ADB">
        <w:rPr>
          <w:lang w:val="lt-LT"/>
        </w:rPr>
        <w:t>Karolina Raziūnien</w:t>
      </w:r>
      <w:r w:rsidR="00EC58EB">
        <w:rPr>
          <w:lang w:val="lt-LT"/>
        </w:rPr>
        <w:t>ė</w:t>
      </w:r>
    </w:p>
    <w:p w:rsidR="004C4D1E" w:rsidRPr="00E33B93" w:rsidRDefault="004C4D1E" w:rsidP="00C96233">
      <w:pPr>
        <w:pStyle w:val="Standard"/>
        <w:tabs>
          <w:tab w:val="left" w:pos="1338"/>
        </w:tabs>
        <w:jc w:val="both"/>
        <w:rPr>
          <w:szCs w:val="20"/>
          <w:lang w:val="lt-LT"/>
        </w:rPr>
      </w:pPr>
    </w:p>
    <w:p w:rsidR="00C96233" w:rsidRPr="005F1BF6" w:rsidRDefault="00C96233" w:rsidP="00C96233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5F1BF6">
        <w:rPr>
          <w:rFonts w:eastAsia="SimSun" w:cs="Mangal"/>
          <w:sz w:val="24"/>
          <w:szCs w:val="24"/>
          <w:lang w:eastAsia="x-none" w:bidi="hi-IN"/>
        </w:rPr>
        <w:t>PRITARTA</w:t>
      </w:r>
    </w:p>
    <w:p w:rsidR="00C96233" w:rsidRPr="005F1BF6" w:rsidRDefault="00C96233" w:rsidP="00C96233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>
        <w:rPr>
          <w:rFonts w:eastAsia="SimSun" w:cs="Mangal"/>
          <w:sz w:val="24"/>
          <w:szCs w:val="24"/>
          <w:lang w:eastAsia="x-none" w:bidi="hi-IN"/>
        </w:rPr>
        <w:t>Kultūros centro</w:t>
      </w:r>
      <w:r w:rsidRPr="005F1BF6">
        <w:rPr>
          <w:rFonts w:eastAsia="SimSun" w:cs="Mangal"/>
          <w:sz w:val="24"/>
          <w:szCs w:val="24"/>
          <w:lang w:eastAsia="x-none" w:bidi="hi-IN"/>
        </w:rPr>
        <w:t xml:space="preserve"> tarybos</w:t>
      </w:r>
    </w:p>
    <w:p w:rsidR="00C96233" w:rsidRPr="000D28FB" w:rsidRDefault="00DD790E" w:rsidP="00E33B93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0D28FB">
        <w:rPr>
          <w:rFonts w:eastAsia="SimSun" w:cs="Mangal"/>
          <w:sz w:val="24"/>
          <w:szCs w:val="24"/>
          <w:lang w:eastAsia="x-none" w:bidi="hi-IN"/>
        </w:rPr>
        <w:t>20</w:t>
      </w:r>
      <w:r w:rsidR="00161B9F" w:rsidRPr="000D28FB">
        <w:rPr>
          <w:rFonts w:eastAsia="SimSun" w:cs="Mangal"/>
          <w:sz w:val="24"/>
          <w:szCs w:val="24"/>
          <w:lang w:eastAsia="x-none" w:bidi="hi-IN"/>
        </w:rPr>
        <w:t>20</w:t>
      </w:r>
      <w:r w:rsidRPr="000D28FB">
        <w:rPr>
          <w:rFonts w:eastAsia="SimSun" w:cs="Mangal"/>
          <w:sz w:val="24"/>
          <w:szCs w:val="24"/>
          <w:lang w:eastAsia="x-none" w:bidi="hi-IN"/>
        </w:rPr>
        <w:t xml:space="preserve"> m. </w:t>
      </w:r>
      <w:r w:rsidR="000D28FB" w:rsidRPr="000D28FB">
        <w:rPr>
          <w:rFonts w:eastAsia="SimSun" w:cs="Mangal"/>
          <w:sz w:val="24"/>
          <w:szCs w:val="24"/>
          <w:lang w:eastAsia="x-none" w:bidi="hi-IN"/>
        </w:rPr>
        <w:t>balandžio 22</w:t>
      </w:r>
      <w:r w:rsidR="00270DD5" w:rsidRPr="000D28FB">
        <w:rPr>
          <w:rFonts w:eastAsia="SimSun" w:cs="Mangal"/>
          <w:sz w:val="24"/>
          <w:szCs w:val="24"/>
          <w:lang w:eastAsia="x-none" w:bidi="hi-IN"/>
        </w:rPr>
        <w:t xml:space="preserve"> d. posėdžio protokolas Nr. </w:t>
      </w:r>
      <w:r w:rsidRPr="000D28FB">
        <w:rPr>
          <w:rFonts w:eastAsia="SimSun" w:cs="Mangal"/>
          <w:sz w:val="24"/>
          <w:szCs w:val="24"/>
          <w:lang w:eastAsia="x-none" w:bidi="hi-IN"/>
        </w:rPr>
        <w:t>1</w:t>
      </w:r>
    </w:p>
    <w:p w:rsidR="004C4D1E" w:rsidRPr="0033709E" w:rsidRDefault="004C4D1E" w:rsidP="00E33B93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</w:p>
    <w:p w:rsidR="00C96233" w:rsidRPr="005F1BF6" w:rsidRDefault="00C96233" w:rsidP="00C96233">
      <w:pPr>
        <w:keepLines/>
        <w:autoSpaceDN w:val="0"/>
        <w:rPr>
          <w:kern w:val="3"/>
          <w:sz w:val="24"/>
          <w:szCs w:val="24"/>
          <w:lang w:eastAsia="zh-CN"/>
        </w:rPr>
      </w:pPr>
      <w:r w:rsidRPr="005F1BF6">
        <w:rPr>
          <w:kern w:val="3"/>
          <w:sz w:val="24"/>
          <w:szCs w:val="24"/>
          <w:lang w:eastAsia="zh-CN"/>
        </w:rPr>
        <w:t>SUDERINTA</w:t>
      </w:r>
    </w:p>
    <w:p w:rsidR="00C96233" w:rsidRPr="005F1BF6" w:rsidRDefault="00C96233" w:rsidP="00C96233">
      <w:pPr>
        <w:keepLines/>
        <w:autoSpaceDN w:val="0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Panevėžio rajono savivaldybės ad</w:t>
      </w:r>
      <w:r w:rsidRPr="005F1BF6">
        <w:rPr>
          <w:kern w:val="3"/>
          <w:sz w:val="24"/>
          <w:szCs w:val="24"/>
          <w:lang w:eastAsia="zh-CN"/>
        </w:rPr>
        <w:t xml:space="preserve">ministracijos </w:t>
      </w:r>
    </w:p>
    <w:p w:rsidR="00C96233" w:rsidRPr="005F1BF6" w:rsidRDefault="00C96233" w:rsidP="00C96233">
      <w:pPr>
        <w:keepLines/>
        <w:autoSpaceDN w:val="0"/>
        <w:rPr>
          <w:kern w:val="3"/>
          <w:sz w:val="24"/>
          <w:szCs w:val="24"/>
          <w:lang w:eastAsia="zh-CN"/>
        </w:rPr>
      </w:pPr>
      <w:r w:rsidRPr="005F1BF6">
        <w:rPr>
          <w:kern w:val="3"/>
          <w:sz w:val="24"/>
          <w:szCs w:val="24"/>
          <w:lang w:eastAsia="zh-CN"/>
        </w:rPr>
        <w:t>Švietimo, kultūros ir sporto skyriaus vedėjas</w:t>
      </w:r>
    </w:p>
    <w:p w:rsidR="00BD420B" w:rsidRPr="00E33B93" w:rsidRDefault="00C96233" w:rsidP="00E33B93">
      <w:pPr>
        <w:keepLines/>
        <w:autoSpaceDN w:val="0"/>
        <w:rPr>
          <w:kern w:val="3"/>
          <w:sz w:val="24"/>
          <w:szCs w:val="24"/>
          <w:lang w:eastAsia="zh-CN"/>
        </w:rPr>
      </w:pPr>
      <w:r w:rsidRPr="005F1BF6">
        <w:rPr>
          <w:kern w:val="3"/>
          <w:sz w:val="24"/>
          <w:szCs w:val="24"/>
          <w:lang w:eastAsia="zh-CN"/>
        </w:rPr>
        <w:t>Algirdas Kęstutis Rimkus</w:t>
      </w:r>
    </w:p>
    <w:sectPr w:rsidR="00BD420B" w:rsidRPr="00E33B93" w:rsidSect="00E33B93">
      <w:headerReference w:type="default" r:id="rId8"/>
      <w:pgSz w:w="11906" w:h="16820"/>
      <w:pgMar w:top="1701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C1" w:rsidRDefault="008074C1">
      <w:r>
        <w:separator/>
      </w:r>
    </w:p>
  </w:endnote>
  <w:endnote w:type="continuationSeparator" w:id="0">
    <w:p w:rsidR="008074C1" w:rsidRDefault="0080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C1" w:rsidRDefault="008074C1">
      <w:r>
        <w:separator/>
      </w:r>
    </w:p>
  </w:footnote>
  <w:footnote w:type="continuationSeparator" w:id="0">
    <w:p w:rsidR="008074C1" w:rsidRDefault="00807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363996"/>
      <w:docPartObj>
        <w:docPartGallery w:val="Page Numbers (Top of Page)"/>
        <w:docPartUnique/>
      </w:docPartObj>
    </w:sdtPr>
    <w:sdtEndPr/>
    <w:sdtContent>
      <w:p w:rsidR="00E33B93" w:rsidRDefault="00E33B9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E0D">
          <w:rPr>
            <w:noProof/>
          </w:rPr>
          <w:t>3</w:t>
        </w:r>
        <w:r>
          <w:fldChar w:fldCharType="end"/>
        </w:r>
      </w:p>
    </w:sdtContent>
  </w:sdt>
  <w:p w:rsidR="00E51C9E" w:rsidRDefault="00E51C9E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31C"/>
    <w:rsid w:val="000070F5"/>
    <w:rsid w:val="0000782A"/>
    <w:rsid w:val="0002368E"/>
    <w:rsid w:val="000350B3"/>
    <w:rsid w:val="0004598F"/>
    <w:rsid w:val="000464EA"/>
    <w:rsid w:val="00062C99"/>
    <w:rsid w:val="00082BE8"/>
    <w:rsid w:val="00093072"/>
    <w:rsid w:val="000B10EB"/>
    <w:rsid w:val="000D28FB"/>
    <w:rsid w:val="000D6D9A"/>
    <w:rsid w:val="000E1B45"/>
    <w:rsid w:val="000E7812"/>
    <w:rsid w:val="000F15E5"/>
    <w:rsid w:val="000F5B81"/>
    <w:rsid w:val="000F625E"/>
    <w:rsid w:val="00102952"/>
    <w:rsid w:val="0012008F"/>
    <w:rsid w:val="00126A00"/>
    <w:rsid w:val="001302C9"/>
    <w:rsid w:val="00136F63"/>
    <w:rsid w:val="00144811"/>
    <w:rsid w:val="00161B9F"/>
    <w:rsid w:val="001729F0"/>
    <w:rsid w:val="001829AA"/>
    <w:rsid w:val="001A2336"/>
    <w:rsid w:val="001A485D"/>
    <w:rsid w:val="001A50C4"/>
    <w:rsid w:val="001A6912"/>
    <w:rsid w:val="001B2FFD"/>
    <w:rsid w:val="001B71D9"/>
    <w:rsid w:val="001D7BEC"/>
    <w:rsid w:val="001F7408"/>
    <w:rsid w:val="002324E4"/>
    <w:rsid w:val="002415F0"/>
    <w:rsid w:val="00241C91"/>
    <w:rsid w:val="00243EE4"/>
    <w:rsid w:val="00252089"/>
    <w:rsid w:val="00265325"/>
    <w:rsid w:val="00267257"/>
    <w:rsid w:val="00270DD5"/>
    <w:rsid w:val="00275615"/>
    <w:rsid w:val="002830B5"/>
    <w:rsid w:val="002837D1"/>
    <w:rsid w:val="002860B5"/>
    <w:rsid w:val="002B0C06"/>
    <w:rsid w:val="002B57B9"/>
    <w:rsid w:val="002D11CB"/>
    <w:rsid w:val="002D25AD"/>
    <w:rsid w:val="002F75FA"/>
    <w:rsid w:val="002F7B9C"/>
    <w:rsid w:val="00312091"/>
    <w:rsid w:val="0033709E"/>
    <w:rsid w:val="0034775E"/>
    <w:rsid w:val="00362315"/>
    <w:rsid w:val="00377810"/>
    <w:rsid w:val="003805BE"/>
    <w:rsid w:val="003829CE"/>
    <w:rsid w:val="0038646B"/>
    <w:rsid w:val="003878C1"/>
    <w:rsid w:val="003A256D"/>
    <w:rsid w:val="003A41B0"/>
    <w:rsid w:val="003B2A28"/>
    <w:rsid w:val="003E35D2"/>
    <w:rsid w:val="00405823"/>
    <w:rsid w:val="004271D9"/>
    <w:rsid w:val="004366B6"/>
    <w:rsid w:val="00440CB1"/>
    <w:rsid w:val="00441430"/>
    <w:rsid w:val="00454AEA"/>
    <w:rsid w:val="00477F09"/>
    <w:rsid w:val="00487DE2"/>
    <w:rsid w:val="00494573"/>
    <w:rsid w:val="004C4D1E"/>
    <w:rsid w:val="004E14A8"/>
    <w:rsid w:val="004E2633"/>
    <w:rsid w:val="005025EF"/>
    <w:rsid w:val="00504343"/>
    <w:rsid w:val="005257EE"/>
    <w:rsid w:val="00571ACB"/>
    <w:rsid w:val="00574F36"/>
    <w:rsid w:val="00576B29"/>
    <w:rsid w:val="005A14DF"/>
    <w:rsid w:val="005D4F3D"/>
    <w:rsid w:val="00602DAA"/>
    <w:rsid w:val="00610E06"/>
    <w:rsid w:val="00612F9A"/>
    <w:rsid w:val="00622BF8"/>
    <w:rsid w:val="00642CF5"/>
    <w:rsid w:val="00646750"/>
    <w:rsid w:val="00667B3D"/>
    <w:rsid w:val="00670D54"/>
    <w:rsid w:val="006C16B7"/>
    <w:rsid w:val="006D70BB"/>
    <w:rsid w:val="006D7927"/>
    <w:rsid w:val="006E5078"/>
    <w:rsid w:val="006E60D2"/>
    <w:rsid w:val="00717571"/>
    <w:rsid w:val="00725496"/>
    <w:rsid w:val="00743123"/>
    <w:rsid w:val="00747485"/>
    <w:rsid w:val="00757171"/>
    <w:rsid w:val="00765E0D"/>
    <w:rsid w:val="00792CCB"/>
    <w:rsid w:val="00795970"/>
    <w:rsid w:val="007C54EB"/>
    <w:rsid w:val="007E0ECF"/>
    <w:rsid w:val="008074C1"/>
    <w:rsid w:val="00844DCF"/>
    <w:rsid w:val="008470CD"/>
    <w:rsid w:val="0087198D"/>
    <w:rsid w:val="00887C58"/>
    <w:rsid w:val="008D1D01"/>
    <w:rsid w:val="008D78AD"/>
    <w:rsid w:val="008E08C1"/>
    <w:rsid w:val="008E6DEC"/>
    <w:rsid w:val="00900099"/>
    <w:rsid w:val="0091193C"/>
    <w:rsid w:val="00931BA5"/>
    <w:rsid w:val="00937247"/>
    <w:rsid w:val="0097007B"/>
    <w:rsid w:val="00971449"/>
    <w:rsid w:val="009754BF"/>
    <w:rsid w:val="009A7559"/>
    <w:rsid w:val="009B0416"/>
    <w:rsid w:val="009B7E18"/>
    <w:rsid w:val="009D68B0"/>
    <w:rsid w:val="009D6ADB"/>
    <w:rsid w:val="009E49D4"/>
    <w:rsid w:val="009E714E"/>
    <w:rsid w:val="00A141C6"/>
    <w:rsid w:val="00A17B21"/>
    <w:rsid w:val="00A20867"/>
    <w:rsid w:val="00A31E3A"/>
    <w:rsid w:val="00A510BF"/>
    <w:rsid w:val="00A62281"/>
    <w:rsid w:val="00A626FE"/>
    <w:rsid w:val="00A679F4"/>
    <w:rsid w:val="00A95D49"/>
    <w:rsid w:val="00AA2A30"/>
    <w:rsid w:val="00AD0267"/>
    <w:rsid w:val="00AE3270"/>
    <w:rsid w:val="00AE4120"/>
    <w:rsid w:val="00AF49F0"/>
    <w:rsid w:val="00B00DB1"/>
    <w:rsid w:val="00B11DA3"/>
    <w:rsid w:val="00B21B8E"/>
    <w:rsid w:val="00B31DA4"/>
    <w:rsid w:val="00B46BF8"/>
    <w:rsid w:val="00B63B6A"/>
    <w:rsid w:val="00B640C8"/>
    <w:rsid w:val="00B86D0F"/>
    <w:rsid w:val="00B975AD"/>
    <w:rsid w:val="00BA25F2"/>
    <w:rsid w:val="00BA3BFE"/>
    <w:rsid w:val="00BB6305"/>
    <w:rsid w:val="00BB6560"/>
    <w:rsid w:val="00BB7D09"/>
    <w:rsid w:val="00BC4F4F"/>
    <w:rsid w:val="00BC649A"/>
    <w:rsid w:val="00BD201A"/>
    <w:rsid w:val="00BD420B"/>
    <w:rsid w:val="00BD471C"/>
    <w:rsid w:val="00BD4BBC"/>
    <w:rsid w:val="00BE6B71"/>
    <w:rsid w:val="00C140EF"/>
    <w:rsid w:val="00C27C1D"/>
    <w:rsid w:val="00C503E1"/>
    <w:rsid w:val="00C664BA"/>
    <w:rsid w:val="00C67DB8"/>
    <w:rsid w:val="00C7470C"/>
    <w:rsid w:val="00C778FE"/>
    <w:rsid w:val="00C80276"/>
    <w:rsid w:val="00C8254D"/>
    <w:rsid w:val="00C83552"/>
    <w:rsid w:val="00C9093E"/>
    <w:rsid w:val="00C96233"/>
    <w:rsid w:val="00CB1CA5"/>
    <w:rsid w:val="00CE0496"/>
    <w:rsid w:val="00CF1C0A"/>
    <w:rsid w:val="00D042F6"/>
    <w:rsid w:val="00D32444"/>
    <w:rsid w:val="00D57981"/>
    <w:rsid w:val="00D648EC"/>
    <w:rsid w:val="00D672E4"/>
    <w:rsid w:val="00D87E75"/>
    <w:rsid w:val="00D911E4"/>
    <w:rsid w:val="00D93EDB"/>
    <w:rsid w:val="00DB06A1"/>
    <w:rsid w:val="00DB17E5"/>
    <w:rsid w:val="00DD31A9"/>
    <w:rsid w:val="00DD790E"/>
    <w:rsid w:val="00DF3121"/>
    <w:rsid w:val="00E0130A"/>
    <w:rsid w:val="00E02508"/>
    <w:rsid w:val="00E31435"/>
    <w:rsid w:val="00E33B93"/>
    <w:rsid w:val="00E41A76"/>
    <w:rsid w:val="00E4654F"/>
    <w:rsid w:val="00E51C9E"/>
    <w:rsid w:val="00E57347"/>
    <w:rsid w:val="00E656E4"/>
    <w:rsid w:val="00E901DC"/>
    <w:rsid w:val="00EA744E"/>
    <w:rsid w:val="00EB4C58"/>
    <w:rsid w:val="00EC58EB"/>
    <w:rsid w:val="00ED5C80"/>
    <w:rsid w:val="00EE0393"/>
    <w:rsid w:val="00EF3103"/>
    <w:rsid w:val="00EF4CDB"/>
    <w:rsid w:val="00F11F48"/>
    <w:rsid w:val="00F158C8"/>
    <w:rsid w:val="00F21297"/>
    <w:rsid w:val="00F26162"/>
    <w:rsid w:val="00F50CD1"/>
    <w:rsid w:val="00F97BD6"/>
    <w:rsid w:val="00FA444A"/>
    <w:rsid w:val="00FA6D4E"/>
    <w:rsid w:val="00FB05F3"/>
    <w:rsid w:val="00FD0424"/>
    <w:rsid w:val="00FD79C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003F61-3A82-4749-A005-27387D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7DE52-8C00-4233-8D43-CB20F2F5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Inesa</cp:lastModifiedBy>
  <cp:revision>5</cp:revision>
  <cp:lastPrinted>2019-02-20T12:39:00Z</cp:lastPrinted>
  <dcterms:created xsi:type="dcterms:W3CDTF">2020-04-28T07:28:00Z</dcterms:created>
  <dcterms:modified xsi:type="dcterms:W3CDTF">2020-05-12T10:34:00Z</dcterms:modified>
</cp:coreProperties>
</file>