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74" w:rsidRPr="008A5E74" w:rsidRDefault="008A5E74" w:rsidP="00811630">
      <w:pPr>
        <w:suppressAutoHyphens/>
        <w:spacing w:after="0" w:line="240" w:lineRule="auto"/>
        <w:ind w:left="3888" w:firstLine="1296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P</w:t>
      </w:r>
      <w:r w:rsidR="00CF2945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RITAR</w:t>
      </w:r>
      <w:r w:rsidRPr="008A5E74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TA</w:t>
      </w:r>
    </w:p>
    <w:p w:rsidR="008A5E74" w:rsidRPr="008A5E74" w:rsidRDefault="008A5E74" w:rsidP="00811630">
      <w:pPr>
        <w:suppressAutoHyphens/>
        <w:spacing w:after="0" w:line="240" w:lineRule="auto"/>
        <w:ind w:left="3888" w:firstLine="1296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Panevėžio rajono savivaldybės tarybos</w:t>
      </w:r>
    </w:p>
    <w:p w:rsidR="008A5E74" w:rsidRPr="00C71608" w:rsidRDefault="00F45AC3" w:rsidP="00811630">
      <w:pPr>
        <w:suppressAutoHyphens/>
        <w:spacing w:after="0" w:line="240" w:lineRule="auto"/>
        <w:ind w:left="5184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2020</w:t>
      </w:r>
      <w:r w:rsidR="008A5E74" w:rsidRPr="00C716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gegužės </w:t>
      </w:r>
      <w:r w:rsidR="008633C7">
        <w:rPr>
          <w:rFonts w:ascii="Times New Roman" w:eastAsia="Times New Roman" w:hAnsi="Times New Roman"/>
          <w:bCs/>
          <w:sz w:val="24"/>
          <w:szCs w:val="24"/>
          <w:lang w:eastAsia="ar-SA"/>
        </w:rPr>
        <w:t>28</w:t>
      </w:r>
      <w:r w:rsidR="008A5E74" w:rsidRPr="00C716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d. sprendimu Nr. </w:t>
      </w:r>
      <w:r w:rsidR="008A5E74" w:rsidRPr="00C71608">
        <w:rPr>
          <w:rFonts w:ascii="Times New Roman" w:eastAsia="Times New Roman" w:hAnsi="Times New Roman"/>
          <w:sz w:val="24"/>
          <w:szCs w:val="20"/>
          <w:lang w:eastAsia="ar-SA"/>
        </w:rPr>
        <w:t>T-</w:t>
      </w:r>
    </w:p>
    <w:p w:rsidR="008A5E74" w:rsidRPr="008A5E74" w:rsidRDefault="008A5E74" w:rsidP="00C7160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8A5E74" w:rsidP="008633C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PANEVĖŽIO R. DEMBAVOS LOPŠELIO-DARŽELIO „SMALSUTIS“ </w:t>
      </w:r>
      <w:r w:rsidR="008633C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br/>
      </w:r>
      <w:r w:rsidR="006C7BA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2019</w:t>
      </w:r>
      <w:r w:rsidRPr="008A5E7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METŲ VEIKLOS ATASKAITA</w:t>
      </w:r>
    </w:p>
    <w:p w:rsidR="008A5E74" w:rsidRPr="008A5E74" w:rsidRDefault="008A5E74" w:rsidP="008A5E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I. BENDRA INFORMACIJA APIE MOKYKLĄ </w:t>
      </w:r>
    </w:p>
    <w:p w:rsidR="008A5E74" w:rsidRPr="008A5E74" w:rsidRDefault="008A5E74" w:rsidP="008A5E7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8A5E74" w:rsidP="002E0C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>1.1. Mokyklos kontekstinė aplinka (geografinės, kultūrinės, demografinės, ekonominės ir kt. situacijos įtaka mokyklos veiklai).</w:t>
      </w:r>
    </w:p>
    <w:p w:rsidR="008A5E74" w:rsidRPr="008A5E74" w:rsidRDefault="008A5E74" w:rsidP="002E0CBA">
      <w:pPr>
        <w:widowControl w:val="0"/>
        <w:spacing w:after="0" w:line="274" w:lineRule="exac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A5E74">
        <w:rPr>
          <w:rFonts w:ascii="Times New Roman" w:eastAsia="Times New Roman" w:hAnsi="Times New Roman"/>
          <w:sz w:val="24"/>
          <w:szCs w:val="24"/>
        </w:rPr>
        <w:t>Dembavos lopšelis-darželis „Smalsutis“</w:t>
      </w:r>
      <w:r w:rsidR="00CF2945">
        <w:rPr>
          <w:rFonts w:ascii="Times New Roman" w:eastAsia="Times New Roman" w:hAnsi="Times New Roman"/>
          <w:sz w:val="24"/>
          <w:szCs w:val="24"/>
        </w:rPr>
        <w:t xml:space="preserve"> v</w:t>
      </w:r>
      <w:r w:rsidRPr="008A5E74">
        <w:rPr>
          <w:rFonts w:ascii="Times New Roman" w:eastAsia="Times New Roman" w:hAnsi="Times New Roman"/>
          <w:sz w:val="24"/>
          <w:szCs w:val="24"/>
        </w:rPr>
        <w:t>ykdo ikimokyklinio ugdymo program</w:t>
      </w:r>
      <w:r w:rsidR="00CF2945">
        <w:rPr>
          <w:rFonts w:ascii="Times New Roman" w:eastAsia="Times New Roman" w:hAnsi="Times New Roman"/>
          <w:sz w:val="24"/>
          <w:szCs w:val="24"/>
        </w:rPr>
        <w:t>ą ir</w:t>
      </w:r>
      <w:r w:rsidRPr="008A5E74">
        <w:rPr>
          <w:rFonts w:ascii="Times New Roman" w:eastAsia="Times New Roman" w:hAnsi="Times New Roman"/>
          <w:sz w:val="24"/>
          <w:szCs w:val="24"/>
        </w:rPr>
        <w:t xml:space="preserve"> priešmokyklinio ugdymo program</w:t>
      </w:r>
      <w:r w:rsidR="00CF2945">
        <w:rPr>
          <w:rFonts w:ascii="Times New Roman" w:eastAsia="Times New Roman" w:hAnsi="Times New Roman"/>
          <w:sz w:val="24"/>
          <w:szCs w:val="24"/>
        </w:rPr>
        <w:t>ą</w:t>
      </w:r>
      <w:r w:rsidRPr="008A5E74">
        <w:rPr>
          <w:rFonts w:ascii="Times New Roman" w:eastAsia="Times New Roman" w:hAnsi="Times New Roman"/>
          <w:sz w:val="24"/>
          <w:szCs w:val="24"/>
        </w:rPr>
        <w:t>.</w:t>
      </w:r>
    </w:p>
    <w:p w:rsidR="008A5E74" w:rsidRPr="008A5E74" w:rsidRDefault="008A5E74" w:rsidP="002E0C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Lopšelis-darželis „Smalsutis“ yra priemiestinė švietimo įstaiga, ribojasi su Panevėžio miestu. Pagrindiniai socialiniai partneriai: Dembavos progimnazija, </w:t>
      </w:r>
      <w:r w:rsidR="006C7BA2" w:rsidRPr="008A5E74">
        <w:rPr>
          <w:rFonts w:ascii="Times New Roman" w:eastAsia="Times New Roman" w:hAnsi="Times New Roman"/>
          <w:sz w:val="24"/>
          <w:szCs w:val="24"/>
          <w:lang w:eastAsia="ar-SA"/>
        </w:rPr>
        <w:t>Panevėžio rajono savivaldybės viešosios bibliotekos skyrius, Panevėžio rajono savivaldybės visuomenės sveikatos biuras, Panevėžio rajono švietimo centras bei kitos švietimo įstaigos</w:t>
      </w:r>
      <w:r w:rsidR="006C7BA2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Panevėžio lopšelis-darželis „Gintarėlis“, Klaipėdos lopšelis-darželis „Puriena“, </w:t>
      </w:r>
      <w:r w:rsidR="006C7BA2" w:rsidRPr="00D64F52">
        <w:rPr>
          <w:rFonts w:ascii="Times New Roman" w:hAnsi="Times New Roman"/>
          <w:sz w:val="24"/>
          <w:szCs w:val="24"/>
        </w:rPr>
        <w:t>Kauno l</w:t>
      </w:r>
      <w:r w:rsidR="006C7BA2">
        <w:rPr>
          <w:rFonts w:ascii="Times New Roman" w:hAnsi="Times New Roman"/>
          <w:sz w:val="24"/>
          <w:szCs w:val="24"/>
        </w:rPr>
        <w:t xml:space="preserve">opšelis-darželis </w:t>
      </w:r>
      <w:r w:rsidR="006C7BA2" w:rsidRPr="00D64F52">
        <w:rPr>
          <w:rFonts w:ascii="Times New Roman" w:hAnsi="Times New Roman"/>
          <w:sz w:val="24"/>
          <w:szCs w:val="24"/>
        </w:rPr>
        <w:t>„Smalsutis“</w:t>
      </w:r>
      <w:r w:rsidR="006C7BA2">
        <w:rPr>
          <w:rFonts w:ascii="Times New Roman" w:hAnsi="Times New Roman"/>
          <w:sz w:val="24"/>
          <w:szCs w:val="24"/>
        </w:rPr>
        <w:t xml:space="preserve">, </w:t>
      </w: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>Panevėžio kolegija, Al</w:t>
      </w:r>
      <w:r w:rsidR="006C7BA2">
        <w:rPr>
          <w:rFonts w:ascii="Times New Roman" w:eastAsia="Times New Roman" w:hAnsi="Times New Roman"/>
          <w:sz w:val="24"/>
          <w:szCs w:val="24"/>
          <w:lang w:eastAsia="ar-SA"/>
        </w:rPr>
        <w:t xml:space="preserve">fonso Lipniūno kultūros centras, </w:t>
      </w:r>
      <w:r w:rsidR="006C7BA2" w:rsidRPr="006137BF">
        <w:rPr>
          <w:rFonts w:ascii="Times New Roman" w:hAnsi="Times New Roman"/>
          <w:sz w:val="24"/>
          <w:szCs w:val="24"/>
        </w:rPr>
        <w:t xml:space="preserve">Landborgen grundskola i Helsingborg. </w:t>
      </w: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Lopšelis-darželis „Smalsutis“ akredituotas kaip Europos savanorių tarnybos savanorius priimanti organizacija ir jau </w:t>
      </w:r>
      <w:r w:rsidR="006C7BA2">
        <w:rPr>
          <w:rFonts w:ascii="Times New Roman" w:eastAsia="Times New Roman" w:hAnsi="Times New Roman"/>
          <w:sz w:val="24"/>
          <w:szCs w:val="24"/>
          <w:lang w:val="en-US" w:eastAsia="ar-SA"/>
        </w:rPr>
        <w:t>5</w:t>
      </w: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m. lopšelyje-darželyje dirba savanoriai.</w:t>
      </w:r>
    </w:p>
    <w:p w:rsidR="008A5E74" w:rsidRPr="008D0A11" w:rsidRDefault="008A5E74" w:rsidP="002E0C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D0A11">
        <w:rPr>
          <w:rFonts w:ascii="Times New Roman" w:eastAsia="Times New Roman" w:hAnsi="Times New Roman"/>
          <w:sz w:val="24"/>
          <w:szCs w:val="24"/>
          <w:lang w:eastAsia="ar-SA"/>
        </w:rPr>
        <w:t>1.2. Vadybinės veiklos pasiekimai, įsimintini sėkmės atvejai.</w:t>
      </w:r>
    </w:p>
    <w:p w:rsidR="008D0A11" w:rsidRPr="008D0A11" w:rsidRDefault="008D0A11" w:rsidP="002E0CBA">
      <w:pPr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8D0A11">
        <w:rPr>
          <w:rFonts w:ascii="Times New Roman" w:hAnsi="Times New Roman"/>
          <w:sz w:val="24"/>
          <w:szCs w:val="24"/>
        </w:rPr>
        <w:t xml:space="preserve">Dalijimasis vadybine patirtimi su </w:t>
      </w:r>
      <w:r w:rsidR="008633C7">
        <w:rPr>
          <w:rFonts w:ascii="Times New Roman" w:hAnsi="Times New Roman"/>
          <w:sz w:val="24"/>
          <w:szCs w:val="24"/>
        </w:rPr>
        <w:t>šalie</w:t>
      </w:r>
      <w:r w:rsidRPr="008D0A11">
        <w:rPr>
          <w:rFonts w:ascii="Times New Roman" w:hAnsi="Times New Roman"/>
          <w:sz w:val="24"/>
          <w:szCs w:val="24"/>
        </w:rPr>
        <w:t>s ikimokyklini</w:t>
      </w:r>
      <w:r w:rsidR="008633C7">
        <w:rPr>
          <w:rFonts w:ascii="Times New Roman" w:hAnsi="Times New Roman"/>
          <w:sz w:val="24"/>
          <w:szCs w:val="24"/>
        </w:rPr>
        <w:t>o</w:t>
      </w:r>
      <w:r w:rsidRPr="008D0A11">
        <w:rPr>
          <w:rFonts w:ascii="Times New Roman" w:hAnsi="Times New Roman"/>
          <w:sz w:val="24"/>
          <w:szCs w:val="24"/>
        </w:rPr>
        <w:t xml:space="preserve"> ugdymo įstaigų vadovais. Organizuota gerosios patirties sklaida rajono pedagogams</w:t>
      </w:r>
      <w:r w:rsidR="008633C7">
        <w:rPr>
          <w:rFonts w:ascii="Times New Roman" w:hAnsi="Times New Roman"/>
          <w:sz w:val="24"/>
          <w:szCs w:val="24"/>
        </w:rPr>
        <w:t>,</w:t>
      </w:r>
      <w:r w:rsidRPr="008D0A11">
        <w:rPr>
          <w:rFonts w:ascii="Times New Roman" w:hAnsi="Times New Roman"/>
          <w:sz w:val="24"/>
          <w:szCs w:val="24"/>
        </w:rPr>
        <w:t xml:space="preserve"> turintiems darbo stažą iki 5 metų. Rengti seminarai visiems rajono pedagogams. Įgyvendinti trys finansuojami projektai. Maksimaliai įgyvendinti iškelti 2019 m. veiklos tikslai ir uždaviniai. </w:t>
      </w:r>
    </w:p>
    <w:p w:rsidR="008A5E74" w:rsidRPr="008A5E74" w:rsidRDefault="008A5E74" w:rsidP="002E0C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sz w:val="24"/>
          <w:szCs w:val="24"/>
          <w:lang w:eastAsia="ar-SA"/>
        </w:rPr>
        <w:t>1.3. Darbuotojai:</w:t>
      </w:r>
    </w:p>
    <w:tbl>
      <w:tblPr>
        <w:tblW w:w="949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89"/>
        <w:gridCol w:w="6694"/>
        <w:gridCol w:w="1814"/>
      </w:tblGrid>
      <w:tr w:rsidR="008A5E74" w:rsidRPr="008A5E74" w:rsidTr="008B1380">
        <w:trPr>
          <w:trHeight w:val="3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Eil.</w:t>
            </w:r>
            <w:r w:rsidR="008633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</w:t>
            </w:r>
            <w:r w:rsidR="008A5E74"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m. gruodžio 31 d.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Bendras darbuotojų skaičius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29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Pedagoginių darbuotojų skaičius: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vadovai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2E0CBA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mokytojai (pagrindinės pareigos)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9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mokytojai (nepagrindinės pareigos)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Atestuotų pedagoginių darbuotojų skaičius: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10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turinčių eksperto kvalifikacinę kategoriją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-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turinčių mokytojo metodininko kvalifikacinę kategoriją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4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turinčių vyresniojo mokytojo kvalifikacinę kategoriją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turinčių mokytojo kvalifikacinę kategoriją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5</w:t>
            </w:r>
          </w:p>
        </w:tc>
      </w:tr>
      <w:tr w:rsidR="008A5E74" w:rsidRPr="008A5E74" w:rsidTr="008B138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Neatestuotų pedagoginių darbuotojų skaičius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2E0CBA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1</w:t>
            </w:r>
          </w:p>
        </w:tc>
      </w:tr>
    </w:tbl>
    <w:p w:rsidR="008A5E74" w:rsidRPr="008A5E74" w:rsidRDefault="008A5E74" w:rsidP="008A5E74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/>
          <w:bCs/>
          <w:color w:val="000000"/>
          <w:kern w:val="2"/>
          <w:sz w:val="24"/>
          <w:szCs w:val="24"/>
          <w:shd w:val="clear" w:color="auto" w:fill="FFFFFF"/>
          <w:lang w:eastAsia="ar-SA"/>
        </w:rPr>
      </w:pPr>
    </w:p>
    <w:p w:rsidR="002E0CBA" w:rsidRPr="002E0CBA" w:rsidRDefault="002E0CBA" w:rsidP="002E0CBA">
      <w:pPr>
        <w:suppressLineNumbers/>
        <w:tabs>
          <w:tab w:val="left" w:pos="851"/>
          <w:tab w:val="center" w:pos="4153"/>
          <w:tab w:val="right" w:pos="8306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2E0CBA"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          </w:t>
      </w:r>
      <w:r w:rsidR="008A5E74" w:rsidRPr="002E0CBA"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1.4. Metinio veiklos plano įgyvendinimas.</w:t>
      </w:r>
    </w:p>
    <w:p w:rsidR="002E0CBA" w:rsidRPr="002E0CBA" w:rsidRDefault="008633C7" w:rsidP="002E0CBA">
      <w:pPr>
        <w:suppressLineNumbers/>
        <w:tabs>
          <w:tab w:val="left" w:pos="851"/>
          <w:tab w:val="center" w:pos="4153"/>
          <w:tab w:val="right" w:pos="8306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        </w:t>
      </w:r>
      <w:r w:rsidR="00CF2945" w:rsidRPr="002E0CBA">
        <w:rPr>
          <w:rFonts w:ascii="Times New Roman" w:eastAsia="Times New Roman" w:hAnsi="Times New Roman"/>
          <w:bCs/>
          <w:sz w:val="24"/>
          <w:szCs w:val="24"/>
          <w:lang w:eastAsia="lt-LT"/>
        </w:rPr>
        <w:t>1 tikslas</w:t>
      </w:r>
      <w:r w:rsidR="008A5E74" w:rsidRPr="002E0CBA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: </w:t>
      </w:r>
      <w:r w:rsidR="002E0CBA" w:rsidRPr="002E0CBA">
        <w:rPr>
          <w:rFonts w:ascii="Times New Roman" w:hAnsi="Times New Roman"/>
          <w:sz w:val="24"/>
          <w:szCs w:val="24"/>
        </w:rPr>
        <w:t xml:space="preserve">Patobulinti ugdymo kokybę, 90 proc. skiriant vaikų </w:t>
      </w:r>
      <w:r>
        <w:rPr>
          <w:rFonts w:ascii="Times New Roman" w:hAnsi="Times New Roman"/>
          <w:sz w:val="24"/>
          <w:szCs w:val="24"/>
        </w:rPr>
        <w:t xml:space="preserve">ugdymui </w:t>
      </w:r>
      <w:r w:rsidR="002E0CBA" w:rsidRPr="002E0CBA">
        <w:rPr>
          <w:rFonts w:ascii="Times New Roman" w:hAnsi="Times New Roman"/>
          <w:sz w:val="24"/>
          <w:szCs w:val="24"/>
        </w:rPr>
        <w:t>individualiz</w:t>
      </w:r>
      <w:r>
        <w:rPr>
          <w:rFonts w:ascii="Times New Roman" w:hAnsi="Times New Roman"/>
          <w:sz w:val="24"/>
          <w:szCs w:val="24"/>
        </w:rPr>
        <w:t>uot</w:t>
      </w:r>
      <w:r w:rsidR="002E0CBA" w:rsidRPr="002E0CBA">
        <w:rPr>
          <w:rFonts w:ascii="Times New Roman" w:hAnsi="Times New Roman"/>
          <w:sz w:val="24"/>
          <w:szCs w:val="24"/>
        </w:rPr>
        <w:t xml:space="preserve">i, kuriant saugias edukacines erdves, integruojant naujas ugdymo programas. Uždavinys: </w:t>
      </w:r>
      <w:r>
        <w:rPr>
          <w:rFonts w:ascii="Times New Roman" w:hAnsi="Times New Roman"/>
          <w:sz w:val="24"/>
          <w:szCs w:val="24"/>
        </w:rPr>
        <w:t>k</w:t>
      </w:r>
      <w:r w:rsidR="002E0CBA" w:rsidRPr="002E0CBA">
        <w:rPr>
          <w:rFonts w:ascii="Times New Roman" w:hAnsi="Times New Roman"/>
          <w:sz w:val="24"/>
          <w:szCs w:val="24"/>
        </w:rPr>
        <w:t xml:space="preserve">urti naujas edukacines erdves ir papildyti vidaus ir išorės erdves. Pasiektas maksimalus laukiamas rezultatas: </w:t>
      </w:r>
      <w:r>
        <w:rPr>
          <w:rFonts w:ascii="Times New Roman" w:hAnsi="Times New Roman"/>
          <w:sz w:val="24"/>
          <w:szCs w:val="24"/>
        </w:rPr>
        <w:t>s</w:t>
      </w:r>
      <w:r w:rsidR="002E0CBA" w:rsidRPr="002E0CBA">
        <w:rPr>
          <w:rFonts w:ascii="Times New Roman" w:hAnsi="Times New Roman"/>
          <w:sz w:val="24"/>
          <w:szCs w:val="24"/>
        </w:rPr>
        <w:t xml:space="preserve">ukurtos 3 edukacinės erdvės kieme. Kiekvienoje grupėje 50 proc. </w:t>
      </w:r>
      <w:r w:rsidRPr="002E0CBA">
        <w:rPr>
          <w:rFonts w:ascii="Times New Roman" w:hAnsi="Times New Roman"/>
          <w:sz w:val="24"/>
          <w:szCs w:val="24"/>
        </w:rPr>
        <w:t xml:space="preserve">atnaujintos priemonės </w:t>
      </w:r>
      <w:r w:rsidR="00F40D05">
        <w:rPr>
          <w:rFonts w:ascii="Times New Roman" w:hAnsi="Times New Roman"/>
          <w:sz w:val="24"/>
          <w:szCs w:val="24"/>
        </w:rPr>
        <w:br/>
      </w:r>
      <w:r w:rsidR="002E0CBA" w:rsidRPr="002E0CBA">
        <w:rPr>
          <w:rFonts w:ascii="Times New Roman" w:hAnsi="Times New Roman"/>
          <w:sz w:val="24"/>
          <w:szCs w:val="24"/>
        </w:rPr>
        <w:t>2 edukacin</w:t>
      </w:r>
      <w:r>
        <w:rPr>
          <w:rFonts w:ascii="Times New Roman" w:hAnsi="Times New Roman"/>
          <w:sz w:val="24"/>
          <w:szCs w:val="24"/>
        </w:rPr>
        <w:t>ėse</w:t>
      </w:r>
      <w:r w:rsidR="002E0CBA" w:rsidRPr="002E0CBA">
        <w:rPr>
          <w:rFonts w:ascii="Times New Roman" w:hAnsi="Times New Roman"/>
          <w:sz w:val="24"/>
          <w:szCs w:val="24"/>
        </w:rPr>
        <w:t xml:space="preserve"> erdv</w:t>
      </w:r>
      <w:r>
        <w:rPr>
          <w:rFonts w:ascii="Times New Roman" w:hAnsi="Times New Roman"/>
          <w:sz w:val="24"/>
          <w:szCs w:val="24"/>
        </w:rPr>
        <w:t>ėse</w:t>
      </w:r>
      <w:r w:rsidR="002E0CBA" w:rsidRPr="002E0CBA">
        <w:rPr>
          <w:rFonts w:ascii="Times New Roman" w:hAnsi="Times New Roman"/>
          <w:sz w:val="24"/>
          <w:szCs w:val="24"/>
        </w:rPr>
        <w:t>. Įrengta 1 nauja vidaus edukacinė erdvė.</w:t>
      </w:r>
    </w:p>
    <w:p w:rsidR="002E0CBA" w:rsidRDefault="008633C7" w:rsidP="003E0940">
      <w:pPr>
        <w:pStyle w:val="ListParagraph"/>
        <w:tabs>
          <w:tab w:val="left" w:pos="360"/>
        </w:tabs>
        <w:suppressAutoHyphens w:val="0"/>
        <w:ind w:left="0"/>
        <w:jc w:val="both"/>
      </w:pPr>
      <w:r>
        <w:t xml:space="preserve">            </w:t>
      </w:r>
      <w:r w:rsidR="002E0CBA" w:rsidRPr="003E0940">
        <w:t xml:space="preserve">2 </w:t>
      </w:r>
      <w:r w:rsidR="003E0940">
        <w:t>tikslas</w:t>
      </w:r>
      <w:r w:rsidR="002E0CBA" w:rsidRPr="003E0940">
        <w:t xml:space="preserve">: </w:t>
      </w:r>
      <w:r>
        <w:t>v</w:t>
      </w:r>
      <w:r w:rsidR="002E0CBA" w:rsidRPr="003E0940">
        <w:t>aikų fizinės ir psichinės sveikatos stiprinimas pritaikant aplinką ir gerinant, plečiant materialin</w:t>
      </w:r>
      <w:r>
        <w:t>ius išteklius</w:t>
      </w:r>
      <w:r w:rsidR="002E0CBA" w:rsidRPr="000D717D">
        <w:t xml:space="preserve">, šviečiant </w:t>
      </w:r>
      <w:r>
        <w:t>lopšelio-</w:t>
      </w:r>
      <w:r w:rsidR="002E0CBA" w:rsidRPr="000D717D">
        <w:t>darželio bendruomenę</w:t>
      </w:r>
      <w:r w:rsidR="002E0CBA">
        <w:t>. Uždavinys:</w:t>
      </w:r>
      <w:r w:rsidR="002E0CBA" w:rsidRPr="000D717D">
        <w:t xml:space="preserve"> </w:t>
      </w:r>
      <w:r>
        <w:t>p</w:t>
      </w:r>
      <w:r w:rsidR="002E0CBA" w:rsidRPr="00760D90">
        <w:t>ritaikyti aplinką vaikų sveikatinimui</w:t>
      </w:r>
      <w:r w:rsidR="002E0CBA">
        <w:t>. Pasiektas maksimalus laukiamas rezultatas: 9</w:t>
      </w:r>
      <w:r w:rsidR="002E0CBA" w:rsidRPr="00AB12C9">
        <w:t xml:space="preserve">0 proc. </w:t>
      </w:r>
      <w:r w:rsidR="002E0CBA">
        <w:t xml:space="preserve">lopšelio-darželio </w:t>
      </w:r>
      <w:r w:rsidR="002E0CBA">
        <w:lastRenderedPageBreak/>
        <w:t>aplinka, priemonės atitinka higienos reikalavimus. 90 proc. vaikų dalyvauja projektuose, kuriuose stiprinamas vaikų visapusiškas sveikatingumas. Sukurtos 2 naujos, vaikų judėjimą skatinančios erdvės.</w:t>
      </w:r>
    </w:p>
    <w:p w:rsidR="002E0CBA" w:rsidRPr="003E0940" w:rsidRDefault="008633C7" w:rsidP="003E0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E0CBA" w:rsidRPr="003E09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3E0940">
        <w:rPr>
          <w:rFonts w:ascii="Times New Roman" w:hAnsi="Times New Roman"/>
          <w:sz w:val="24"/>
          <w:szCs w:val="24"/>
        </w:rPr>
        <w:t>tikslas</w:t>
      </w:r>
      <w:r w:rsidR="002E0CBA" w:rsidRPr="003E094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n</w:t>
      </w:r>
      <w:r w:rsidR="002E0CBA" w:rsidRPr="003E0940">
        <w:rPr>
          <w:rFonts w:ascii="Times New Roman" w:hAnsi="Times New Roman"/>
          <w:sz w:val="24"/>
          <w:szCs w:val="24"/>
        </w:rPr>
        <w:t xml:space="preserve">aujų edukacinių veiklų organizavimas, bendradarbiaujant su socialiniais partneriais. Uždavinys: </w:t>
      </w:r>
      <w:r>
        <w:rPr>
          <w:rFonts w:ascii="Times New Roman" w:hAnsi="Times New Roman"/>
          <w:sz w:val="24"/>
          <w:szCs w:val="24"/>
        </w:rPr>
        <w:t>i</w:t>
      </w:r>
      <w:r w:rsidR="002E0CBA" w:rsidRPr="003E0940">
        <w:rPr>
          <w:rFonts w:ascii="Times New Roman" w:hAnsi="Times New Roman"/>
          <w:sz w:val="24"/>
          <w:szCs w:val="24"/>
        </w:rPr>
        <w:t>eškoti naujų socialinių partnerių. Pasiektas maksimalus laukiamas rezultatas:</w:t>
      </w:r>
      <w:r w:rsidR="002E0CBA" w:rsidRPr="003E0940">
        <w:rPr>
          <w:rFonts w:ascii="Times New Roman" w:hAnsi="Times New Roman"/>
        </w:rPr>
        <w:t xml:space="preserve"> </w:t>
      </w:r>
      <w:r w:rsidR="002E0CBA" w:rsidRPr="003E0940">
        <w:rPr>
          <w:rFonts w:ascii="Times New Roman" w:hAnsi="Times New Roman"/>
          <w:sz w:val="24"/>
          <w:szCs w:val="24"/>
        </w:rPr>
        <w:t>sudarytos 3 sutartys su socialiniais partneriais. Susitarta dėl bendradarbiavimo prioritetinių sričių.</w:t>
      </w:r>
    </w:p>
    <w:p w:rsidR="008A5E74" w:rsidRPr="00A73083" w:rsidRDefault="008633C7" w:rsidP="008B1380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          </w:t>
      </w:r>
      <w:r w:rsidR="008A5E74" w:rsidRPr="008A5E74"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1.5. Veiklos kokybės įsivertinimas.</w:t>
      </w:r>
    </w:p>
    <w:p w:rsidR="008B1380" w:rsidRDefault="008633C7" w:rsidP="008B1380">
      <w:pPr>
        <w:pStyle w:val="ListParagraph"/>
        <w:ind w:left="0"/>
        <w:jc w:val="both"/>
        <w:rPr>
          <w:rFonts w:eastAsia="Calibri" w:cs="Times New Roman"/>
          <w:lang w:val="pt-BR"/>
        </w:rPr>
      </w:pPr>
      <w:r>
        <w:rPr>
          <w:rFonts w:cs="Times New Roman"/>
        </w:rPr>
        <w:t xml:space="preserve">            </w:t>
      </w:r>
      <w:r w:rsidR="003E0940" w:rsidRPr="00D70C1C">
        <w:rPr>
          <w:rFonts w:cs="Times New Roman"/>
        </w:rPr>
        <w:t>2019</w:t>
      </w:r>
      <w:r w:rsidR="003E0940">
        <w:rPr>
          <w:rFonts w:cs="Times New Roman"/>
        </w:rPr>
        <w:t xml:space="preserve"> m.</w:t>
      </w:r>
      <w:r w:rsidR="003E0940" w:rsidRPr="00D70C1C">
        <w:rPr>
          <w:rFonts w:cs="Times New Roman"/>
        </w:rPr>
        <w:t xml:space="preserve"> buvo analizuojama vaiko ugdymąsi skatinanti aplinka</w:t>
      </w:r>
      <w:r w:rsidR="003E0940">
        <w:rPr>
          <w:rFonts w:cs="Times New Roman"/>
        </w:rPr>
        <w:t>. Vaikų ugdymas neatsiejamas nuo įstaigoje vykstančių renginių</w:t>
      </w:r>
      <w:r>
        <w:rPr>
          <w:rFonts w:cs="Times New Roman"/>
          <w:color w:val="000000"/>
        </w:rPr>
        <w:t>,</w:t>
      </w:r>
      <w:r w:rsidR="003E0940">
        <w:rPr>
          <w:rFonts w:cs="Times New Roman"/>
          <w:color w:val="000000"/>
        </w:rPr>
        <w:t xml:space="preserve"> kuriuose dalyvauja visa </w:t>
      </w:r>
      <w:r>
        <w:rPr>
          <w:rFonts w:cs="Times New Roman"/>
          <w:color w:val="000000"/>
        </w:rPr>
        <w:t>lopšelio-</w:t>
      </w:r>
      <w:r w:rsidR="003E0940">
        <w:rPr>
          <w:rFonts w:cs="Times New Roman"/>
          <w:color w:val="000000"/>
        </w:rPr>
        <w:t>darželio bendruomenė. K</w:t>
      </w:r>
      <w:r w:rsidR="003E0940" w:rsidRPr="00D550D5">
        <w:rPr>
          <w:rFonts w:cs="Times New Roman"/>
          <w:color w:val="000000"/>
        </w:rPr>
        <w:t xml:space="preserve">ai kurie </w:t>
      </w:r>
      <w:r w:rsidR="003E0940">
        <w:rPr>
          <w:rFonts w:cs="Times New Roman"/>
          <w:color w:val="000000"/>
        </w:rPr>
        <w:t>renginiai tapo tradicija,</w:t>
      </w:r>
      <w:r w:rsidR="003E0940" w:rsidRPr="00D550D5">
        <w:rPr>
          <w:rFonts w:cs="Times New Roman"/>
          <w:color w:val="000000"/>
        </w:rPr>
        <w:t xml:space="preserve"> atitinka bendruomenės narių poreikius, atskleidžia įstaigos savitumą. </w:t>
      </w:r>
      <w:r w:rsidR="003E0940">
        <w:rPr>
          <w:rFonts w:cs="Times New Roman"/>
          <w:color w:val="000000"/>
        </w:rPr>
        <w:t xml:space="preserve">Su vaiko ugdymusi taip pat susijusi </w:t>
      </w:r>
      <w:r>
        <w:rPr>
          <w:rFonts w:cs="Times New Roman"/>
          <w:color w:val="000000"/>
        </w:rPr>
        <w:t>lopšelio-</w:t>
      </w:r>
      <w:r w:rsidR="003E0940">
        <w:rPr>
          <w:rFonts w:cs="Times New Roman"/>
          <w:color w:val="000000"/>
        </w:rPr>
        <w:t xml:space="preserve">darželio sveikatos politika. </w:t>
      </w:r>
      <w:r>
        <w:rPr>
          <w:rFonts w:eastAsia="Calibri" w:cs="Times New Roman"/>
          <w:lang w:val="pt-BR"/>
        </w:rPr>
        <w:t>Lopšelyje-d</w:t>
      </w:r>
      <w:r w:rsidR="003E0940" w:rsidRPr="00D70C1C">
        <w:rPr>
          <w:rFonts w:eastAsia="Calibri" w:cs="Times New Roman"/>
          <w:lang w:val="pt-BR"/>
        </w:rPr>
        <w:t xml:space="preserve">arželyje didelis dėmesys skiriamas </w:t>
      </w:r>
      <w:r>
        <w:rPr>
          <w:rFonts w:eastAsia="Calibri" w:cs="Times New Roman"/>
          <w:lang w:val="pt-BR"/>
        </w:rPr>
        <w:t>vis</w:t>
      </w:r>
      <w:r w:rsidR="003E0940" w:rsidRPr="00D70C1C">
        <w:rPr>
          <w:rFonts w:eastAsia="Calibri" w:cs="Times New Roman"/>
          <w:lang w:val="pt-BR"/>
        </w:rPr>
        <w:t>avertei mityba, t.</w:t>
      </w:r>
      <w:r>
        <w:rPr>
          <w:rFonts w:eastAsia="Calibri" w:cs="Times New Roman"/>
          <w:lang w:val="pt-BR"/>
        </w:rPr>
        <w:t xml:space="preserve"> </w:t>
      </w:r>
      <w:r w:rsidR="008B1380">
        <w:rPr>
          <w:rFonts w:eastAsia="Calibri" w:cs="Times New Roman"/>
          <w:lang w:val="pt-BR"/>
        </w:rPr>
        <w:t>y</w:t>
      </w:r>
      <w:r>
        <w:rPr>
          <w:rFonts w:eastAsia="Calibri" w:cs="Times New Roman"/>
          <w:lang w:val="pt-BR"/>
        </w:rPr>
        <w:t>.</w:t>
      </w:r>
      <w:r w:rsidR="003E0940" w:rsidRPr="00D70C1C">
        <w:rPr>
          <w:rFonts w:eastAsia="Calibri" w:cs="Times New Roman"/>
          <w:lang w:val="pt-BR"/>
        </w:rPr>
        <w:t xml:space="preserve"> pienas vaikams ir vaisiai ištisus metus</w:t>
      </w:r>
      <w:r w:rsidR="003E0940">
        <w:rPr>
          <w:rFonts w:eastAsia="Calibri" w:cs="Times New Roman"/>
          <w:lang w:val="pt-BR"/>
        </w:rPr>
        <w:t>; t</w:t>
      </w:r>
      <w:r w:rsidR="003E0940" w:rsidRPr="00D70C1C">
        <w:rPr>
          <w:rFonts w:eastAsia="Calibri" w:cs="Times New Roman"/>
          <w:lang w:val="pt-BR"/>
        </w:rPr>
        <w:t>ausojantis meniu, spo</w:t>
      </w:r>
      <w:r w:rsidR="003E0940">
        <w:rPr>
          <w:rFonts w:eastAsia="Calibri" w:cs="Times New Roman"/>
          <w:lang w:val="pt-BR"/>
        </w:rPr>
        <w:t xml:space="preserve">rto treniruotės pagal programą </w:t>
      </w:r>
      <w:r w:rsidR="003E0940">
        <w:rPr>
          <w:rFonts w:eastAsia="Calibri" w:cs="Times New Roman"/>
        </w:rPr>
        <w:t>„</w:t>
      </w:r>
      <w:r w:rsidR="003E0940" w:rsidRPr="00D70C1C">
        <w:rPr>
          <w:rFonts w:eastAsia="Calibri" w:cs="Times New Roman"/>
          <w:lang w:val="pt-BR"/>
        </w:rPr>
        <w:t>Augu sveikas ir žvalus</w:t>
      </w:r>
      <w:r>
        <w:rPr>
          <w:rFonts w:eastAsia="Calibri" w:cs="Times New Roman"/>
          <w:lang w:val="pt-BR"/>
        </w:rPr>
        <w:t>“</w:t>
      </w:r>
      <w:r w:rsidR="003E0940">
        <w:rPr>
          <w:rFonts w:eastAsia="Calibri" w:cs="Times New Roman"/>
          <w:lang w:val="pt-BR"/>
        </w:rPr>
        <w:t xml:space="preserve">, psichologo diena, projektas </w:t>
      </w:r>
      <w:r w:rsidR="003E0940">
        <w:rPr>
          <w:rFonts w:eastAsia="Calibri" w:cs="Times New Roman"/>
        </w:rPr>
        <w:t>„</w:t>
      </w:r>
      <w:r w:rsidR="003E0940" w:rsidRPr="00D70C1C">
        <w:rPr>
          <w:rFonts w:eastAsia="Calibri" w:cs="Times New Roman"/>
          <w:lang w:val="pt-BR"/>
        </w:rPr>
        <w:t>Olimpinė karta</w:t>
      </w:r>
      <w:r>
        <w:rPr>
          <w:rFonts w:eastAsia="Calibri" w:cs="Times New Roman"/>
          <w:lang w:val="pt-BR"/>
        </w:rPr>
        <w:t>“</w:t>
      </w:r>
      <w:r w:rsidR="003E0940" w:rsidRPr="00D70C1C">
        <w:rPr>
          <w:rFonts w:eastAsia="Calibri" w:cs="Times New Roman"/>
          <w:lang w:val="pt-BR"/>
        </w:rPr>
        <w:t>, judesio korekcijos specialisto užsiėmimai, visuomenės sveikatos specialisto programa, krepšinio užsiėmimai, šokių repeticijos.</w:t>
      </w:r>
      <w:r w:rsidR="003E0940">
        <w:rPr>
          <w:rFonts w:eastAsia="Calibri" w:cs="Times New Roman"/>
          <w:lang w:val="pt-BR"/>
        </w:rPr>
        <w:t xml:space="preserve"> Su vaikų ugdymu tiesiogiai susiję pedagogai</w:t>
      </w:r>
      <w:r>
        <w:rPr>
          <w:rFonts w:eastAsia="Calibri" w:cs="Times New Roman"/>
          <w:lang w:val="pt-BR"/>
        </w:rPr>
        <w:t>,</w:t>
      </w:r>
      <w:r w:rsidR="003E0940">
        <w:rPr>
          <w:rFonts w:eastAsia="Calibri" w:cs="Times New Roman"/>
          <w:lang w:val="pt-BR"/>
        </w:rPr>
        <w:t xml:space="preserve"> nuo kurių kvalifikacijos priklauso ugdymo kokybė, todėl </w:t>
      </w:r>
      <w:r w:rsidR="008B1380">
        <w:rPr>
          <w:rFonts w:eastAsia="Calibri" w:cs="Times New Roman"/>
          <w:lang w:val="pt-BR"/>
        </w:rPr>
        <w:br/>
      </w:r>
      <w:r w:rsidR="003E0940" w:rsidRPr="00D70C1C">
        <w:rPr>
          <w:rFonts w:eastAsia="Calibri" w:cs="Times New Roman"/>
          <w:lang w:val="pt-BR"/>
        </w:rPr>
        <w:t>100 proc</w:t>
      </w:r>
      <w:r>
        <w:rPr>
          <w:rFonts w:eastAsia="Calibri" w:cs="Times New Roman"/>
          <w:lang w:val="pt-BR"/>
        </w:rPr>
        <w:t>.</w:t>
      </w:r>
      <w:r w:rsidR="003E0940" w:rsidRPr="00D70C1C">
        <w:rPr>
          <w:rFonts w:eastAsia="Calibri" w:cs="Times New Roman"/>
          <w:lang w:val="pt-BR"/>
        </w:rPr>
        <w:t xml:space="preserve"> pedagogų nuolat kelia kvalifikaciją kvalifikacijos tobulinimo renginiuose, seminaruose, konferencijose, tarptautiniuose projektuose, pasidalinimuose gerąja patirtimi, edukacinėse išvykose, tarptautiniuose mokymuose, tarptautinėse konferencijose, specialistų konsultacijose. Kvalifikacijos tobulinimo metu įgytos žinios nuolat pritaikomos darbe. </w:t>
      </w:r>
      <w:r>
        <w:rPr>
          <w:rFonts w:eastAsia="Calibri" w:cs="Times New Roman"/>
          <w:lang w:val="pt-BR"/>
        </w:rPr>
        <w:t>Lopšelyje-d</w:t>
      </w:r>
      <w:r w:rsidR="003E0940" w:rsidRPr="00D70C1C">
        <w:rPr>
          <w:rFonts w:eastAsia="Calibri" w:cs="Times New Roman"/>
          <w:lang w:val="pt-BR"/>
        </w:rPr>
        <w:t>arželyje sudarytos visos galimybės tobulėti.</w:t>
      </w:r>
      <w:r w:rsidR="003E0940">
        <w:rPr>
          <w:rFonts w:eastAsia="Calibri" w:cs="Times New Roman"/>
          <w:lang w:val="pt-BR"/>
        </w:rPr>
        <w:t xml:space="preserve"> Visą dieną vaikai praleidžia </w:t>
      </w:r>
      <w:r>
        <w:rPr>
          <w:rFonts w:eastAsia="Calibri" w:cs="Times New Roman"/>
          <w:lang w:val="pt-BR"/>
        </w:rPr>
        <w:t>lopšelio-</w:t>
      </w:r>
      <w:r w:rsidR="003E0940">
        <w:rPr>
          <w:rFonts w:eastAsia="Calibri" w:cs="Times New Roman"/>
          <w:lang w:val="pt-BR"/>
        </w:rPr>
        <w:t>darželio aplinkoje, todėl labai sv</w:t>
      </w:r>
      <w:r>
        <w:rPr>
          <w:rFonts w:eastAsia="Calibri" w:cs="Times New Roman"/>
          <w:lang w:val="pt-BR"/>
        </w:rPr>
        <w:t>a</w:t>
      </w:r>
      <w:r w:rsidR="003E0940">
        <w:rPr>
          <w:rFonts w:eastAsia="Calibri" w:cs="Times New Roman"/>
          <w:lang w:val="pt-BR"/>
        </w:rPr>
        <w:t>rbios ugdymuisi vidaus ir lauko erdvės. Sukurtos</w:t>
      </w:r>
      <w:r w:rsidR="003E0940" w:rsidRPr="00D70C1C">
        <w:rPr>
          <w:rFonts w:eastAsia="Calibri" w:cs="Times New Roman"/>
          <w:lang w:val="pt-BR"/>
        </w:rPr>
        <w:t xml:space="preserve"> ir dar kuriamos naujos erdvės </w:t>
      </w:r>
      <w:r>
        <w:rPr>
          <w:rFonts w:eastAsia="Calibri" w:cs="Times New Roman"/>
          <w:lang w:val="pt-BR"/>
        </w:rPr>
        <w:t>lopšelio-</w:t>
      </w:r>
      <w:r w:rsidR="003E0940" w:rsidRPr="00D70C1C">
        <w:rPr>
          <w:rFonts w:eastAsia="Calibri" w:cs="Times New Roman"/>
          <w:lang w:val="pt-BR"/>
        </w:rPr>
        <w:t>darželio kieme ir viduje</w:t>
      </w:r>
      <w:r w:rsidR="003E0940">
        <w:rPr>
          <w:rFonts w:eastAsia="Calibri" w:cs="Times New Roman"/>
          <w:lang w:val="pt-BR"/>
        </w:rPr>
        <w:t>. Aplinka pildoma įvairiomis vaikų amžių atitinkančiomis priemonėmis. Norėdamos išanalizuoti vaikų ugdymo pasiektus rezultatus mokytojos atlieka vaikų vertinimą. Apie rezultatus praneša tėvams</w:t>
      </w:r>
      <w:r>
        <w:rPr>
          <w:rFonts w:eastAsia="Calibri" w:cs="Times New Roman"/>
          <w:lang w:val="pt-BR"/>
        </w:rPr>
        <w:t xml:space="preserve"> (globėjams)</w:t>
      </w:r>
      <w:r w:rsidR="003E0940">
        <w:rPr>
          <w:rFonts w:eastAsia="Calibri" w:cs="Times New Roman"/>
          <w:lang w:val="pt-BR"/>
        </w:rPr>
        <w:t xml:space="preserve"> individualių pokalbių metu. </w:t>
      </w:r>
      <w:r w:rsidR="003E0940" w:rsidRPr="00D70C1C">
        <w:rPr>
          <w:rFonts w:eastAsia="Calibri" w:cs="Times New Roman"/>
          <w:lang w:val="pt-BR"/>
        </w:rPr>
        <w:t>Pe</w:t>
      </w:r>
      <w:r w:rsidR="003E0940">
        <w:rPr>
          <w:rFonts w:eastAsia="Calibri" w:cs="Times New Roman"/>
          <w:lang w:val="pt-BR"/>
        </w:rPr>
        <w:t xml:space="preserve">dagogai ir tėvai </w:t>
      </w:r>
      <w:r>
        <w:rPr>
          <w:rFonts w:eastAsia="Calibri" w:cs="Times New Roman"/>
          <w:lang w:val="pt-BR"/>
        </w:rPr>
        <w:t xml:space="preserve">(globėjai) </w:t>
      </w:r>
      <w:r w:rsidR="003E0940" w:rsidRPr="00D70C1C">
        <w:rPr>
          <w:rFonts w:eastAsia="Calibri" w:cs="Times New Roman"/>
          <w:lang w:val="pt-BR"/>
        </w:rPr>
        <w:t>mano, ka</w:t>
      </w:r>
      <w:r w:rsidR="003E0940">
        <w:rPr>
          <w:rFonts w:eastAsia="Calibri" w:cs="Times New Roman"/>
          <w:lang w:val="pt-BR"/>
        </w:rPr>
        <w:t>d daugiausia informacijos</w:t>
      </w:r>
      <w:r w:rsidR="003E0940" w:rsidRPr="00D70C1C">
        <w:rPr>
          <w:rFonts w:eastAsia="Calibri" w:cs="Times New Roman"/>
          <w:lang w:val="pt-BR"/>
        </w:rPr>
        <w:t xml:space="preserve"> apie vaikų pasiekimus suteikia </w:t>
      </w:r>
      <w:r w:rsidR="003E0940" w:rsidRPr="00791657">
        <w:rPr>
          <w:rFonts w:eastAsia="Calibri" w:cs="Times New Roman"/>
          <w:lang w:val="pt-BR"/>
        </w:rPr>
        <w:t>individual</w:t>
      </w:r>
      <w:r w:rsidR="00791657" w:rsidRPr="00791657">
        <w:rPr>
          <w:rFonts w:eastAsia="Calibri" w:cs="Times New Roman"/>
          <w:lang w:val="pt-BR"/>
        </w:rPr>
        <w:t>ū</w:t>
      </w:r>
      <w:r w:rsidR="003E0940" w:rsidRPr="00791657">
        <w:rPr>
          <w:rFonts w:eastAsia="Calibri" w:cs="Times New Roman"/>
          <w:lang w:val="pt-BR"/>
        </w:rPr>
        <w:t xml:space="preserve">s </w:t>
      </w:r>
      <w:r w:rsidR="008B1380">
        <w:rPr>
          <w:rFonts w:eastAsia="Calibri" w:cs="Times New Roman"/>
          <w:lang w:val="pt-BR"/>
        </w:rPr>
        <w:t>pokalbiai.</w:t>
      </w:r>
    </w:p>
    <w:p w:rsidR="003E0940" w:rsidRPr="008B1380" w:rsidRDefault="008B1380" w:rsidP="008B1380">
      <w:pPr>
        <w:pStyle w:val="ListParagraph"/>
        <w:ind w:left="0"/>
        <w:jc w:val="both"/>
        <w:rPr>
          <w:rFonts w:eastAsia="Calibri" w:cs="Times New Roman"/>
          <w:lang w:val="pt-BR"/>
        </w:rPr>
      </w:pPr>
      <w:r>
        <w:rPr>
          <w:rFonts w:eastAsia="Calibri" w:cs="Times New Roman"/>
          <w:lang w:val="pt-BR"/>
        </w:rPr>
        <w:t xml:space="preserve">            </w:t>
      </w:r>
      <w:r w:rsidR="008A5E74" w:rsidRPr="008A5E74">
        <w:t xml:space="preserve">Poreikis keistis: </w:t>
      </w:r>
      <w:r w:rsidR="008633C7">
        <w:rPr>
          <w:rFonts w:cs="Times New Roman"/>
        </w:rPr>
        <w:t>m</w:t>
      </w:r>
      <w:r w:rsidR="003E0940">
        <w:rPr>
          <w:rFonts w:cs="Times New Roman"/>
        </w:rPr>
        <w:t>ankštas šiltuoju sezono metu atlikti lauke, o šaltuoju metu – „Ryto rate“.</w:t>
      </w:r>
      <w:r w:rsidR="008633C7">
        <w:rPr>
          <w:rFonts w:cs="Times New Roman"/>
        </w:rPr>
        <w:t xml:space="preserve"> </w:t>
      </w:r>
      <w:r w:rsidR="003E0940">
        <w:rPr>
          <w:rFonts w:cs="Times New Roman"/>
        </w:rPr>
        <w:t>Visuomenės sveikatos specialisto pamokėles pritaikyti pagal vaikų amžių. Ieškoti galimybės didinti judesio korekcijos specialist</w:t>
      </w:r>
      <w:r w:rsidR="008633C7">
        <w:rPr>
          <w:rFonts w:cs="Times New Roman"/>
        </w:rPr>
        <w:t>o pareigybę</w:t>
      </w:r>
      <w:r w:rsidR="003E0940">
        <w:rPr>
          <w:rFonts w:cs="Times New Roman"/>
        </w:rPr>
        <w:t>, įsteigti vaiko pagalbos specialist</w:t>
      </w:r>
      <w:r w:rsidR="008633C7">
        <w:rPr>
          <w:rFonts w:cs="Times New Roman"/>
        </w:rPr>
        <w:t>ų</w:t>
      </w:r>
      <w:r w:rsidR="003E0940">
        <w:rPr>
          <w:rFonts w:cs="Times New Roman"/>
        </w:rPr>
        <w:t xml:space="preserve"> (spec. pedagogo, psichologo)</w:t>
      </w:r>
      <w:r w:rsidR="008633C7">
        <w:rPr>
          <w:rFonts w:cs="Times New Roman"/>
        </w:rPr>
        <w:t xml:space="preserve"> pareigybes</w:t>
      </w:r>
      <w:r w:rsidR="003E0940">
        <w:rPr>
          <w:rFonts w:cs="Times New Roman"/>
        </w:rPr>
        <w:t xml:space="preserve">. </w:t>
      </w:r>
      <w:r w:rsidR="003E0940" w:rsidRPr="009C0EBE">
        <w:rPr>
          <w:rFonts w:cs="Times New Roman"/>
        </w:rPr>
        <w:t>Ieškoti galimybės</w:t>
      </w:r>
      <w:r w:rsidR="003E0940">
        <w:rPr>
          <w:rFonts w:cs="Times New Roman"/>
        </w:rPr>
        <w:t xml:space="preserve"> bendradarbiauti su užsienio </w:t>
      </w:r>
      <w:r w:rsidR="008633C7">
        <w:rPr>
          <w:rFonts w:cs="Times New Roman"/>
        </w:rPr>
        <w:t>šalių lopšeliais-</w:t>
      </w:r>
      <w:r w:rsidR="003E0940">
        <w:rPr>
          <w:rFonts w:cs="Times New Roman"/>
        </w:rPr>
        <w:t xml:space="preserve">darželiais. Ugdymo erdves papildyti techninėmis vaizdo ir garso, muzikinėmis, teatro priemonėmis; stalo žaidimais, dėlionėmis, konstruktoriais, lauko inventoriumi. Reklamuoti tinklapyje ir internetinėje erdvėje, skelbimų lentose, „facebook“ tradiciškai </w:t>
      </w:r>
      <w:r w:rsidR="008633C7">
        <w:rPr>
          <w:rFonts w:cs="Times New Roman"/>
        </w:rPr>
        <w:t>finansuoja</w:t>
      </w:r>
      <w:r w:rsidR="003E0940">
        <w:rPr>
          <w:rFonts w:cs="Times New Roman"/>
        </w:rPr>
        <w:t>mus vasaros</w:t>
      </w:r>
      <w:r w:rsidR="009804A4">
        <w:rPr>
          <w:rFonts w:cs="Times New Roman"/>
        </w:rPr>
        <w:t xml:space="preserve"> poilsio,</w:t>
      </w:r>
      <w:r w:rsidR="003E0940">
        <w:rPr>
          <w:rFonts w:cs="Times New Roman"/>
        </w:rPr>
        <w:t xml:space="preserve"> socializacijos, sveikatos, sporto projektus. </w:t>
      </w:r>
      <w:r w:rsidR="009804A4">
        <w:rPr>
          <w:rFonts w:cs="Times New Roman"/>
        </w:rPr>
        <w:t>Reng</w:t>
      </w:r>
      <w:r w:rsidR="003E0940">
        <w:rPr>
          <w:rFonts w:cs="Times New Roman"/>
        </w:rPr>
        <w:t>ti tarptautini</w:t>
      </w:r>
      <w:r w:rsidR="009804A4">
        <w:rPr>
          <w:rFonts w:cs="Times New Roman"/>
        </w:rPr>
        <w:t>us</w:t>
      </w:r>
      <w:r w:rsidR="003E0940">
        <w:rPr>
          <w:rFonts w:cs="Times New Roman"/>
        </w:rPr>
        <w:t xml:space="preserve"> projekt</w:t>
      </w:r>
      <w:r w:rsidR="009804A4">
        <w:rPr>
          <w:rFonts w:cs="Times New Roman"/>
        </w:rPr>
        <w:t>us</w:t>
      </w:r>
      <w:r w:rsidR="003E0940">
        <w:rPr>
          <w:rFonts w:cs="Times New Roman"/>
        </w:rPr>
        <w:t xml:space="preserve"> ir gauti galimybę išvykti stažuotis į užsienį. Dalyvauti įvairiose parodose, kviesti į įstaigą firmų atstovus, kur</w:t>
      </w:r>
      <w:r w:rsidR="009804A4">
        <w:rPr>
          <w:rFonts w:cs="Times New Roman"/>
        </w:rPr>
        <w:t>ie</w:t>
      </w:r>
      <w:r w:rsidR="003E0940">
        <w:rPr>
          <w:rFonts w:cs="Times New Roman"/>
        </w:rPr>
        <w:t xml:space="preserve"> pristaty</w:t>
      </w:r>
      <w:r w:rsidR="009804A4">
        <w:rPr>
          <w:rFonts w:cs="Times New Roman"/>
        </w:rPr>
        <w:t>tų</w:t>
      </w:r>
      <w:r w:rsidR="003E0940">
        <w:rPr>
          <w:rFonts w:cs="Times New Roman"/>
        </w:rPr>
        <w:t xml:space="preserve"> naujausias ugdymo priemones. Mokyti tėvus </w:t>
      </w:r>
      <w:r w:rsidR="009804A4">
        <w:rPr>
          <w:rFonts w:cs="Times New Roman"/>
        </w:rPr>
        <w:t xml:space="preserve">(globėjus) </w:t>
      </w:r>
      <w:r w:rsidR="003E0940">
        <w:rPr>
          <w:rFonts w:cs="Times New Roman"/>
        </w:rPr>
        <w:t>savarankiškai analizuoti vaikų darbelius ir gauti kuo daugiau informacijos apie savo vaiko pasiekimus.</w:t>
      </w:r>
    </w:p>
    <w:p w:rsidR="008A5E74" w:rsidRPr="008A5E74" w:rsidRDefault="008A5E74" w:rsidP="008A5E74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/>
          <w:color w:val="000000"/>
          <w:kern w:val="1"/>
          <w:sz w:val="24"/>
          <w:szCs w:val="24"/>
          <w:lang w:val="en-GB" w:eastAsia="ar-SA"/>
        </w:rPr>
      </w:pPr>
    </w:p>
    <w:p w:rsidR="008A5E74" w:rsidRPr="008A5E74" w:rsidRDefault="008A5E74" w:rsidP="008A5E74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  <w:r w:rsidRPr="008A5E74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  <w:t>II. MOKINIAI (VAIKAI)</w:t>
      </w:r>
    </w:p>
    <w:p w:rsidR="008A5E74" w:rsidRPr="008A5E74" w:rsidRDefault="008A5E74" w:rsidP="008A5E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21608C" w:rsidP="008B138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2.1. Mokinių </w:t>
      </w:r>
      <w:r w:rsidR="00CF2945">
        <w:rPr>
          <w:rFonts w:ascii="Times New Roman" w:eastAsia="Times New Roman" w:hAnsi="Times New Roman"/>
          <w:sz w:val="24"/>
          <w:szCs w:val="24"/>
          <w:lang w:eastAsia="ar-SA"/>
        </w:rPr>
        <w:t xml:space="preserve">(vaikų)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skaičius: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8A5E74" w:rsidRPr="008A5E74" w:rsidTr="008A5E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Iš jų specialiųjų ugdymosi poreikių turintys mokiniai</w:t>
            </w:r>
            <w:r w:rsidR="009804A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(vaikai)</w:t>
            </w:r>
          </w:p>
        </w:tc>
      </w:tr>
      <w:tr w:rsidR="008A5E74" w:rsidRPr="008A5E74" w:rsidTr="008A5E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3E0940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8</w:t>
            </w:r>
            <w:r w:rsidR="008A5E74"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3E0940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 w:rsidR="008A5E74" w:rsidRPr="008A5E74" w:rsidTr="008A5E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3E0940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</w:t>
            </w:r>
            <w:r w:rsidR="008A5E74"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8A5E74" w:rsidRPr="008A5E74" w:rsidRDefault="00F40D05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CF294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8A5E74" w:rsidRPr="008A5E74" w:rsidTr="008A5E7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Mokinių</w:t>
            </w:r>
            <w:r w:rsidR="009804A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</w:t>
            </w: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Proc. nuo mokinių </w:t>
            </w:r>
            <w:r w:rsidR="009804A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(vaikų) </w:t>
            </w: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skaičiaus</w:t>
            </w:r>
          </w:p>
        </w:tc>
      </w:tr>
      <w:tr w:rsidR="008A5E74" w:rsidRPr="008A5E74" w:rsidTr="008A5E7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</w:p>
        </w:tc>
      </w:tr>
      <w:tr w:rsidR="008A5E74" w:rsidRPr="008A5E74" w:rsidTr="008A5E7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74" w:rsidRPr="008A5E74" w:rsidRDefault="00522CF3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3,66</w:t>
            </w:r>
          </w:p>
        </w:tc>
      </w:tr>
    </w:tbl>
    <w:p w:rsidR="008A5E74" w:rsidRPr="008A5E74" w:rsidRDefault="00F40D05" w:rsidP="008B138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CF294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. Olimpiados, konkursai ir kiti renginiai: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10"/>
        <w:gridCol w:w="1227"/>
        <w:gridCol w:w="1111"/>
        <w:gridCol w:w="1227"/>
        <w:gridCol w:w="1111"/>
        <w:gridCol w:w="1227"/>
        <w:gridCol w:w="1111"/>
      </w:tblGrid>
      <w:tr w:rsidR="008A5E74" w:rsidRPr="008A5E74" w:rsidTr="008A5E74">
        <w:tc>
          <w:tcPr>
            <w:tcW w:w="2270" w:type="dxa"/>
            <w:gridSpan w:val="2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Rajono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Regiono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Šalies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Tarptautiniai</w:t>
            </w:r>
          </w:p>
        </w:tc>
      </w:tr>
      <w:tr w:rsidR="008A5E74" w:rsidRPr="008A5E74" w:rsidTr="008A5E74">
        <w:tc>
          <w:tcPr>
            <w:tcW w:w="109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lastRenderedPageBreak/>
              <w:t>Dalyvavusių</w:t>
            </w:r>
          </w:p>
          <w:p w:rsidR="008A5E74" w:rsidRPr="008A5E74" w:rsidRDefault="0021608C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</w:t>
            </w:r>
            <w:r w:rsidR="008A5E74"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okinių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Prizininkų/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Dalyvavusių</w:t>
            </w:r>
          </w:p>
          <w:p w:rsidR="008A5E74" w:rsidRPr="008A5E74" w:rsidRDefault="0021608C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</w:t>
            </w:r>
            <w:r w:rsidR="008A5E74"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okinių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 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Prizininkų/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Dalyvavusių</w:t>
            </w:r>
          </w:p>
          <w:p w:rsidR="008A5E74" w:rsidRPr="008A5E74" w:rsidRDefault="0021608C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</w:t>
            </w:r>
            <w:r w:rsidR="008A5E74"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okinių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 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Prizininkų/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Dalyvavusių</w:t>
            </w:r>
          </w:p>
          <w:p w:rsidR="008A5E74" w:rsidRPr="008A5E74" w:rsidRDefault="0021608C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m</w:t>
            </w:r>
            <w:r w:rsidR="008A5E74"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okinių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(vaikų) 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Prizininkų/</w:t>
            </w:r>
          </w:p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laureatų skaičius</w:t>
            </w:r>
          </w:p>
        </w:tc>
      </w:tr>
      <w:tr w:rsidR="008A5E74" w:rsidRPr="008A5E74" w:rsidTr="008A5E74">
        <w:tc>
          <w:tcPr>
            <w:tcW w:w="1090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D42F1B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-</w:t>
            </w:r>
          </w:p>
        </w:tc>
      </w:tr>
    </w:tbl>
    <w:p w:rsidR="008A5E74" w:rsidRPr="008A5E74" w:rsidRDefault="00F40D05" w:rsidP="008B138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 xml:space="preserve">            </w:t>
      </w:r>
      <w:r w:rsidR="00C71608">
        <w:rPr>
          <w:rFonts w:ascii="Times New Roman" w:eastAsia="Times New Roman" w:hAnsi="Times New Roman"/>
          <w:bCs/>
          <w:sz w:val="24"/>
          <w:szCs w:val="24"/>
          <w:lang w:eastAsia="ar-SA"/>
        </w:rPr>
        <w:t>2.4</w:t>
      </w:r>
      <w:r w:rsidR="008A5E74" w:rsidRPr="008A5E74">
        <w:rPr>
          <w:rFonts w:ascii="Times New Roman" w:eastAsia="Times New Roman" w:hAnsi="Times New Roman"/>
          <w:bCs/>
          <w:sz w:val="24"/>
          <w:szCs w:val="24"/>
          <w:lang w:eastAsia="ar-SA"/>
        </w:rPr>
        <w:t>. Projektai: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8A5E74" w:rsidRPr="008A5E74" w:rsidTr="008A5E7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Tarptautiniai</w:t>
            </w:r>
          </w:p>
        </w:tc>
      </w:tr>
      <w:tr w:rsidR="00D42F1B" w:rsidRPr="008A5E74" w:rsidTr="008A5E7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1B" w:rsidRPr="008A5E74" w:rsidRDefault="00D42F1B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D42F1B" w:rsidRPr="008A5E74" w:rsidTr="008A5E7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1B" w:rsidRPr="008A5E74" w:rsidRDefault="00D42F1B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Dalyvavusių mokinių </w:t>
            </w:r>
            <w:r w:rsidR="0021608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(vaikų) </w:t>
            </w: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</w:tr>
      <w:tr w:rsidR="00D42F1B" w:rsidRPr="008A5E74" w:rsidTr="008A5E7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1B" w:rsidRPr="008A5E74" w:rsidRDefault="00D42F1B" w:rsidP="008A5E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Proc. nuo bendro mokinių </w:t>
            </w:r>
            <w:r w:rsidR="0021608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(vaikų) </w:t>
            </w: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F1B">
              <w:rPr>
                <w:rFonts w:ascii="Times New Roman" w:hAnsi="Times New Roman"/>
                <w:sz w:val="20"/>
                <w:szCs w:val="20"/>
              </w:rPr>
              <w:t>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56,62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1B" w:rsidRPr="00D42F1B" w:rsidRDefault="00D42F1B" w:rsidP="00D42F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F1B">
              <w:rPr>
                <w:rFonts w:ascii="Times New Roman" w:hAnsi="Times New Roman"/>
                <w:bCs/>
                <w:sz w:val="20"/>
                <w:szCs w:val="20"/>
              </w:rPr>
              <w:t>28,91</w:t>
            </w:r>
          </w:p>
        </w:tc>
      </w:tr>
    </w:tbl>
    <w:p w:rsidR="008A5E74" w:rsidRPr="008A5E74" w:rsidRDefault="00F40D05" w:rsidP="008B138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val="en-GB" w:eastAsia="ar-SA"/>
        </w:rPr>
        <w:t xml:space="preserve">            </w:t>
      </w:r>
      <w:r w:rsidR="00C71608">
        <w:rPr>
          <w:rFonts w:ascii="Times New Roman" w:eastAsia="Times New Roman" w:hAnsi="Times New Roman"/>
          <w:bCs/>
          <w:sz w:val="24"/>
          <w:szCs w:val="24"/>
          <w:lang w:eastAsia="ar-SA"/>
        </w:rPr>
        <w:t>2.5</w:t>
      </w:r>
      <w:r w:rsidR="008A5E74" w:rsidRPr="008A5E74">
        <w:rPr>
          <w:rFonts w:ascii="Times New Roman" w:eastAsia="Times New Roman" w:hAnsi="Times New Roman"/>
          <w:bCs/>
          <w:sz w:val="24"/>
          <w:szCs w:val="24"/>
          <w:lang w:eastAsia="ar-SA"/>
        </w:rPr>
        <w:t>. Mokiniai</w:t>
      </w:r>
      <w:r w:rsidR="00CF294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(vaikai)</w:t>
      </w:r>
      <w:r w:rsidR="008A5E74" w:rsidRPr="008A5E74">
        <w:rPr>
          <w:rFonts w:ascii="Times New Roman" w:eastAsia="Times New Roman" w:hAnsi="Times New Roman"/>
          <w:bCs/>
          <w:sz w:val="24"/>
          <w:szCs w:val="24"/>
          <w:lang w:eastAsia="ar-SA"/>
        </w:rPr>
        <w:t>, turintieji specialiųjų ugdymosi poreikių: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8A5E74" w:rsidRPr="008A5E74" w:rsidTr="008A5E7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Proc. nuo mokinių </w:t>
            </w:r>
            <w:r w:rsidR="0021608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(vaikų) </w:t>
            </w: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skaičiaus</w:t>
            </w:r>
          </w:p>
        </w:tc>
      </w:tr>
      <w:tr w:rsidR="008A5E74" w:rsidRPr="008A5E74" w:rsidTr="008A5E7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Nedidelių poreikių</w:t>
            </w:r>
          </w:p>
        </w:tc>
      </w:tr>
      <w:tr w:rsidR="008A5E74" w:rsidRPr="008A5E74" w:rsidTr="008A5E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74" w:rsidRPr="008A5E74" w:rsidRDefault="008A5E74" w:rsidP="008A5E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16,67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74" w:rsidRPr="008A5E74" w:rsidRDefault="008A5E74" w:rsidP="008A5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A5E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66,66</w:t>
            </w:r>
          </w:p>
        </w:tc>
      </w:tr>
    </w:tbl>
    <w:p w:rsidR="00D42F1B" w:rsidRPr="00D42F1B" w:rsidRDefault="00F40D05" w:rsidP="008B138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val="en-GB" w:eastAsia="ar-SA"/>
        </w:rPr>
        <w:t xml:space="preserve">            </w:t>
      </w:r>
      <w:r w:rsidR="00D42F1B">
        <w:rPr>
          <w:rFonts w:ascii="Times New Roman" w:hAnsi="Times New Roman"/>
          <w:bCs/>
          <w:sz w:val="24"/>
          <w:szCs w:val="24"/>
        </w:rPr>
        <w:t>2.6</w:t>
      </w:r>
      <w:r w:rsidR="00D42F1B" w:rsidRPr="00D42F1B">
        <w:rPr>
          <w:rFonts w:ascii="Times New Roman" w:hAnsi="Times New Roman"/>
          <w:bCs/>
          <w:sz w:val="24"/>
          <w:szCs w:val="24"/>
        </w:rPr>
        <w:t>. Mokiniai</w:t>
      </w:r>
      <w:r w:rsidR="0021608C">
        <w:rPr>
          <w:rFonts w:ascii="Times New Roman" w:hAnsi="Times New Roman"/>
          <w:bCs/>
          <w:sz w:val="24"/>
          <w:szCs w:val="24"/>
        </w:rPr>
        <w:t xml:space="preserve"> (vaikai)</w:t>
      </w:r>
      <w:r w:rsidR="00D42F1B" w:rsidRPr="00D42F1B">
        <w:rPr>
          <w:rFonts w:ascii="Times New Roman" w:hAnsi="Times New Roman"/>
          <w:bCs/>
          <w:sz w:val="24"/>
          <w:szCs w:val="24"/>
        </w:rPr>
        <w:t>, gaunantieji nemokamą maitinimą: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D42F1B" w:rsidRPr="00D42F1B" w:rsidTr="00D42F1B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1B" w:rsidRPr="00D42F1B" w:rsidRDefault="00D42F1B" w:rsidP="00D42F1B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1B">
              <w:rPr>
                <w:rFonts w:ascii="Times New Roman" w:hAnsi="Times New Roman"/>
                <w:sz w:val="24"/>
                <w:szCs w:val="24"/>
              </w:rPr>
              <w:t xml:space="preserve">Mokinių </w:t>
            </w:r>
            <w:r w:rsidR="0021608C">
              <w:rPr>
                <w:rFonts w:ascii="Times New Roman" w:hAnsi="Times New Roman"/>
                <w:sz w:val="24"/>
                <w:szCs w:val="24"/>
              </w:rPr>
              <w:t xml:space="preserve">(vaikų) </w:t>
            </w:r>
            <w:r w:rsidRPr="00D42F1B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1B" w:rsidRPr="00D42F1B" w:rsidRDefault="00D42F1B" w:rsidP="00D42F1B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1B">
              <w:rPr>
                <w:rFonts w:ascii="Times New Roman" w:hAnsi="Times New Roman"/>
                <w:sz w:val="24"/>
                <w:szCs w:val="24"/>
              </w:rPr>
              <w:t xml:space="preserve">Proc. nuo mokinių </w:t>
            </w:r>
            <w:r w:rsidR="0021608C">
              <w:rPr>
                <w:rFonts w:ascii="Times New Roman" w:hAnsi="Times New Roman"/>
                <w:sz w:val="24"/>
                <w:szCs w:val="24"/>
              </w:rPr>
              <w:t xml:space="preserve">(vaikų) </w:t>
            </w:r>
            <w:r w:rsidRPr="00D42F1B">
              <w:rPr>
                <w:rFonts w:ascii="Times New Roman" w:hAnsi="Times New Roman"/>
                <w:sz w:val="24"/>
                <w:szCs w:val="24"/>
              </w:rPr>
              <w:t>skaičiaus</w:t>
            </w:r>
          </w:p>
        </w:tc>
      </w:tr>
      <w:tr w:rsidR="00D42F1B" w:rsidRPr="00D42F1B" w:rsidTr="008B1380">
        <w:trPr>
          <w:trHeight w:val="275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1B" w:rsidRPr="00D42F1B" w:rsidRDefault="00D42F1B" w:rsidP="00D42F1B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1B" w:rsidRPr="00522CF3" w:rsidRDefault="00522CF3" w:rsidP="00522CF3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1,21</w:t>
            </w:r>
          </w:p>
        </w:tc>
      </w:tr>
    </w:tbl>
    <w:p w:rsidR="00D42F1B" w:rsidRPr="008A5E74" w:rsidRDefault="00D42F1B" w:rsidP="008A5E7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4"/>
          <w:szCs w:val="24"/>
          <w:lang w:val="en-GB" w:eastAsia="ar-SA"/>
        </w:rPr>
      </w:pP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III. INFORMACIJA APIE MOKINIŲ </w:t>
      </w:r>
      <w:r w:rsidR="00CF29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(VAIKŲ) </w:t>
      </w:r>
      <w:r w:rsidRPr="008A5E74">
        <w:rPr>
          <w:rFonts w:ascii="Times New Roman" w:eastAsia="Times New Roman" w:hAnsi="Times New Roman"/>
          <w:b/>
          <w:sz w:val="24"/>
          <w:szCs w:val="24"/>
          <w:lang w:eastAsia="ar-SA"/>
        </w:rPr>
        <w:t>VEIKLOS REZULTATUS</w:t>
      </w:r>
    </w:p>
    <w:p w:rsidR="008A5E74" w:rsidRPr="00C71608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21608C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Nacional</w:t>
      </w:r>
      <w:r w:rsidR="00D42F1B">
        <w:rPr>
          <w:rFonts w:ascii="Times New Roman" w:eastAsia="Times New Roman" w:hAnsi="Times New Roman"/>
          <w:sz w:val="24"/>
          <w:szCs w:val="24"/>
          <w:lang w:eastAsia="ar-SA"/>
        </w:rPr>
        <w:t xml:space="preserve">iniame projekte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="00D42F1B">
        <w:rPr>
          <w:rFonts w:ascii="Times New Roman" w:eastAsia="Times New Roman" w:hAnsi="Times New Roman"/>
          <w:sz w:val="24"/>
          <w:szCs w:val="24"/>
          <w:lang w:eastAsia="ar-SA"/>
        </w:rPr>
        <w:t>Aš dizaineris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“ 1 laureatas. Panevėžio rajono ikimokyklinio ugdymo įstaigų sportinėse va</w:t>
      </w:r>
      <w:r w:rsidR="00D42F1B">
        <w:rPr>
          <w:rFonts w:ascii="Times New Roman" w:eastAsia="Times New Roman" w:hAnsi="Times New Roman"/>
          <w:sz w:val="24"/>
          <w:szCs w:val="24"/>
          <w:lang w:eastAsia="ar-SA"/>
        </w:rPr>
        <w:t>ržybose „Linksmoji estafetė 2019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“ nugalėtojai. </w:t>
      </w: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IV. PEDAGOGŲ PASIEKIMAI</w:t>
      </w:r>
    </w:p>
    <w:p w:rsidR="008A5E74" w:rsidRPr="008A5E74" w:rsidRDefault="008A5E74" w:rsidP="008A5E7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Pr="008A5E74" w:rsidRDefault="0021608C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4.1. Pedagogų kvalifikacijos tobulinimo prioritetai.</w:t>
      </w:r>
    </w:p>
    <w:p w:rsidR="00D42F1B" w:rsidRPr="00D42F1B" w:rsidRDefault="0021608C" w:rsidP="00D42F1B">
      <w:pPr>
        <w:pStyle w:val="NoSpacing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</w:t>
      </w:r>
      <w:r w:rsidR="00D42F1B" w:rsidRPr="00D42F1B">
        <w:rPr>
          <w:rFonts w:ascii="Times New Roman" w:hAnsi="Times New Roman"/>
          <w:sz w:val="24"/>
          <w:szCs w:val="24"/>
          <w:lang w:eastAsia="lt-LT"/>
        </w:rPr>
        <w:t>Pedagogai tobulino kvalifikaciją atsižvelgdami į 2019 m. veiklos plane numatytus tikslus, uždavinius. Kvalifikacija buvo keliama ugdymo kokybės, vaikų pažinimo, vaikų intelektinio ugdymo, edukacinių erdvių kūrimo ir tobulinimo, vaikų sveikatinimo, edukacinių veiklų organizavimo klausimais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:rsidR="008A5E74" w:rsidRPr="008A5E74" w:rsidRDefault="0021608C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4.2. Pedagoginės veiklos pasiekimai (mokytojų dalyvavimas šalies ir užsienio projektuose, publikuoti leidiniai, vesti seminarai ir kt.).</w:t>
      </w:r>
    </w:p>
    <w:p w:rsidR="00D42F1B" w:rsidRPr="00861EA8" w:rsidRDefault="0021608C" w:rsidP="0052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lt-LT"/>
        </w:rPr>
        <w:t xml:space="preserve">            </w:t>
      </w:r>
      <w:r w:rsidR="00D42F1B" w:rsidRPr="008A5E74">
        <w:rPr>
          <w:rFonts w:ascii="Times New Roman" w:eastAsia="Times New Roman" w:hAnsi="Times New Roman"/>
          <w:color w:val="222222"/>
          <w:sz w:val="24"/>
          <w:szCs w:val="24"/>
          <w:lang w:eastAsia="lt-LT"/>
        </w:rPr>
        <w:t xml:space="preserve">Ikimokyklinio ugdymo mokytojos </w:t>
      </w:r>
      <w:r w:rsidR="00D42F1B">
        <w:rPr>
          <w:rFonts w:ascii="Times New Roman" w:eastAsia="Times New Roman" w:hAnsi="Times New Roman"/>
          <w:color w:val="222222"/>
          <w:sz w:val="24"/>
          <w:szCs w:val="24"/>
          <w:lang w:eastAsia="lt-LT"/>
        </w:rPr>
        <w:t>d</w:t>
      </w:r>
      <w:r w:rsidR="00D42F1B" w:rsidRPr="00D42F1B">
        <w:rPr>
          <w:rFonts w:ascii="Times New Roman" w:hAnsi="Times New Roman"/>
          <w:sz w:val="24"/>
          <w:szCs w:val="24"/>
        </w:rPr>
        <w:t>alyvavo projekte ir skaitė pranešimus „Lyderių laikas 3“, alumnų renginyje „Lyderystės svarba ankstyvajame ugdyme“ pranešimas „Darželis</w:t>
      </w:r>
      <w:r>
        <w:rPr>
          <w:rFonts w:ascii="Times New Roman" w:hAnsi="Times New Roman"/>
          <w:sz w:val="24"/>
          <w:szCs w:val="24"/>
        </w:rPr>
        <w:t>,</w:t>
      </w:r>
      <w:r w:rsidR="00D42F1B" w:rsidRPr="00D42F1B">
        <w:rPr>
          <w:rFonts w:ascii="Times New Roman" w:hAnsi="Times New Roman"/>
          <w:sz w:val="24"/>
          <w:szCs w:val="24"/>
        </w:rPr>
        <w:t xml:space="preserve"> auginantis asmenybę“; </w:t>
      </w:r>
      <w:r>
        <w:rPr>
          <w:rFonts w:ascii="Times New Roman" w:hAnsi="Times New Roman"/>
          <w:sz w:val="24"/>
          <w:szCs w:val="24"/>
        </w:rPr>
        <w:t>nacional</w:t>
      </w:r>
      <w:r w:rsidR="00D42F1B" w:rsidRPr="00D42F1B">
        <w:rPr>
          <w:rFonts w:ascii="Times New Roman" w:hAnsi="Times New Roman"/>
          <w:sz w:val="24"/>
          <w:szCs w:val="24"/>
        </w:rPr>
        <w:t>iniame gerosios patirties renginyje Kuršėnų l</w:t>
      </w:r>
      <w:r w:rsidR="00861EA8">
        <w:rPr>
          <w:rFonts w:ascii="Times New Roman" w:hAnsi="Times New Roman"/>
          <w:sz w:val="24"/>
          <w:szCs w:val="24"/>
        </w:rPr>
        <w:t>opšelyje-darželyje</w:t>
      </w:r>
      <w:r w:rsidR="00D42F1B" w:rsidRPr="00D42F1B">
        <w:rPr>
          <w:rFonts w:ascii="Times New Roman" w:hAnsi="Times New Roman"/>
          <w:sz w:val="24"/>
          <w:szCs w:val="24"/>
        </w:rPr>
        <w:t xml:space="preserve"> „Edukacinių erdvių kūrimas ir naudojimas: iššūkiai ar galimybės?“ stendinis pranešimas „Vaikas aktyvus ugdymo proceso dalyvis“; </w:t>
      </w:r>
      <w:r>
        <w:rPr>
          <w:rFonts w:ascii="Times New Roman" w:hAnsi="Times New Roman"/>
          <w:sz w:val="24"/>
          <w:szCs w:val="24"/>
        </w:rPr>
        <w:t>nacional</w:t>
      </w:r>
      <w:r w:rsidR="00D42F1B" w:rsidRPr="00D42F1B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>ame</w:t>
      </w:r>
      <w:r w:rsidR="00D42F1B" w:rsidRPr="00D42F1B">
        <w:rPr>
          <w:rFonts w:ascii="Times New Roman" w:hAnsi="Times New Roman"/>
          <w:sz w:val="24"/>
          <w:szCs w:val="24"/>
        </w:rPr>
        <w:t xml:space="preserve"> gerosios patirties renginyje Radviliškio l</w:t>
      </w:r>
      <w:r w:rsidR="00861EA8">
        <w:rPr>
          <w:rFonts w:ascii="Times New Roman" w:hAnsi="Times New Roman"/>
          <w:sz w:val="24"/>
          <w:szCs w:val="24"/>
        </w:rPr>
        <w:t>opšelyje-darželyje</w:t>
      </w:r>
      <w:r w:rsidR="00D42F1B" w:rsidRPr="00D42F1B">
        <w:rPr>
          <w:rFonts w:ascii="Times New Roman" w:hAnsi="Times New Roman"/>
          <w:sz w:val="24"/>
          <w:szCs w:val="24"/>
        </w:rPr>
        <w:t xml:space="preserve"> </w:t>
      </w:r>
      <w:r w:rsidR="00D42F1B" w:rsidRPr="00861EA8">
        <w:rPr>
          <w:rFonts w:ascii="Times New Roman" w:hAnsi="Times New Roman"/>
          <w:sz w:val="24"/>
          <w:szCs w:val="24"/>
        </w:rPr>
        <w:t>„Žvaigždutė“ stendinis pranešimas „Vaikų elgesio ir emocijų valdymo erdvė“; Skaitė pranešimus tarptautinėje konferencijoje Stambule „Kindergarten cultivating personality“.</w:t>
      </w:r>
    </w:p>
    <w:p w:rsidR="00D42F1B" w:rsidRPr="00861EA8" w:rsidRDefault="0021608C" w:rsidP="00522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22222"/>
          <w:sz w:val="24"/>
          <w:szCs w:val="24"/>
          <w:lang w:eastAsia="lt-LT"/>
        </w:rPr>
        <w:t xml:space="preserve">            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 xml:space="preserve">Ikimokyklinio ugdymo mokytojos dalyvauja programos 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„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>Erasmus+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“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 xml:space="preserve"> (K3) projekte </w:t>
      </w:r>
      <w:r w:rsidR="00F40D05">
        <w:rPr>
          <w:rFonts w:ascii="Times New Roman" w:hAnsi="Times New Roman"/>
          <w:color w:val="222222"/>
          <w:sz w:val="24"/>
          <w:szCs w:val="24"/>
          <w:lang w:eastAsia="lt-LT"/>
        </w:rPr>
        <w:br/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 xml:space="preserve">„MOV-UP“; +KA2 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„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>Tradicijos ir inovacijos ikimokyklinio ugdymo įstaigoje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“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 xml:space="preserve">; programoje „Olimpinė karta“; Europos </w:t>
      </w:r>
      <w:r>
        <w:rPr>
          <w:rFonts w:ascii="Times New Roman" w:hAnsi="Times New Roman"/>
          <w:color w:val="222222"/>
          <w:sz w:val="24"/>
          <w:szCs w:val="24"/>
          <w:lang w:eastAsia="lt-LT"/>
        </w:rPr>
        <w:t>S</w:t>
      </w:r>
      <w:r w:rsidR="00D42F1B" w:rsidRPr="00861EA8">
        <w:rPr>
          <w:rFonts w:ascii="Times New Roman" w:hAnsi="Times New Roman"/>
          <w:color w:val="222222"/>
          <w:sz w:val="24"/>
          <w:szCs w:val="24"/>
          <w:lang w:eastAsia="lt-LT"/>
        </w:rPr>
        <w:t>ąjungos fondų projekte „Mažais žingsneliais inovacijos takeliu“.</w:t>
      </w:r>
    </w:p>
    <w:p w:rsidR="00522CF3" w:rsidRPr="008A5E74" w:rsidRDefault="00522CF3" w:rsidP="008A5E74">
      <w:pPr>
        <w:suppressAutoHyphens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</w:rPr>
      </w:pPr>
    </w:p>
    <w:p w:rsidR="008A5E74" w:rsidRPr="008A5E74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A5E7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V. FINANSAVIMAS</w:t>
      </w:r>
    </w:p>
    <w:p w:rsidR="008A5E74" w:rsidRPr="00C71608" w:rsidRDefault="008A5E74" w:rsidP="008A5E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83"/>
        <w:gridCol w:w="2394"/>
      </w:tblGrid>
      <w:tr w:rsidR="008A5E74" w:rsidRPr="008A5E74" w:rsidTr="008A5E74">
        <w:tc>
          <w:tcPr>
            <w:tcW w:w="3261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2283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Skirta lėšų (Eur)</w:t>
            </w:r>
          </w:p>
        </w:tc>
        <w:tc>
          <w:tcPr>
            <w:tcW w:w="2394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Panaudota (Eur)</w:t>
            </w:r>
          </w:p>
        </w:tc>
      </w:tr>
      <w:tr w:rsidR="008A5E74" w:rsidRPr="008A5E74" w:rsidTr="008A5E74">
        <w:tc>
          <w:tcPr>
            <w:tcW w:w="3261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2283" w:type="dxa"/>
            <w:shd w:val="clear" w:color="auto" w:fill="auto"/>
          </w:tcPr>
          <w:p w:rsidR="008A5E74" w:rsidRPr="008A5E74" w:rsidRDefault="000E3936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209 300</w:t>
            </w:r>
          </w:p>
        </w:tc>
        <w:tc>
          <w:tcPr>
            <w:tcW w:w="2394" w:type="dxa"/>
            <w:shd w:val="clear" w:color="auto" w:fill="auto"/>
          </w:tcPr>
          <w:p w:rsidR="008A5E74" w:rsidRPr="008A5E74" w:rsidRDefault="000E3936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208 848</w:t>
            </w:r>
          </w:p>
        </w:tc>
      </w:tr>
      <w:tr w:rsidR="008A5E74" w:rsidRPr="008A5E74" w:rsidTr="008A5E74">
        <w:tc>
          <w:tcPr>
            <w:tcW w:w="3261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</w:t>
            </w:r>
            <w:r w:rsidR="0021608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ym</w:t>
            </w: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lėšos</w:t>
            </w:r>
          </w:p>
        </w:tc>
        <w:tc>
          <w:tcPr>
            <w:tcW w:w="2283" w:type="dxa"/>
            <w:shd w:val="clear" w:color="auto" w:fill="auto"/>
          </w:tcPr>
          <w:p w:rsidR="008A5E74" w:rsidRPr="000E3936" w:rsidRDefault="000E3936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89 400</w:t>
            </w:r>
          </w:p>
        </w:tc>
        <w:tc>
          <w:tcPr>
            <w:tcW w:w="2394" w:type="dxa"/>
            <w:shd w:val="clear" w:color="auto" w:fill="auto"/>
          </w:tcPr>
          <w:p w:rsidR="008A5E74" w:rsidRPr="008A5E74" w:rsidRDefault="000E3936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89 400</w:t>
            </w:r>
          </w:p>
        </w:tc>
      </w:tr>
      <w:tr w:rsidR="008A5E74" w:rsidRPr="008A5E74" w:rsidTr="008A5E74">
        <w:tc>
          <w:tcPr>
            <w:tcW w:w="3261" w:type="dxa"/>
            <w:shd w:val="clear" w:color="auto" w:fill="auto"/>
          </w:tcPr>
          <w:p w:rsidR="008A5E74" w:rsidRPr="008A5E74" w:rsidRDefault="008A5E74" w:rsidP="008A5E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 </w:t>
            </w:r>
            <w:r w:rsidR="0021608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proc.</w:t>
            </w: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GPM lėšos</w:t>
            </w:r>
          </w:p>
        </w:tc>
        <w:tc>
          <w:tcPr>
            <w:tcW w:w="2283" w:type="dxa"/>
            <w:shd w:val="clear" w:color="auto" w:fill="auto"/>
          </w:tcPr>
          <w:p w:rsidR="008A5E74" w:rsidRPr="00700BBD" w:rsidRDefault="008A5E74" w:rsidP="00700BB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8A5E7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700B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  <w:r w:rsidR="00700BBD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802, 23</w:t>
            </w:r>
          </w:p>
        </w:tc>
        <w:tc>
          <w:tcPr>
            <w:tcW w:w="2394" w:type="dxa"/>
            <w:shd w:val="clear" w:color="auto" w:fill="auto"/>
          </w:tcPr>
          <w:p w:rsidR="008A5E74" w:rsidRPr="008A5E74" w:rsidRDefault="00700BBD" w:rsidP="008A5E74">
            <w:pPr>
              <w:suppressAutoHyphens/>
              <w:spacing w:after="0" w:line="240" w:lineRule="auto"/>
              <w:ind w:left="720" w:hanging="702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782,69</w:t>
            </w:r>
          </w:p>
        </w:tc>
      </w:tr>
    </w:tbl>
    <w:p w:rsidR="008A5E74" w:rsidRPr="00C71608" w:rsidRDefault="008A5E74" w:rsidP="008A5E74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:rsidR="008A5E74" w:rsidRPr="00522CF3" w:rsidRDefault="006551EA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Papildomos lėšos.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Projekt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>as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22CF3" w:rsidRPr="00522CF3">
        <w:rPr>
          <w:rFonts w:ascii="Times New Roman" w:hAnsi="Times New Roman"/>
          <w:sz w:val="24"/>
          <w:szCs w:val="24"/>
        </w:rPr>
        <w:t>LTOK Linksmosios estafetės „Kiekvienoj širdelėj</w:t>
      </w:r>
      <w:r w:rsidR="0021608C">
        <w:rPr>
          <w:rFonts w:ascii="Times New Roman" w:hAnsi="Times New Roman"/>
          <w:sz w:val="24"/>
          <w:szCs w:val="24"/>
        </w:rPr>
        <w:t xml:space="preserve"> – </w:t>
      </w:r>
      <w:r w:rsidR="00522CF3" w:rsidRPr="00522CF3">
        <w:rPr>
          <w:rFonts w:ascii="Times New Roman" w:hAnsi="Times New Roman"/>
          <w:sz w:val="24"/>
          <w:szCs w:val="24"/>
        </w:rPr>
        <w:t>po olimpinę ugnelę“</w:t>
      </w:r>
      <w:r w:rsidR="00522CF3">
        <w:rPr>
          <w:rFonts w:ascii="Times New Roman" w:hAnsi="Times New Roman"/>
          <w:sz w:val="24"/>
          <w:szCs w:val="24"/>
        </w:rPr>
        <w:t xml:space="preserve"> 3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00 Eur: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 xml:space="preserve">sporto inventorius. </w:t>
      </w:r>
      <w:r w:rsidR="00522CF3" w:rsidRPr="00522CF3">
        <w:rPr>
          <w:rFonts w:ascii="Times New Roman" w:hAnsi="Times New Roman"/>
          <w:sz w:val="24"/>
          <w:szCs w:val="24"/>
        </w:rPr>
        <w:t>Vaikų socializacijos programos projektas „Kelionė per vaikystės šalį“</w:t>
      </w:r>
      <w:r w:rsidR="00522CF3" w:rsidRPr="00522C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>410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Eur: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>edukacinė kelionė, transporto ženklai, vėjo jėgainė, dėlionės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 xml:space="preserve"> Projektas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„Aš ir tu</w:t>
      </w:r>
      <w:r w:rsidR="0021608C"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522CF3">
        <w:rPr>
          <w:rFonts w:ascii="Times New Roman" w:eastAsia="Times New Roman" w:hAnsi="Times New Roman"/>
          <w:sz w:val="24"/>
          <w:szCs w:val="24"/>
          <w:lang w:eastAsia="ar-SA"/>
        </w:rPr>
        <w:t xml:space="preserve">sportuokime kartu“ </w:t>
      </w:r>
      <w:r w:rsidR="00522CF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700 </w:t>
      </w:r>
      <w:proofErr w:type="spellStart"/>
      <w:r w:rsidR="00522CF3">
        <w:rPr>
          <w:rFonts w:ascii="Times New Roman" w:eastAsia="Times New Roman" w:hAnsi="Times New Roman"/>
          <w:sz w:val="24"/>
          <w:szCs w:val="24"/>
          <w:lang w:val="en-US" w:eastAsia="ar-SA"/>
        </w:rPr>
        <w:t>Eur</w:t>
      </w:r>
      <w:proofErr w:type="spellEnd"/>
      <w:r w:rsidR="00522CF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: </w:t>
      </w:r>
      <w:r w:rsidR="00522CF3">
        <w:rPr>
          <w:rFonts w:ascii="Times New Roman" w:hAnsi="Times New Roman"/>
          <w:sz w:val="24"/>
          <w:szCs w:val="24"/>
        </w:rPr>
        <w:t>s</w:t>
      </w:r>
      <w:r w:rsidR="00522CF3" w:rsidRPr="00522CF3">
        <w:rPr>
          <w:rFonts w:ascii="Times New Roman" w:hAnsi="Times New Roman"/>
          <w:sz w:val="24"/>
          <w:szCs w:val="24"/>
        </w:rPr>
        <w:t>porto inventorius</w:t>
      </w:r>
      <w:r w:rsidR="00522CF3">
        <w:rPr>
          <w:rFonts w:ascii="Times New Roman" w:hAnsi="Times New Roman"/>
          <w:sz w:val="24"/>
          <w:szCs w:val="24"/>
        </w:rPr>
        <w:t>, g</w:t>
      </w:r>
      <w:r w:rsidR="00522CF3" w:rsidRPr="00522CF3">
        <w:rPr>
          <w:rFonts w:ascii="Times New Roman" w:hAnsi="Times New Roman"/>
          <w:sz w:val="24"/>
          <w:szCs w:val="24"/>
        </w:rPr>
        <w:t>rūdinimuisi vandeniu inventorius</w:t>
      </w:r>
      <w:r w:rsidR="00522CF3">
        <w:rPr>
          <w:rFonts w:ascii="Times New Roman" w:hAnsi="Times New Roman"/>
          <w:sz w:val="24"/>
          <w:szCs w:val="24"/>
        </w:rPr>
        <w:t>, edukacinė kelionė su baidarėm.</w:t>
      </w:r>
    </w:p>
    <w:p w:rsidR="008A5E74" w:rsidRPr="008A5E74" w:rsidRDefault="006551EA" w:rsidP="008B13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2 </w:t>
      </w:r>
      <w:r w:rsidR="0021608C">
        <w:rPr>
          <w:rFonts w:ascii="Times New Roman" w:eastAsia="Times New Roman" w:hAnsi="Times New Roman"/>
          <w:sz w:val="24"/>
          <w:szCs w:val="24"/>
          <w:lang w:eastAsia="ar-SA"/>
        </w:rPr>
        <w:t>proc.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GPM lėšos</w:t>
      </w:r>
      <w:r w:rsidR="00CF2945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1EA8">
        <w:rPr>
          <w:rFonts w:ascii="Times New Roman" w:eastAsia="Times New Roman" w:hAnsi="Times New Roman"/>
          <w:sz w:val="24"/>
          <w:szCs w:val="24"/>
          <w:lang w:eastAsia="ar-SA"/>
        </w:rPr>
        <w:t xml:space="preserve">karuselė, smėlio dėžė, </w:t>
      </w:r>
      <w:r w:rsidR="00700BBD">
        <w:rPr>
          <w:rFonts w:ascii="Times New Roman" w:eastAsia="Times New Roman" w:hAnsi="Times New Roman"/>
          <w:sz w:val="24"/>
          <w:szCs w:val="24"/>
          <w:lang w:eastAsia="ar-SA"/>
        </w:rPr>
        <w:t>staliukai su kėdutėm</w:t>
      </w:r>
      <w:r w:rsidR="0021608C">
        <w:rPr>
          <w:rFonts w:ascii="Times New Roman" w:eastAsia="Times New Roman" w:hAnsi="Times New Roman"/>
          <w:sz w:val="24"/>
          <w:szCs w:val="24"/>
          <w:lang w:eastAsia="ar-SA"/>
        </w:rPr>
        <w:t>is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A5E74" w:rsidRPr="00C71608" w:rsidRDefault="008A5E74" w:rsidP="008A5E74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:rsidR="008A5E74" w:rsidRPr="008A5E74" w:rsidRDefault="008A5E74" w:rsidP="008A5E74">
      <w:pPr>
        <w:tabs>
          <w:tab w:val="left" w:pos="567"/>
        </w:tabs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8A5E74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VI. PROBLEMOS IR JŲ SPRENDIMO BŪDAI</w:t>
      </w:r>
    </w:p>
    <w:p w:rsidR="008A5E74" w:rsidRPr="00C71608" w:rsidRDefault="008A5E74" w:rsidP="008A5E74">
      <w:pPr>
        <w:tabs>
          <w:tab w:val="left" w:pos="567"/>
        </w:tabs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:rsidR="008A5E74" w:rsidRDefault="007B706C" w:rsidP="007B706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>Problemos dėl išorės faktorių: Lietuvos higienos normos HN 131:2015 „Vaikų žaidimų aikštelės ir patalpos. Bendrieji sveikatos saugos reikalavimai“ neatitikimas: reikalinga sa</w:t>
      </w:r>
      <w:r w:rsidR="008A5E74" w:rsidRPr="008A5E74">
        <w:rPr>
          <w:rFonts w:ascii="Times New Roman" w:eastAsia="Times New Roman" w:hAnsi="Times New Roman"/>
          <w:color w:val="323232"/>
          <w:spacing w:val="2"/>
          <w:sz w:val="24"/>
          <w:szCs w:val="24"/>
          <w:shd w:val="clear" w:color="auto" w:fill="FFFFFF"/>
          <w:lang w:eastAsia="ar-SA"/>
        </w:rPr>
        <w:t xml:space="preserve">ugi </w:t>
      </w:r>
      <w:r w:rsidR="008A5E74" w:rsidRPr="008A5E74">
        <w:rPr>
          <w:rFonts w:ascii="Times New Roman" w:eastAsia="Times New Roman" w:hAnsi="Times New Roman"/>
          <w:sz w:val="24"/>
          <w:szCs w:val="24"/>
          <w:lang w:eastAsia="ar-SA"/>
        </w:rPr>
        <w:t xml:space="preserve">danga vaikų žaidimų aikštelėje po įrenginiais. </w:t>
      </w:r>
    </w:p>
    <w:p w:rsidR="00F40D05" w:rsidRDefault="006551EA" w:rsidP="006551EA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551EA" w:rsidRPr="004F3CCB" w:rsidRDefault="00F40D05" w:rsidP="006551EA">
      <w:pPr>
        <w:pStyle w:val="prastasis1"/>
        <w:widowControl/>
        <w:tabs>
          <w:tab w:val="left" w:pos="720"/>
        </w:tabs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6551EA" w:rsidRPr="004F3CCB">
        <w:rPr>
          <w:rFonts w:ascii="Times New Roman" w:hAnsi="Times New Roman" w:cs="Times New Roman"/>
          <w:sz w:val="24"/>
          <w:szCs w:val="24"/>
        </w:rPr>
        <w:t>Patvirtinu, kad pateikta informacija yra tiksli ir teisinga.</w:t>
      </w:r>
    </w:p>
    <w:p w:rsidR="0021608C" w:rsidRDefault="0021608C" w:rsidP="008B138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551EA" w:rsidRPr="008A5E74" w:rsidRDefault="006551EA" w:rsidP="008B138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A5E74" w:rsidRDefault="0021608C" w:rsidP="008B1380">
      <w:pPr>
        <w:tabs>
          <w:tab w:val="left" w:pos="567"/>
          <w:tab w:val="left" w:pos="1338"/>
        </w:tabs>
        <w:suppressAutoHyphens/>
        <w:autoSpaceDN w:val="0"/>
        <w:spacing w:after="0" w:line="240" w:lineRule="auto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Direktorė</w:t>
      </w:r>
      <w:r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ab/>
      </w:r>
      <w:r w:rsidR="008B1380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ab/>
      </w:r>
      <w:r w:rsidR="008B1380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Daina Murauskienė</w:t>
      </w:r>
    </w:p>
    <w:p w:rsidR="006551EA" w:rsidRDefault="006551EA" w:rsidP="008B1380">
      <w:pPr>
        <w:tabs>
          <w:tab w:val="left" w:pos="567"/>
          <w:tab w:val="left" w:pos="1338"/>
        </w:tabs>
        <w:suppressAutoHyphens/>
        <w:autoSpaceDN w:val="0"/>
        <w:spacing w:after="0" w:line="240" w:lineRule="auto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</w:p>
    <w:p w:rsidR="00F40D05" w:rsidRDefault="00F40D05" w:rsidP="008B1380">
      <w:pPr>
        <w:tabs>
          <w:tab w:val="left" w:pos="567"/>
          <w:tab w:val="left" w:pos="1338"/>
        </w:tabs>
        <w:suppressAutoHyphens/>
        <w:autoSpaceDN w:val="0"/>
        <w:spacing w:after="0" w:line="240" w:lineRule="auto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</w:p>
    <w:p w:rsidR="006551EA" w:rsidRPr="008B1380" w:rsidRDefault="006551EA" w:rsidP="008B1380">
      <w:pPr>
        <w:pStyle w:val="NoSpacing"/>
        <w:rPr>
          <w:rFonts w:ascii="Times New Roman" w:hAnsi="Times New Roman"/>
          <w:sz w:val="24"/>
          <w:szCs w:val="24"/>
          <w:lang w:bidi="hi-IN"/>
        </w:rPr>
      </w:pPr>
      <w:r w:rsidRPr="008B1380">
        <w:rPr>
          <w:rFonts w:ascii="Times New Roman" w:hAnsi="Times New Roman"/>
          <w:sz w:val="24"/>
          <w:szCs w:val="24"/>
          <w:lang w:bidi="hi-IN"/>
        </w:rPr>
        <w:t>PRITARTA</w:t>
      </w:r>
    </w:p>
    <w:p w:rsidR="006551EA" w:rsidRPr="008B1380" w:rsidRDefault="006551EA" w:rsidP="008B1380">
      <w:pPr>
        <w:pStyle w:val="NoSpacing"/>
        <w:rPr>
          <w:rFonts w:ascii="Times New Roman" w:hAnsi="Times New Roman"/>
          <w:sz w:val="24"/>
          <w:szCs w:val="24"/>
          <w:lang w:bidi="hi-IN"/>
        </w:rPr>
      </w:pPr>
      <w:r w:rsidRPr="008B1380">
        <w:rPr>
          <w:rFonts w:ascii="Times New Roman" w:hAnsi="Times New Roman"/>
          <w:sz w:val="24"/>
          <w:szCs w:val="24"/>
          <w:lang w:bidi="hi-IN"/>
        </w:rPr>
        <w:t>Lopšelio-darželio tarybos</w:t>
      </w:r>
    </w:p>
    <w:p w:rsidR="006551EA" w:rsidRPr="008B1380" w:rsidRDefault="006551EA" w:rsidP="008B1380">
      <w:pPr>
        <w:pStyle w:val="NoSpacing"/>
        <w:rPr>
          <w:rFonts w:ascii="Times New Roman" w:hAnsi="Times New Roman"/>
          <w:sz w:val="24"/>
          <w:szCs w:val="24"/>
          <w:lang w:bidi="hi-IN"/>
        </w:rPr>
      </w:pPr>
      <w:r w:rsidRPr="008B1380">
        <w:rPr>
          <w:rFonts w:ascii="Times New Roman" w:hAnsi="Times New Roman"/>
          <w:sz w:val="24"/>
          <w:szCs w:val="24"/>
          <w:lang w:bidi="hi-IN"/>
        </w:rPr>
        <w:t>2020</w:t>
      </w:r>
      <w:r w:rsidRPr="006551EA">
        <w:rPr>
          <w:rFonts w:ascii="Times New Roman" w:hAnsi="Times New Roman"/>
          <w:sz w:val="24"/>
          <w:szCs w:val="24"/>
          <w:lang w:bidi="hi-IN"/>
        </w:rPr>
        <w:t xml:space="preserve"> m. </w:t>
      </w:r>
      <w:r w:rsidR="0097794E">
        <w:rPr>
          <w:rFonts w:ascii="Times New Roman" w:hAnsi="Times New Roman"/>
          <w:sz w:val="24"/>
          <w:szCs w:val="24"/>
          <w:lang w:bidi="hi-IN"/>
        </w:rPr>
        <w:t xml:space="preserve">gegužės 4 </w:t>
      </w:r>
      <w:r w:rsidRPr="008B1380">
        <w:rPr>
          <w:rFonts w:ascii="Times New Roman" w:hAnsi="Times New Roman"/>
          <w:sz w:val="24"/>
          <w:szCs w:val="24"/>
          <w:lang w:bidi="hi-IN"/>
        </w:rPr>
        <w:t>d. posėdžio protokolas Nr.</w:t>
      </w:r>
      <w:r w:rsidR="0097794E">
        <w:rPr>
          <w:rFonts w:ascii="Times New Roman" w:hAnsi="Times New Roman"/>
          <w:sz w:val="24"/>
          <w:szCs w:val="24"/>
          <w:lang w:bidi="hi-IN"/>
        </w:rPr>
        <w:t xml:space="preserve"> T-2</w:t>
      </w:r>
    </w:p>
    <w:p w:rsidR="006551EA" w:rsidRPr="008B1380" w:rsidRDefault="006551EA" w:rsidP="008B1380">
      <w:pPr>
        <w:pStyle w:val="NoSpacing"/>
        <w:rPr>
          <w:rStyle w:val="Numatytasispastraiposriftas1"/>
          <w:rFonts w:ascii="Times New Roman" w:hAnsi="Times New Roman"/>
          <w:sz w:val="24"/>
          <w:szCs w:val="24"/>
        </w:rPr>
      </w:pPr>
    </w:p>
    <w:p w:rsidR="006551EA" w:rsidRPr="008B1380" w:rsidRDefault="006551EA" w:rsidP="008B1380">
      <w:pPr>
        <w:pStyle w:val="NoSpacing"/>
        <w:rPr>
          <w:rStyle w:val="Numatytasispastraiposriftas1"/>
          <w:rFonts w:ascii="Times New Roman" w:hAnsi="Times New Roman"/>
          <w:sz w:val="24"/>
          <w:szCs w:val="24"/>
        </w:rPr>
      </w:pPr>
    </w:p>
    <w:p w:rsidR="006551EA" w:rsidRPr="008B1380" w:rsidRDefault="006551EA" w:rsidP="008B1380">
      <w:pPr>
        <w:pStyle w:val="NoSpacing"/>
        <w:rPr>
          <w:rFonts w:ascii="Times New Roman" w:hAnsi="Times New Roman"/>
          <w:sz w:val="24"/>
          <w:szCs w:val="24"/>
        </w:rPr>
      </w:pPr>
      <w:r w:rsidRPr="008B1380">
        <w:rPr>
          <w:rFonts w:ascii="Times New Roman" w:hAnsi="Times New Roman"/>
          <w:sz w:val="24"/>
          <w:szCs w:val="24"/>
        </w:rPr>
        <w:t>SUDERINTA</w:t>
      </w:r>
    </w:p>
    <w:p w:rsidR="006551EA" w:rsidRPr="008B1380" w:rsidRDefault="006551EA" w:rsidP="008B1380">
      <w:pPr>
        <w:pStyle w:val="NoSpacing"/>
        <w:rPr>
          <w:rFonts w:ascii="Times New Roman" w:hAnsi="Times New Roman"/>
          <w:sz w:val="24"/>
          <w:szCs w:val="24"/>
        </w:rPr>
      </w:pPr>
    </w:p>
    <w:p w:rsidR="006551EA" w:rsidRPr="008B1380" w:rsidRDefault="006551EA" w:rsidP="008B1380">
      <w:pPr>
        <w:pStyle w:val="NoSpacing"/>
        <w:rPr>
          <w:rFonts w:ascii="Times New Roman" w:hAnsi="Times New Roman"/>
          <w:kern w:val="3"/>
          <w:sz w:val="24"/>
          <w:szCs w:val="24"/>
          <w:lang w:eastAsia="zh-CN"/>
        </w:rPr>
      </w:pPr>
      <w:r w:rsidRPr="008B1380">
        <w:rPr>
          <w:rFonts w:ascii="Times New Roman" w:hAnsi="Times New Roman"/>
          <w:kern w:val="3"/>
          <w:sz w:val="24"/>
          <w:szCs w:val="24"/>
          <w:lang w:eastAsia="zh-CN"/>
        </w:rPr>
        <w:t xml:space="preserve">Panevėžio rajono savivaldybės administracijos </w:t>
      </w:r>
    </w:p>
    <w:p w:rsidR="006551EA" w:rsidRPr="008B1380" w:rsidRDefault="006551EA" w:rsidP="008B1380">
      <w:pPr>
        <w:pStyle w:val="NoSpacing"/>
        <w:rPr>
          <w:rFonts w:ascii="Times New Roman" w:hAnsi="Times New Roman"/>
          <w:kern w:val="3"/>
          <w:sz w:val="24"/>
          <w:szCs w:val="24"/>
          <w:lang w:eastAsia="zh-CN"/>
        </w:rPr>
      </w:pPr>
      <w:r w:rsidRPr="008B1380">
        <w:rPr>
          <w:rFonts w:ascii="Times New Roman" w:hAnsi="Times New Roman"/>
          <w:kern w:val="3"/>
          <w:sz w:val="24"/>
          <w:szCs w:val="24"/>
          <w:lang w:eastAsia="zh-CN"/>
        </w:rPr>
        <w:t>Švietimo, kultūros ir sporto skyriaus vedėjas</w:t>
      </w:r>
    </w:p>
    <w:p w:rsidR="006551EA" w:rsidRPr="008B1380" w:rsidRDefault="006551EA" w:rsidP="008B1380">
      <w:pPr>
        <w:pStyle w:val="NoSpacing"/>
        <w:rPr>
          <w:rFonts w:ascii="Times New Roman" w:hAnsi="Times New Roman"/>
          <w:kern w:val="3"/>
          <w:sz w:val="24"/>
          <w:szCs w:val="24"/>
          <w:lang w:eastAsia="zh-CN"/>
        </w:rPr>
      </w:pPr>
      <w:r w:rsidRPr="008B1380">
        <w:rPr>
          <w:rFonts w:ascii="Times New Roman" w:hAnsi="Times New Roman"/>
          <w:kern w:val="3"/>
          <w:sz w:val="24"/>
          <w:szCs w:val="24"/>
          <w:lang w:eastAsia="zh-CN"/>
        </w:rPr>
        <w:t>Algirdas Kęstutis Rimkus</w:t>
      </w:r>
    </w:p>
    <w:p w:rsidR="006551EA" w:rsidRPr="008B1380" w:rsidRDefault="006551EA" w:rsidP="008B1380">
      <w:pPr>
        <w:pStyle w:val="NoSpacing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</w:p>
    <w:sectPr w:rsidR="006551EA" w:rsidRPr="008B1380" w:rsidSect="00522CF3">
      <w:headerReference w:type="default" r:id="rId8"/>
      <w:headerReference w:type="first" r:id="rId9"/>
      <w:pgSz w:w="11906" w:h="16838"/>
      <w:pgMar w:top="993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3A" w:rsidRDefault="00D6643A">
      <w:pPr>
        <w:spacing w:after="0" w:line="240" w:lineRule="auto"/>
      </w:pPr>
      <w:r>
        <w:separator/>
      </w:r>
    </w:p>
  </w:endnote>
  <w:endnote w:type="continuationSeparator" w:id="0">
    <w:p w:rsidR="00D6643A" w:rsidRDefault="00D6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3A" w:rsidRDefault="00D6643A">
      <w:pPr>
        <w:spacing w:after="0" w:line="240" w:lineRule="auto"/>
      </w:pPr>
      <w:r>
        <w:separator/>
      </w:r>
    </w:p>
  </w:footnote>
  <w:footnote w:type="continuationSeparator" w:id="0">
    <w:p w:rsidR="00D6643A" w:rsidRDefault="00D6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50" w:rsidRDefault="006F725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40D05">
      <w:rPr>
        <w:noProof/>
      </w:rPr>
      <w:t>4</w:t>
    </w:r>
    <w:r>
      <w:fldChar w:fldCharType="end"/>
    </w:r>
  </w:p>
  <w:p w:rsidR="008A5E74" w:rsidRDefault="008A5E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608" w:rsidRDefault="00C71608">
    <w:pPr>
      <w:pStyle w:val="Header"/>
      <w:jc w:val="center"/>
    </w:pPr>
  </w:p>
  <w:p w:rsidR="00C71608" w:rsidRDefault="00C71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71010"/>
    <w:multiLevelType w:val="hybridMultilevel"/>
    <w:tmpl w:val="26248086"/>
    <w:lvl w:ilvl="0" w:tplc="582014E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5D62C7"/>
    <w:multiLevelType w:val="hybridMultilevel"/>
    <w:tmpl w:val="383A8DE0"/>
    <w:lvl w:ilvl="0" w:tplc="97201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5E671A"/>
    <w:multiLevelType w:val="hybridMultilevel"/>
    <w:tmpl w:val="315E44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8287F"/>
    <w:multiLevelType w:val="hybridMultilevel"/>
    <w:tmpl w:val="8B5CBE6E"/>
    <w:lvl w:ilvl="0" w:tplc="0C72E6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7AF8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1CA9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C2E0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3A63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7C1A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FE16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509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A27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F91658E"/>
    <w:multiLevelType w:val="hybridMultilevel"/>
    <w:tmpl w:val="AD004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C1D11"/>
    <w:multiLevelType w:val="hybridMultilevel"/>
    <w:tmpl w:val="59A8D93C"/>
    <w:lvl w:ilvl="0" w:tplc="4D58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D6D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828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7C1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A1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06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C5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89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80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E0076"/>
    <w:multiLevelType w:val="hybridMultilevel"/>
    <w:tmpl w:val="C8749076"/>
    <w:lvl w:ilvl="0" w:tplc="635E70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D6B9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4202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7082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4C87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50F6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A400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1AF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2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16A2D85"/>
    <w:multiLevelType w:val="hybridMultilevel"/>
    <w:tmpl w:val="EECCB1F4"/>
    <w:lvl w:ilvl="0" w:tplc="73AA9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FC34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C0F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CC2F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601A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60BF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48B5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FC11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247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B1C3134"/>
    <w:multiLevelType w:val="hybridMultilevel"/>
    <w:tmpl w:val="2F10C854"/>
    <w:lvl w:ilvl="0" w:tplc="55F02A90">
      <w:start w:val="4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74"/>
    <w:rsid w:val="000071F1"/>
    <w:rsid w:val="000548C8"/>
    <w:rsid w:val="00072430"/>
    <w:rsid w:val="00074BCA"/>
    <w:rsid w:val="00075187"/>
    <w:rsid w:val="000E27D0"/>
    <w:rsid w:val="000E3936"/>
    <w:rsid w:val="000E3AB9"/>
    <w:rsid w:val="000F352F"/>
    <w:rsid w:val="001756F4"/>
    <w:rsid w:val="0018749A"/>
    <w:rsid w:val="0021608C"/>
    <w:rsid w:val="002A4F65"/>
    <w:rsid w:val="002E0CBA"/>
    <w:rsid w:val="00304074"/>
    <w:rsid w:val="00311839"/>
    <w:rsid w:val="00334B18"/>
    <w:rsid w:val="003E0940"/>
    <w:rsid w:val="003E5941"/>
    <w:rsid w:val="003F7876"/>
    <w:rsid w:val="00422FAC"/>
    <w:rsid w:val="00480031"/>
    <w:rsid w:val="004846EB"/>
    <w:rsid w:val="00522CF3"/>
    <w:rsid w:val="005A3010"/>
    <w:rsid w:val="005D6C3B"/>
    <w:rsid w:val="005F0CCC"/>
    <w:rsid w:val="006137BF"/>
    <w:rsid w:val="006551EA"/>
    <w:rsid w:val="006C735E"/>
    <w:rsid w:val="006C7BA2"/>
    <w:rsid w:val="006F7250"/>
    <w:rsid w:val="00700BBD"/>
    <w:rsid w:val="00791657"/>
    <w:rsid w:val="007B706C"/>
    <w:rsid w:val="007C3B55"/>
    <w:rsid w:val="007E5AC0"/>
    <w:rsid w:val="00811630"/>
    <w:rsid w:val="00861EA8"/>
    <w:rsid w:val="008633C7"/>
    <w:rsid w:val="00880C47"/>
    <w:rsid w:val="008A5E74"/>
    <w:rsid w:val="008B1380"/>
    <w:rsid w:val="008D0A11"/>
    <w:rsid w:val="00907DA6"/>
    <w:rsid w:val="00931DAD"/>
    <w:rsid w:val="00956A41"/>
    <w:rsid w:val="00977618"/>
    <w:rsid w:val="0097794E"/>
    <w:rsid w:val="009804A4"/>
    <w:rsid w:val="00A2432A"/>
    <w:rsid w:val="00A73083"/>
    <w:rsid w:val="00A73950"/>
    <w:rsid w:val="00AB0A35"/>
    <w:rsid w:val="00AD13B9"/>
    <w:rsid w:val="00B15994"/>
    <w:rsid w:val="00B46BDF"/>
    <w:rsid w:val="00C71608"/>
    <w:rsid w:val="00C841E4"/>
    <w:rsid w:val="00C85F15"/>
    <w:rsid w:val="00CB7276"/>
    <w:rsid w:val="00CD68F1"/>
    <w:rsid w:val="00CE5EB7"/>
    <w:rsid w:val="00CF2945"/>
    <w:rsid w:val="00D42F1B"/>
    <w:rsid w:val="00D43BB0"/>
    <w:rsid w:val="00D6643A"/>
    <w:rsid w:val="00DA3FEE"/>
    <w:rsid w:val="00E32FA6"/>
    <w:rsid w:val="00E3501C"/>
    <w:rsid w:val="00F00CC1"/>
    <w:rsid w:val="00F40D05"/>
    <w:rsid w:val="00F45AC3"/>
    <w:rsid w:val="00FB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48754-63AB-4B89-9417-AE882DE8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E7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HeaderChar">
    <w:name w:val="Header Char"/>
    <w:link w:val="Header"/>
    <w:uiPriority w:val="99"/>
    <w:rsid w:val="008A5E7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4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F2945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CF2945"/>
    <w:pPr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C71608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71608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71608"/>
    <w:rPr>
      <w:sz w:val="22"/>
      <w:szCs w:val="22"/>
      <w:lang w:val="lt-LT"/>
    </w:rPr>
  </w:style>
  <w:style w:type="paragraph" w:styleId="ListParagraph">
    <w:name w:val="List Paragraph"/>
    <w:basedOn w:val="Normal"/>
    <w:uiPriority w:val="99"/>
    <w:qFormat/>
    <w:rsid w:val="002E0CB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astasis1">
    <w:name w:val="Įprastasis1"/>
    <w:rsid w:val="006551EA"/>
    <w:pPr>
      <w:widowControl w:val="0"/>
      <w:suppressAutoHyphens/>
      <w:spacing w:after="160" w:line="244" w:lineRule="auto"/>
      <w:textAlignment w:val="baseline"/>
    </w:pPr>
    <w:rPr>
      <w:rFonts w:eastAsia="SimSun" w:cs="Tahoma"/>
      <w:kern w:val="1"/>
      <w:sz w:val="22"/>
      <w:szCs w:val="22"/>
      <w:lang w:val="lt-LT" w:eastAsia="ar-SA"/>
    </w:rPr>
  </w:style>
  <w:style w:type="character" w:customStyle="1" w:styleId="Numatytasispastraiposriftas1">
    <w:name w:val="Numatytasis pastraipos šriftas1"/>
    <w:rsid w:val="0065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00BE-A338-4065-9A7B-7F1B915E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cp:lastModifiedBy>Inesa</cp:lastModifiedBy>
  <cp:revision>3</cp:revision>
  <dcterms:created xsi:type="dcterms:W3CDTF">2020-05-13T13:16:00Z</dcterms:created>
  <dcterms:modified xsi:type="dcterms:W3CDTF">2020-05-13T13:19:00Z</dcterms:modified>
</cp:coreProperties>
</file>