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CD6272">
      <w:pPr>
        <w:pStyle w:val="Antrats"/>
        <w:jc w:val="center"/>
      </w:pPr>
      <w:r>
        <w:t xml:space="preserve">                                                                        </w:t>
      </w:r>
      <w:r w:rsidR="004300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r w:rsidRPr="00CD6272">
        <w:rPr>
          <w:b/>
          <w:sz w:val="24"/>
          <w:szCs w:val="24"/>
        </w:rPr>
        <w:t xml:space="preserve"> Projektas</w:t>
      </w:r>
      <w:r>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FD47FF">
      <w:pPr>
        <w:pStyle w:val="Pagrindinistekstas"/>
      </w:pPr>
      <w:r>
        <w:t xml:space="preserve">DĖL PANEVĖŽIO RAJONO SAVIVALDYBĖS </w:t>
      </w:r>
      <w:r w:rsidR="004300E2">
        <w:t xml:space="preserve">TARYBOS </w:t>
      </w:r>
      <w:r>
        <w:t>2018 M. GRUODŽIO 20 D. SPRENDIMO NR. T-234 „</w:t>
      </w:r>
      <w:r w:rsidR="00B07407">
        <w:t xml:space="preserve">DĖL </w:t>
      </w:r>
      <w:r w:rsidR="00F07405">
        <w:t>PAN</w:t>
      </w:r>
      <w:r w:rsidR="003A7305">
        <w:t xml:space="preserve">EVĖŽIO RAJONO SAVIVALDYBĖS </w:t>
      </w:r>
      <w:r w:rsidR="00482624">
        <w:t>KONTROLIERIAUS PAREIGYBĖS APRAŠYMO</w:t>
      </w:r>
      <w:r w:rsidR="003A7305">
        <w:t xml:space="preserve"> </w:t>
      </w:r>
      <w:r w:rsidR="00152F88">
        <w:t>IR PAREIGYBIŲ SĄRAŠO</w:t>
      </w:r>
      <w:r w:rsidR="00382E79">
        <w:t xml:space="preserve"> </w:t>
      </w:r>
      <w:r w:rsidR="003A7305">
        <w:t>PATVIRTINIMO</w:t>
      </w:r>
      <w:proofErr w:type="gramStart"/>
      <w:r>
        <w:t>“ PAKEITIMO</w:t>
      </w:r>
      <w:proofErr w:type="gramEnd"/>
    </w:p>
    <w:p w:rsidR="00B07407" w:rsidRDefault="00B07407">
      <w:pPr>
        <w:rPr>
          <w:sz w:val="24"/>
          <w:lang w:val="lt-LT"/>
        </w:rPr>
      </w:pPr>
    </w:p>
    <w:p w:rsidR="00B07407" w:rsidRDefault="00B07407">
      <w:pPr>
        <w:rPr>
          <w:sz w:val="24"/>
          <w:lang w:val="lt-LT"/>
        </w:rPr>
      </w:pPr>
    </w:p>
    <w:p w:rsidR="00B07407" w:rsidRDefault="00CD6272">
      <w:pPr>
        <w:jc w:val="center"/>
        <w:rPr>
          <w:sz w:val="24"/>
          <w:lang w:val="lt-LT"/>
        </w:rPr>
      </w:pPr>
      <w:r>
        <w:rPr>
          <w:sz w:val="24"/>
          <w:lang w:val="lt-LT"/>
        </w:rPr>
        <w:t>2020</w:t>
      </w:r>
      <w:r w:rsidR="00B07407">
        <w:rPr>
          <w:sz w:val="24"/>
          <w:lang w:val="lt-LT"/>
        </w:rPr>
        <w:t xml:space="preserve"> m.</w:t>
      </w:r>
      <w:r w:rsidR="00E439EB">
        <w:rPr>
          <w:sz w:val="24"/>
          <w:lang w:val="lt-LT"/>
        </w:rPr>
        <w:t xml:space="preserve"> </w:t>
      </w:r>
      <w:r w:rsidR="00D25EB5">
        <w:rPr>
          <w:sz w:val="24"/>
          <w:lang w:val="lt-LT"/>
        </w:rPr>
        <w:t>liepos</w:t>
      </w:r>
      <w:r>
        <w:rPr>
          <w:sz w:val="24"/>
          <w:lang w:val="lt-LT"/>
        </w:rPr>
        <w:t xml:space="preserve"> </w:t>
      </w:r>
      <w:r w:rsidR="00D25EB5">
        <w:rPr>
          <w:sz w:val="24"/>
          <w:lang w:val="lt-LT"/>
        </w:rPr>
        <w:t xml:space="preserve">2 </w:t>
      </w:r>
      <w:r w:rsidR="00475C80">
        <w:rPr>
          <w:sz w:val="24"/>
          <w:lang w:val="lt-LT"/>
        </w:rPr>
        <w:t>d.</w:t>
      </w:r>
      <w:r>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CD6272" w:rsidRPr="00CD6272" w:rsidRDefault="00CD6272" w:rsidP="00CD6272">
      <w:pPr>
        <w:ind w:firstLine="720"/>
        <w:jc w:val="both"/>
        <w:rPr>
          <w:sz w:val="24"/>
          <w:szCs w:val="24"/>
          <w:lang w:val="lt-LT"/>
        </w:rPr>
      </w:pPr>
      <w:r w:rsidRPr="00CD6272">
        <w:rPr>
          <w:sz w:val="24"/>
          <w:szCs w:val="24"/>
          <w:lang w:val="lt-LT"/>
        </w:rPr>
        <w:t xml:space="preserve">Vadovaudamasi Lietuvos Respublikos vietos savivaldos </w:t>
      </w:r>
      <w:r>
        <w:rPr>
          <w:sz w:val="24"/>
          <w:szCs w:val="24"/>
          <w:lang w:val="lt-LT"/>
        </w:rPr>
        <w:t>įstatymo</w:t>
      </w:r>
      <w:r w:rsidRPr="00CD6272">
        <w:rPr>
          <w:sz w:val="24"/>
          <w:szCs w:val="24"/>
          <w:lang w:val="lt-LT"/>
        </w:rPr>
        <w:t xml:space="preserve"> 18 straipsnio 1 dalimi, Lietuvos Respublikos valstybės tarnybos įstatymo 8 straipsnio 3 dalimi, 4 dalies 5 punktu,</w:t>
      </w:r>
      <w:r w:rsidR="00C61FCC" w:rsidRPr="00C61FCC">
        <w:rPr>
          <w:sz w:val="24"/>
          <w:lang w:val="lt-LT"/>
        </w:rPr>
        <w:t xml:space="preserve"> </w:t>
      </w:r>
      <w:r w:rsidR="00C61FCC">
        <w:rPr>
          <w:sz w:val="24"/>
          <w:lang w:val="lt-LT"/>
        </w:rPr>
        <w:t>Valstybės tarnautojų pareigybių aprašymo ir vertinimo metodika, patvirtinta Lietuvos Respublikos Vyriausybės 2020 m. kovo 10 d. nutarimu Nr. 213 „Dėl Lietuvos Respublikos Vyriausybės 2018 m. lapkričio 28 d. nutarimo Nr. 1176 „Dėl Lietuvos Respublikos valstybės tarnybos įstatymo įgyvendinimo“ pakeitimo“, ir Valstybės tarnybos departamento prie Lietuvos Respublikos vidaus reikalų ministerijos direktoriaus 2020 m. kovo 31 d. įsakymu Nr. 27V-31 „Dėl valstybės tarnautojų pareigybių aprašymų ruošinių ir bendrųjų, vadybinių ir lyderystės, specifinių ir bendrosios (vidaus administravimo) veiklos srities profesinių kompetencijų aprašymų patvirtinimo“</w:t>
      </w:r>
      <w:r w:rsidRPr="00CD6272">
        <w:rPr>
          <w:sz w:val="24"/>
          <w:szCs w:val="24"/>
          <w:lang w:val="lt-LT"/>
        </w:rPr>
        <w:t xml:space="preserve">, </w:t>
      </w:r>
      <w:r>
        <w:rPr>
          <w:sz w:val="24"/>
          <w:szCs w:val="24"/>
          <w:lang w:val="lt-LT"/>
        </w:rPr>
        <w:t>Panevėžio</w:t>
      </w:r>
      <w:r w:rsidRPr="00CD6272">
        <w:rPr>
          <w:sz w:val="24"/>
          <w:szCs w:val="24"/>
          <w:lang w:val="lt-LT"/>
        </w:rPr>
        <w:t xml:space="preserve"> rajono savivaldybės taryba </w:t>
      </w:r>
      <w:r w:rsidRPr="00CD6272">
        <w:rPr>
          <w:spacing w:val="44"/>
          <w:sz w:val="24"/>
          <w:szCs w:val="24"/>
          <w:lang w:val="lt-LT"/>
        </w:rPr>
        <w:t>nusprendžia:</w:t>
      </w:r>
    </w:p>
    <w:p w:rsidR="00610125" w:rsidRDefault="00D25EB5" w:rsidP="00FD47FF">
      <w:pPr>
        <w:widowControl w:val="0"/>
        <w:ind w:firstLine="709"/>
        <w:jc w:val="both"/>
        <w:rPr>
          <w:rFonts w:eastAsia="Calibri"/>
          <w:sz w:val="24"/>
          <w:szCs w:val="24"/>
          <w:lang w:val="lt-LT"/>
        </w:rPr>
      </w:pPr>
      <w:r>
        <w:rPr>
          <w:sz w:val="24"/>
          <w:szCs w:val="24"/>
          <w:lang w:val="lt-LT"/>
        </w:rPr>
        <w:tab/>
      </w:r>
      <w:r w:rsidR="00FD47FF">
        <w:rPr>
          <w:rFonts w:eastAsia="Andale Sans UI"/>
          <w:kern w:val="3"/>
          <w:sz w:val="24"/>
          <w:szCs w:val="24"/>
          <w:lang w:val="lt-LT" w:eastAsia="ar-SA"/>
        </w:rPr>
        <w:t xml:space="preserve">Pakeisti Panevėžio rajono </w:t>
      </w:r>
      <w:r w:rsidR="00FD47FF">
        <w:rPr>
          <w:rFonts w:eastAsia="Calibri"/>
          <w:sz w:val="24"/>
          <w:szCs w:val="24"/>
          <w:lang w:val="lt-LT"/>
        </w:rPr>
        <w:t>s</w:t>
      </w:r>
      <w:r w:rsidR="00D116D8">
        <w:rPr>
          <w:rFonts w:eastAsia="Calibri"/>
          <w:sz w:val="24"/>
          <w:szCs w:val="24"/>
          <w:lang w:val="lt-LT"/>
        </w:rPr>
        <w:t>avivaldybės tarybos 2018 m. gruodžio 20 d. spre</w:t>
      </w:r>
      <w:r w:rsidR="00FD47FF">
        <w:rPr>
          <w:rFonts w:eastAsia="Calibri"/>
          <w:sz w:val="24"/>
          <w:szCs w:val="24"/>
          <w:lang w:val="lt-LT"/>
        </w:rPr>
        <w:t xml:space="preserve">ndimo </w:t>
      </w:r>
      <w:r w:rsidR="00D116D8">
        <w:rPr>
          <w:rFonts w:eastAsia="Calibri"/>
          <w:sz w:val="24"/>
          <w:szCs w:val="24"/>
          <w:lang w:val="lt-LT"/>
        </w:rPr>
        <w:t xml:space="preserve"> Nr. T-234 „Dėl Panevėžio rajono savivaldybės kontrolieriaus pareigybės aprašymo patvirtinimo ir pareigybių sąrašo patvirtinimo“</w:t>
      </w:r>
      <w:r w:rsidR="00FD47FF">
        <w:rPr>
          <w:rFonts w:eastAsia="Calibri"/>
          <w:sz w:val="24"/>
          <w:szCs w:val="24"/>
          <w:lang w:val="lt-LT"/>
        </w:rPr>
        <w:t xml:space="preserve"> 1.1 papunktį ir jį išdėstyti taip:</w:t>
      </w:r>
    </w:p>
    <w:p w:rsidR="00FD47FF" w:rsidRPr="00FD47FF" w:rsidRDefault="00FD47FF" w:rsidP="00FD47FF">
      <w:pPr>
        <w:widowControl w:val="0"/>
        <w:ind w:firstLine="709"/>
        <w:jc w:val="both"/>
        <w:rPr>
          <w:rFonts w:eastAsia="Andale Sans UI"/>
          <w:kern w:val="3"/>
          <w:sz w:val="24"/>
          <w:szCs w:val="24"/>
          <w:lang w:val="lt-LT" w:eastAsia="ar-SA"/>
        </w:rPr>
      </w:pPr>
      <w:r>
        <w:rPr>
          <w:rFonts w:eastAsia="Calibri"/>
          <w:sz w:val="24"/>
          <w:szCs w:val="24"/>
          <w:lang w:val="lt-LT"/>
        </w:rPr>
        <w:t>„1.1. Panevėžio rajono savivaldybės kontrolieriaus pareigybės aprašymą (pridedama);“.</w:t>
      </w:r>
    </w:p>
    <w:p w:rsidR="000D6838" w:rsidRDefault="000D6838" w:rsidP="002967D5">
      <w:pPr>
        <w:ind w:firstLine="720"/>
        <w:jc w:val="both"/>
        <w:rPr>
          <w:sz w:val="24"/>
          <w:lang w:val="lt-LT"/>
        </w:rPr>
      </w:pP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871D95" w:rsidRDefault="00871D95" w:rsidP="00382E79">
      <w:pPr>
        <w:jc w:val="both"/>
        <w:rPr>
          <w:sz w:val="24"/>
          <w:lang w:val="lt-LT"/>
        </w:rPr>
      </w:pPr>
    </w:p>
    <w:p w:rsidR="00871D95" w:rsidRDefault="00871D95">
      <w:pPr>
        <w:rPr>
          <w:sz w:val="24"/>
          <w:lang w:val="lt-LT"/>
        </w:rPr>
      </w:pPr>
    </w:p>
    <w:p w:rsidR="00600644" w:rsidRDefault="00600644"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482624" w:rsidRDefault="00482624" w:rsidP="003E36ED">
      <w:pPr>
        <w:rPr>
          <w:sz w:val="24"/>
          <w:lang w:val="lt-LT"/>
        </w:rPr>
      </w:pPr>
    </w:p>
    <w:p w:rsidR="00D116D8" w:rsidRDefault="00D116D8" w:rsidP="003E36ED">
      <w:pPr>
        <w:rPr>
          <w:sz w:val="24"/>
          <w:lang w:val="lt-LT"/>
        </w:rPr>
      </w:pPr>
    </w:p>
    <w:p w:rsidR="00D25EB5" w:rsidRDefault="00D25EB5" w:rsidP="003E36ED">
      <w:pPr>
        <w:rPr>
          <w:sz w:val="24"/>
          <w:lang w:val="lt-LT"/>
        </w:rPr>
      </w:pPr>
    </w:p>
    <w:p w:rsidR="00D25EB5" w:rsidRDefault="00D25EB5" w:rsidP="003E36ED">
      <w:pPr>
        <w:rPr>
          <w:sz w:val="24"/>
          <w:lang w:val="lt-LT"/>
        </w:rPr>
      </w:pPr>
      <w:r>
        <w:rPr>
          <w:sz w:val="24"/>
          <w:lang w:val="lt-LT"/>
        </w:rPr>
        <w:t xml:space="preserve">Stasė </w:t>
      </w:r>
      <w:proofErr w:type="spellStart"/>
      <w:r>
        <w:rPr>
          <w:sz w:val="24"/>
          <w:lang w:val="lt-LT"/>
        </w:rPr>
        <w:t>Venslavičienė</w:t>
      </w:r>
      <w:proofErr w:type="spellEnd"/>
    </w:p>
    <w:p w:rsidR="00CD6272" w:rsidRDefault="00D25EB5" w:rsidP="003E36ED">
      <w:pPr>
        <w:rPr>
          <w:sz w:val="24"/>
          <w:lang w:val="lt-LT"/>
        </w:rPr>
      </w:pPr>
      <w:r>
        <w:rPr>
          <w:sz w:val="24"/>
          <w:lang w:val="lt-LT"/>
        </w:rPr>
        <w:t>2020-06-1</w:t>
      </w:r>
      <w:r w:rsidR="00482624">
        <w:rPr>
          <w:sz w:val="24"/>
          <w:lang w:val="lt-LT"/>
        </w:rPr>
        <w:t>2</w:t>
      </w:r>
    </w:p>
    <w:p w:rsidR="00CD6272" w:rsidRDefault="00CD6272" w:rsidP="003E36ED">
      <w:pPr>
        <w:rPr>
          <w:sz w:val="24"/>
          <w:lang w:val="lt-LT"/>
        </w:rPr>
      </w:pPr>
    </w:p>
    <w:p w:rsidR="00FD47FF" w:rsidRDefault="00FD47FF" w:rsidP="003E36ED">
      <w:pPr>
        <w:rPr>
          <w:sz w:val="24"/>
          <w:lang w:val="lt-LT"/>
        </w:rPr>
      </w:pPr>
    </w:p>
    <w:p w:rsidR="003E36ED" w:rsidRDefault="00600644"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251FB"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w:t>
      </w:r>
      <w:r w:rsidR="00D25EB5">
        <w:rPr>
          <w:sz w:val="24"/>
          <w:lang w:val="lt-LT"/>
        </w:rPr>
        <w:t>arybos 2020</w:t>
      </w:r>
      <w:r w:rsidR="003E36ED">
        <w:rPr>
          <w:sz w:val="24"/>
          <w:lang w:val="lt-LT"/>
        </w:rPr>
        <w:t xml:space="preserve"> m. </w:t>
      </w:r>
      <w:r w:rsidR="00D25EB5">
        <w:rPr>
          <w:sz w:val="24"/>
          <w:lang w:val="lt-LT"/>
        </w:rPr>
        <w:t>liepos 2</w:t>
      </w:r>
      <w:r w:rsidR="003E36ED">
        <w:rPr>
          <w:sz w:val="24"/>
          <w:lang w:val="lt-LT"/>
        </w:rPr>
        <w:t xml:space="preserve">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p>
    <w:p w:rsidR="003E36ED" w:rsidRDefault="003E36ED" w:rsidP="003E36ED">
      <w:pPr>
        <w:rPr>
          <w:sz w:val="24"/>
          <w:lang w:val="lt-LT"/>
        </w:rPr>
      </w:pPr>
    </w:p>
    <w:p w:rsidR="00E05ADC" w:rsidRDefault="00E05ADC" w:rsidP="003E36ED">
      <w:pPr>
        <w:rPr>
          <w:sz w:val="24"/>
          <w:lang w:val="lt-LT"/>
        </w:rPr>
      </w:pPr>
    </w:p>
    <w:p w:rsidR="003E36ED" w:rsidRDefault="00B85D07">
      <w:pPr>
        <w:jc w:val="center"/>
        <w:rPr>
          <w:b/>
          <w:sz w:val="24"/>
          <w:szCs w:val="24"/>
        </w:rPr>
      </w:pPr>
      <w:r>
        <w:rPr>
          <w:b/>
          <w:sz w:val="24"/>
          <w:szCs w:val="24"/>
        </w:rPr>
        <w:t>PANEVĖŽIO RAJONO SAVIVALDYBĖS KONTROLIERIAUS</w:t>
      </w:r>
    </w:p>
    <w:p w:rsidR="00B85D07" w:rsidRDefault="00B85D07">
      <w:pPr>
        <w:jc w:val="center"/>
        <w:rPr>
          <w:b/>
          <w:sz w:val="24"/>
          <w:szCs w:val="24"/>
        </w:rPr>
      </w:pPr>
      <w:r>
        <w:rPr>
          <w:b/>
          <w:sz w:val="24"/>
          <w:szCs w:val="24"/>
        </w:rPr>
        <w:t>PAREIGYBĖS APRAŠYMAS</w:t>
      </w:r>
    </w:p>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B85D07" w:rsidTr="00B85D07">
        <w:trPr>
          <w:trHeight w:val="349"/>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72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 SKYRIUS</w:t>
                  </w:r>
                </w:p>
                <w:p w:rsidR="00B85D07" w:rsidRPr="000D6838" w:rsidRDefault="00B85D07" w:rsidP="00492B11">
                  <w:pPr>
                    <w:jc w:val="center"/>
                    <w:rPr>
                      <w:lang w:val="lt-LT"/>
                    </w:rPr>
                  </w:pPr>
                  <w:r w:rsidRPr="000D6838">
                    <w:rPr>
                      <w:b/>
                      <w:color w:val="000000"/>
                      <w:sz w:val="24"/>
                      <w:lang w:val="lt-LT"/>
                    </w:rPr>
                    <w:t>PAREIGYBĖS CHARAKTERISTIKA</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B85D07">
                  <w:pPr>
                    <w:jc w:val="both"/>
                    <w:rPr>
                      <w:lang w:val="lt-LT"/>
                    </w:rPr>
                  </w:pPr>
                  <w:r w:rsidRPr="000D6838">
                    <w:rPr>
                      <w:color w:val="000000"/>
                      <w:sz w:val="24"/>
                      <w:lang w:val="lt-LT"/>
                    </w:rPr>
                    <w:t>1. Pareigybės lygmuo – įstaigos vadovo pavaduotojas (II lygmuo).</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7FEA">
                  <w:pPr>
                    <w:rPr>
                      <w:lang w:val="lt-LT"/>
                    </w:rPr>
                  </w:pPr>
                  <w:r w:rsidRPr="000D6838">
                    <w:rPr>
                      <w:color w:val="000000"/>
                      <w:sz w:val="24"/>
                      <w:lang w:val="lt-LT"/>
                    </w:rPr>
                    <w:t xml:space="preserve">2. Šias pareigas einantis valstybės tarnautojas </w:t>
                  </w:r>
                  <w:r w:rsidR="000D7FEA">
                    <w:rPr>
                      <w:color w:val="000000"/>
                      <w:sz w:val="24"/>
                      <w:lang w:val="lt-LT"/>
                    </w:rPr>
                    <w:t>tiesiogiai pavaldus</w:t>
                  </w:r>
                  <w:r w:rsidR="00FD47FF">
                    <w:rPr>
                      <w:color w:val="000000"/>
                      <w:sz w:val="24"/>
                      <w:lang w:val="lt-LT"/>
                    </w:rPr>
                    <w:t xml:space="preserve"> Savivaldybės tarybai.</w:t>
                  </w:r>
                </w:p>
              </w:tc>
            </w:tr>
          </w:tbl>
          <w:p w:rsidR="00B85D07" w:rsidRPr="000D6838" w:rsidRDefault="00B85D07" w:rsidP="00492B11">
            <w:pPr>
              <w:rPr>
                <w:lang w:val="lt-LT"/>
              </w:rPr>
            </w:pPr>
          </w:p>
        </w:tc>
      </w:tr>
      <w:tr w:rsidR="00B85D07" w:rsidTr="00B85D07">
        <w:trPr>
          <w:trHeight w:val="346"/>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60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II SKYRIUS</w:t>
                  </w:r>
                </w:p>
                <w:p w:rsidR="00B85D07" w:rsidRPr="000D6838" w:rsidRDefault="00B85D07" w:rsidP="00492B11">
                  <w:pPr>
                    <w:jc w:val="center"/>
                    <w:rPr>
                      <w:lang w:val="lt-LT"/>
                    </w:rPr>
                  </w:pPr>
                  <w:r w:rsidRPr="000D6838">
                    <w:rPr>
                      <w:b/>
                      <w:color w:val="000000"/>
                      <w:sz w:val="24"/>
                      <w:lang w:val="lt-LT"/>
                    </w:rPr>
                    <w:t>FUNKCIJOS</w:t>
                  </w:r>
                </w:p>
              </w:tc>
            </w:tr>
          </w:tbl>
          <w:p w:rsidR="00B85D07" w:rsidRPr="000D6838" w:rsidRDefault="00B85D07" w:rsidP="00492B11">
            <w:pPr>
              <w:rPr>
                <w:lang w:val="lt-LT"/>
              </w:rPr>
            </w:pPr>
          </w:p>
        </w:tc>
      </w:tr>
      <w:tr w:rsidR="00B85D07" w:rsidTr="00B85D07">
        <w:trPr>
          <w:trHeight w:val="39"/>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B85D07" w:rsidRPr="000D6838" w:rsidTr="00492B11">
              <w:trPr>
                <w:trHeight w:val="260"/>
              </w:trPr>
              <w:tc>
                <w:tcPr>
                  <w:tcW w:w="9070" w:type="dxa"/>
                  <w:tcMar>
                    <w:top w:w="40" w:type="dxa"/>
                    <w:left w:w="40" w:type="dxa"/>
                    <w:bottom w:w="40" w:type="dxa"/>
                    <w:right w:w="40" w:type="dxa"/>
                  </w:tcMar>
                </w:tcPr>
                <w:p w:rsidR="00B85D07" w:rsidRPr="000D6838" w:rsidRDefault="000D6838" w:rsidP="000D6838">
                  <w:pPr>
                    <w:jc w:val="both"/>
                    <w:rPr>
                      <w:lang w:val="lt-LT"/>
                    </w:rPr>
                  </w:pPr>
                  <w:r w:rsidRPr="000D6838">
                    <w:rPr>
                      <w:color w:val="000000"/>
                      <w:sz w:val="24"/>
                      <w:lang w:val="lt-LT"/>
                    </w:rPr>
                    <w:t>3. Atstovauja įstaigai santykiuose su kitomis įstaigomis, organizacijomis bei fiziniais asmenimis.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6838" w:rsidP="000D6838">
                  <w:pPr>
                    <w:jc w:val="both"/>
                    <w:rPr>
                      <w:lang w:val="lt-LT"/>
                    </w:rPr>
                  </w:pPr>
                  <w:r w:rsidRPr="000D6838">
                    <w:rPr>
                      <w:color w:val="000000"/>
                      <w:sz w:val="24"/>
                      <w:lang w:val="lt-LT"/>
                    </w:rPr>
                    <w:t>4. Vadovauja įstaigai.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6838">
                  <w:pPr>
                    <w:jc w:val="both"/>
                    <w:rPr>
                      <w:lang w:val="lt-LT"/>
                    </w:rPr>
                  </w:pPr>
                  <w:r w:rsidRPr="000D6838">
                    <w:rPr>
                      <w:color w:val="000000"/>
                      <w:sz w:val="24"/>
                      <w:lang w:val="lt-LT"/>
                    </w:rPr>
                    <w:t xml:space="preserve">5. </w:t>
                  </w:r>
                  <w:r w:rsidR="000D6838" w:rsidRPr="000D6838">
                    <w:rPr>
                      <w:color w:val="000000"/>
                      <w:sz w:val="24"/>
                      <w:lang w:val="lt-LT"/>
                    </w:rPr>
                    <w:t>Valdo įstaigos funkcijų atlikimo kokybę, savalaikiškumą ir atitiktį veiklos sričiai keliamiems reikalavimams.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6838">
                  <w:pPr>
                    <w:jc w:val="both"/>
                    <w:rPr>
                      <w:lang w:val="lt-LT"/>
                    </w:rPr>
                  </w:pPr>
                  <w:r w:rsidRPr="000D6838">
                    <w:rPr>
                      <w:color w:val="000000"/>
                      <w:sz w:val="24"/>
                      <w:lang w:val="lt-LT"/>
                    </w:rPr>
                    <w:t xml:space="preserve">6. </w:t>
                  </w:r>
                  <w:r w:rsidR="000D6838" w:rsidRPr="000D6838">
                    <w:rPr>
                      <w:color w:val="000000"/>
                      <w:sz w:val="24"/>
                      <w:lang w:val="lt-LT"/>
                    </w:rPr>
                    <w:t>Valdo įstaigos išteklius.</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B85D07" w:rsidP="000D7FEA">
                  <w:pPr>
                    <w:jc w:val="both"/>
                    <w:rPr>
                      <w:lang w:val="lt-LT"/>
                    </w:rPr>
                  </w:pPr>
                  <w:r w:rsidRPr="000D6838">
                    <w:rPr>
                      <w:color w:val="000000"/>
                      <w:sz w:val="24"/>
                      <w:lang w:val="lt-LT"/>
                    </w:rPr>
                    <w:t xml:space="preserve">7. </w:t>
                  </w:r>
                  <w:r w:rsidR="000D6838" w:rsidRPr="000D6838">
                    <w:rPr>
                      <w:color w:val="000000"/>
                      <w:sz w:val="24"/>
                      <w:lang w:val="lt-LT"/>
                    </w:rPr>
                    <w:t>Atlieka Lietuvos Respublikos vietos savival</w:t>
                  </w:r>
                  <w:r w:rsidR="00D116D8">
                    <w:rPr>
                      <w:color w:val="000000"/>
                      <w:sz w:val="24"/>
                      <w:lang w:val="lt-LT"/>
                    </w:rPr>
                    <w:t>dos įstatyme</w:t>
                  </w:r>
                  <w:r w:rsidR="000D6838" w:rsidRPr="000D6838">
                    <w:rPr>
                      <w:color w:val="000000"/>
                      <w:sz w:val="24"/>
                      <w:lang w:val="lt-LT"/>
                    </w:rPr>
                    <w:t xml:space="preserve"> </w:t>
                  </w:r>
                  <w:r w:rsidR="000D7FEA">
                    <w:rPr>
                      <w:color w:val="000000"/>
                      <w:sz w:val="24"/>
                      <w:lang w:val="lt-LT"/>
                    </w:rPr>
                    <w:t>ir kituose teisės aktuose Savivaldybės kontrolieriaus kompetencijai priskirtas funkcijas.</w:t>
                  </w:r>
                </w:p>
              </w:tc>
            </w:tr>
          </w:tbl>
          <w:p w:rsidR="00B85D07" w:rsidRPr="000D6838" w:rsidRDefault="00B85D07" w:rsidP="00492B11">
            <w:pPr>
              <w:jc w:val="both"/>
              <w:rPr>
                <w:lang w:val="lt-LT"/>
              </w:rPr>
            </w:pPr>
          </w:p>
        </w:tc>
      </w:tr>
      <w:tr w:rsidR="00B85D07" w:rsidTr="00B85D07">
        <w:trPr>
          <w:trHeight w:val="20"/>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jc w:val="both"/>
              <w:rPr>
                <w:lang w:val="lt-LT"/>
              </w:rPr>
            </w:pPr>
          </w:p>
        </w:tc>
        <w:tc>
          <w:tcPr>
            <w:tcW w:w="6" w:type="dxa"/>
          </w:tcPr>
          <w:p w:rsidR="00B85D07" w:rsidRPr="000D6838" w:rsidRDefault="00B85D07" w:rsidP="00492B11">
            <w:pPr>
              <w:pStyle w:val="EmptyLayoutCell"/>
              <w:jc w:val="both"/>
              <w:rPr>
                <w:lang w:val="lt-LT"/>
              </w:rPr>
            </w:pPr>
          </w:p>
        </w:tc>
        <w:tc>
          <w:tcPr>
            <w:tcW w:w="9055" w:type="dxa"/>
          </w:tcPr>
          <w:p w:rsidR="00B85D07" w:rsidRPr="000D6838" w:rsidRDefault="00B85D07" w:rsidP="00492B11">
            <w:pPr>
              <w:pStyle w:val="EmptyLayoutCell"/>
              <w:jc w:val="both"/>
              <w:rPr>
                <w:lang w:val="lt-LT"/>
              </w:rPr>
            </w:pPr>
          </w:p>
        </w:tc>
        <w:tc>
          <w:tcPr>
            <w:tcW w:w="13" w:type="dxa"/>
          </w:tcPr>
          <w:p w:rsidR="00B85D07" w:rsidRPr="000D6838" w:rsidRDefault="00B85D07" w:rsidP="00492B11">
            <w:pPr>
              <w:pStyle w:val="EmptyLayoutCell"/>
              <w:jc w:val="both"/>
              <w:rPr>
                <w:lang w:val="lt-LT"/>
              </w:rPr>
            </w:pPr>
          </w:p>
        </w:tc>
      </w:tr>
      <w:tr w:rsidR="00B85D07" w:rsidTr="00B85D07">
        <w:tc>
          <w:tcPr>
            <w:tcW w:w="13" w:type="dxa"/>
          </w:tcPr>
          <w:p w:rsidR="00B85D07" w:rsidRPr="000D7FEA" w:rsidRDefault="00B85D07" w:rsidP="00492B11">
            <w:pPr>
              <w:pStyle w:val="EmptyLayoutCell"/>
              <w:rPr>
                <w:sz w:val="24"/>
                <w:szCs w:val="24"/>
              </w:rPr>
            </w:pPr>
          </w:p>
        </w:tc>
        <w:tc>
          <w:tcPr>
            <w:tcW w:w="9080" w:type="dxa"/>
            <w:gridSpan w:val="4"/>
          </w:tcPr>
          <w:p w:rsidR="00B85D07" w:rsidRPr="000D7FEA" w:rsidRDefault="000D7FEA" w:rsidP="00492B11">
            <w:pPr>
              <w:jc w:val="both"/>
              <w:rPr>
                <w:sz w:val="24"/>
                <w:szCs w:val="24"/>
                <w:lang w:val="lt-LT"/>
              </w:rPr>
            </w:pPr>
            <w:r w:rsidRPr="000D7FEA">
              <w:rPr>
                <w:sz w:val="24"/>
                <w:szCs w:val="24"/>
                <w:lang w:val="lt-LT"/>
              </w:rPr>
              <w:t>8. Vykdo kitus nenuolatinio pobūdžio su įstaigos veikla susijusius pavedimus.</w:t>
            </w:r>
          </w:p>
        </w:tc>
      </w:tr>
      <w:tr w:rsidR="00B85D07" w:rsidTr="00B85D07">
        <w:trPr>
          <w:trHeight w:val="20"/>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jc w:val="both"/>
              <w:rPr>
                <w:lang w:val="lt-LT"/>
              </w:rPr>
            </w:pPr>
          </w:p>
        </w:tc>
        <w:tc>
          <w:tcPr>
            <w:tcW w:w="6" w:type="dxa"/>
          </w:tcPr>
          <w:p w:rsidR="00B85D07" w:rsidRPr="000D6838" w:rsidRDefault="00B85D07" w:rsidP="00492B11">
            <w:pPr>
              <w:pStyle w:val="EmptyLayoutCell"/>
              <w:jc w:val="both"/>
              <w:rPr>
                <w:lang w:val="lt-LT"/>
              </w:rPr>
            </w:pPr>
          </w:p>
        </w:tc>
        <w:tc>
          <w:tcPr>
            <w:tcW w:w="9055" w:type="dxa"/>
          </w:tcPr>
          <w:p w:rsidR="00B85D07" w:rsidRPr="000D6838" w:rsidRDefault="00B85D07" w:rsidP="00492B11">
            <w:pPr>
              <w:pStyle w:val="EmptyLayoutCell"/>
              <w:jc w:val="both"/>
              <w:rPr>
                <w:lang w:val="lt-LT"/>
              </w:rPr>
            </w:pPr>
          </w:p>
        </w:tc>
        <w:tc>
          <w:tcPr>
            <w:tcW w:w="13" w:type="dxa"/>
          </w:tcPr>
          <w:p w:rsidR="00B85D07" w:rsidRPr="000D6838" w:rsidRDefault="00B85D07" w:rsidP="00492B11">
            <w:pPr>
              <w:pStyle w:val="EmptyLayoutCell"/>
              <w:jc w:val="both"/>
              <w:rPr>
                <w:lang w:val="lt-LT"/>
              </w:rPr>
            </w:pPr>
          </w:p>
        </w:tc>
      </w:tr>
      <w:tr w:rsidR="00B85D07" w:rsidTr="00B85D07">
        <w:tc>
          <w:tcPr>
            <w:tcW w:w="13" w:type="dxa"/>
          </w:tcPr>
          <w:p w:rsidR="00B85D07" w:rsidRDefault="00B85D07" w:rsidP="00492B11">
            <w:pPr>
              <w:pStyle w:val="EmptyLayoutCell"/>
            </w:pPr>
          </w:p>
        </w:tc>
        <w:tc>
          <w:tcPr>
            <w:tcW w:w="9080" w:type="dxa"/>
            <w:gridSpan w:val="4"/>
          </w:tcPr>
          <w:p w:rsidR="00B85D07" w:rsidRPr="000D6838" w:rsidRDefault="00B85D07" w:rsidP="00492B11">
            <w:pPr>
              <w:jc w:val="both"/>
              <w:rPr>
                <w:lang w:val="lt-LT"/>
              </w:rPr>
            </w:pPr>
          </w:p>
        </w:tc>
      </w:tr>
      <w:tr w:rsidR="00B85D07" w:rsidTr="00B85D07">
        <w:trPr>
          <w:trHeight w:val="139"/>
        </w:trPr>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55" w:type="dxa"/>
          </w:tcPr>
          <w:p w:rsidR="00B85D07" w:rsidRPr="000D6838" w:rsidRDefault="00B85D07" w:rsidP="00492B11">
            <w:pPr>
              <w:pStyle w:val="EmptyLayoutCell"/>
              <w:rPr>
                <w:lang w:val="lt-LT"/>
              </w:rPr>
            </w:pPr>
          </w:p>
        </w:tc>
        <w:tc>
          <w:tcPr>
            <w:tcW w:w="13" w:type="dxa"/>
          </w:tcPr>
          <w:p w:rsidR="00B85D07" w:rsidRPr="000D6838" w:rsidRDefault="00B85D07" w:rsidP="00492B11">
            <w:pPr>
              <w:pStyle w:val="EmptyLayoutCell"/>
              <w:rPr>
                <w:lang w:val="lt-LT"/>
              </w:rPr>
            </w:pPr>
          </w:p>
        </w:tc>
      </w:tr>
      <w:tr w:rsidR="00B85D07" w:rsidTr="00B85D07">
        <w:tc>
          <w:tcPr>
            <w:tcW w:w="13" w:type="dxa"/>
          </w:tcPr>
          <w:p w:rsidR="00B85D07" w:rsidRDefault="00B85D07" w:rsidP="00492B11">
            <w:pPr>
              <w:pStyle w:val="EmptyLayoutCell"/>
            </w:pPr>
          </w:p>
        </w:tc>
        <w:tc>
          <w:tcPr>
            <w:tcW w:w="6" w:type="dxa"/>
          </w:tcPr>
          <w:p w:rsidR="00B85D07" w:rsidRPr="000D6838" w:rsidRDefault="00B85D07" w:rsidP="00492B11">
            <w:pPr>
              <w:pStyle w:val="EmptyLayoutCell"/>
              <w:rPr>
                <w:lang w:val="lt-LT"/>
              </w:rPr>
            </w:pPr>
          </w:p>
        </w:tc>
        <w:tc>
          <w:tcPr>
            <w:tcW w:w="6" w:type="dxa"/>
          </w:tcPr>
          <w:p w:rsidR="00B85D07" w:rsidRPr="000D6838" w:rsidRDefault="00B85D07" w:rsidP="00492B1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600"/>
              </w:trPr>
              <w:tc>
                <w:tcPr>
                  <w:tcW w:w="9070" w:type="dxa"/>
                  <w:tcMar>
                    <w:top w:w="40" w:type="dxa"/>
                    <w:left w:w="40" w:type="dxa"/>
                    <w:bottom w:w="40" w:type="dxa"/>
                    <w:right w:w="40" w:type="dxa"/>
                  </w:tcMar>
                </w:tcPr>
                <w:p w:rsidR="00B85D07" w:rsidRPr="000D6838" w:rsidRDefault="00B85D07" w:rsidP="00492B11">
                  <w:pPr>
                    <w:jc w:val="center"/>
                    <w:rPr>
                      <w:lang w:val="lt-LT"/>
                    </w:rPr>
                  </w:pPr>
                  <w:r w:rsidRPr="000D6838">
                    <w:rPr>
                      <w:b/>
                      <w:color w:val="000000"/>
                      <w:sz w:val="24"/>
                      <w:lang w:val="lt-LT"/>
                    </w:rPr>
                    <w:t>III SKYRIUS</w:t>
                  </w:r>
                </w:p>
                <w:p w:rsidR="00B85D07" w:rsidRPr="000D6838" w:rsidRDefault="00B85D07" w:rsidP="00492B11">
                  <w:pPr>
                    <w:jc w:val="center"/>
                    <w:rPr>
                      <w:lang w:val="lt-LT"/>
                    </w:rPr>
                  </w:pPr>
                  <w:r w:rsidRPr="000D6838">
                    <w:rPr>
                      <w:b/>
                      <w:color w:val="000000"/>
                      <w:sz w:val="24"/>
                      <w:lang w:val="lt-LT"/>
                    </w:rPr>
                    <w:t>SPECIALIEJI REIKALAVIMAI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7FEA" w:rsidP="00492B11">
                  <w:pPr>
                    <w:jc w:val="both"/>
                    <w:rPr>
                      <w:lang w:val="lt-LT"/>
                    </w:rPr>
                  </w:pPr>
                  <w:r>
                    <w:rPr>
                      <w:color w:val="000000"/>
                      <w:sz w:val="24"/>
                      <w:lang w:val="lt-LT"/>
                    </w:rPr>
                    <w:t>9</w:t>
                  </w:r>
                  <w:r w:rsidR="00B85D07" w:rsidRPr="000D6838">
                    <w:rPr>
                      <w:color w:val="000000"/>
                      <w:sz w:val="24"/>
                      <w:lang w:val="lt-LT"/>
                    </w:rPr>
                    <w:t>. Išsilavinimo ir darbo patirties reikalavimai:</w:t>
                  </w:r>
                  <w:r w:rsidR="00B85D07" w:rsidRPr="000D6838">
                    <w:rPr>
                      <w:color w:val="FFFFFF"/>
                      <w:sz w:val="24"/>
                      <w:lang w:val="lt-LT"/>
                    </w:rPr>
                    <w:t>0</w:t>
                  </w:r>
                </w:p>
              </w:tc>
            </w:tr>
            <w:tr w:rsidR="00B85D07" w:rsidRPr="000D6838" w:rsidTr="00492B11">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B85D07" w:rsidRPr="000D6838" w:rsidTr="00492B11">
                          <w:trPr>
                            <w:trHeight w:val="260"/>
                          </w:trPr>
                          <w:tc>
                            <w:tcPr>
                              <w:tcW w:w="9070" w:type="dxa"/>
                              <w:tcMar>
                                <w:top w:w="40" w:type="dxa"/>
                                <w:left w:w="40" w:type="dxa"/>
                                <w:bottom w:w="40" w:type="dxa"/>
                                <w:right w:w="40" w:type="dxa"/>
                              </w:tcMar>
                            </w:tcPr>
                            <w:p w:rsidR="00B85D07" w:rsidRDefault="000D7FEA" w:rsidP="00492B11">
                              <w:pPr>
                                <w:jc w:val="both"/>
                                <w:rPr>
                                  <w:color w:val="000000"/>
                                  <w:sz w:val="24"/>
                                  <w:lang w:val="lt-LT"/>
                                </w:rPr>
                              </w:pPr>
                              <w:r>
                                <w:rPr>
                                  <w:color w:val="000000"/>
                                  <w:sz w:val="24"/>
                                  <w:lang w:val="lt-LT"/>
                                </w:rPr>
                                <w:t>9</w:t>
                              </w:r>
                              <w:r w:rsidR="00B85D07" w:rsidRPr="000D6838">
                                <w:rPr>
                                  <w:color w:val="000000"/>
                                  <w:sz w:val="24"/>
                                  <w:lang w:val="lt-LT"/>
                                </w:rPr>
                                <w:t xml:space="preserve">.1. išsilavinimas – aukštasis universitetinis išsilavinimas (ne žemesnis kaip bakalauro kvalifikacinis laipsnis) arba jam lygiavertė aukštojo mokslo kvalifikacija; </w:t>
                              </w:r>
                            </w:p>
                            <w:p w:rsidR="000D7FEA" w:rsidRPr="000D6838" w:rsidRDefault="000D7FEA" w:rsidP="00492B11">
                              <w:pPr>
                                <w:jc w:val="both"/>
                                <w:rPr>
                                  <w:lang w:val="lt-LT"/>
                                </w:rPr>
                              </w:pPr>
                              <w:r>
                                <w:rPr>
                                  <w:color w:val="000000"/>
                                  <w:sz w:val="24"/>
                                  <w:lang w:val="lt-LT"/>
                                </w:rPr>
                                <w:t>9.2. vadovaujamojo darbo patirties trukmė – ne mažiau kaip 3 metai;</w:t>
                              </w:r>
                            </w:p>
                          </w:tc>
                        </w:tr>
                        <w:tr w:rsidR="00B85D07" w:rsidRPr="000D6838" w:rsidTr="00492B11">
                          <w:trPr>
                            <w:trHeight w:val="260"/>
                          </w:trPr>
                          <w:tc>
                            <w:tcPr>
                              <w:tcW w:w="9070" w:type="dxa"/>
                              <w:tcMar>
                                <w:top w:w="40" w:type="dxa"/>
                                <w:left w:w="40" w:type="dxa"/>
                                <w:bottom w:w="40" w:type="dxa"/>
                                <w:right w:w="40" w:type="dxa"/>
                              </w:tcMar>
                            </w:tcPr>
                            <w:p w:rsidR="00B85D07" w:rsidRPr="000D6838" w:rsidRDefault="000D7FEA" w:rsidP="00492B11">
                              <w:pPr>
                                <w:jc w:val="both"/>
                                <w:rPr>
                                  <w:color w:val="000000"/>
                                  <w:sz w:val="24"/>
                                  <w:lang w:val="lt-LT"/>
                                </w:rPr>
                              </w:pPr>
                              <w:r>
                                <w:rPr>
                                  <w:color w:val="000000"/>
                                  <w:sz w:val="24"/>
                                  <w:lang w:val="lt-LT"/>
                                </w:rPr>
                                <w:t>9</w:t>
                              </w:r>
                              <w:r w:rsidR="0049372E" w:rsidRPr="000D6838">
                                <w:rPr>
                                  <w:color w:val="000000"/>
                                  <w:sz w:val="24"/>
                                  <w:lang w:val="lt-LT"/>
                                </w:rPr>
                                <w:t>.</w:t>
                              </w:r>
                              <w:r>
                                <w:rPr>
                                  <w:color w:val="000000"/>
                                  <w:sz w:val="24"/>
                                  <w:lang w:val="lt-LT"/>
                                </w:rPr>
                                <w:t>3</w:t>
                              </w:r>
                              <w:r w:rsidR="0049372E" w:rsidRPr="000D6838">
                                <w:rPr>
                                  <w:color w:val="000000"/>
                                  <w:sz w:val="24"/>
                                  <w:lang w:val="lt-LT"/>
                                </w:rPr>
                                <w:t>. darbo patirtis</w:t>
                              </w:r>
                              <w:r w:rsidR="00B85D07" w:rsidRPr="000D6838">
                                <w:rPr>
                                  <w:color w:val="000000"/>
                                  <w:sz w:val="24"/>
                                  <w:lang w:val="lt-LT"/>
                                </w:rPr>
                                <w:t xml:space="preserve"> –</w:t>
                              </w:r>
                              <w:r w:rsidR="0049372E" w:rsidRPr="000D6838">
                                <w:rPr>
                                  <w:color w:val="000000"/>
                                  <w:sz w:val="24"/>
                                  <w:lang w:val="lt-LT"/>
                                </w:rPr>
                                <w:t xml:space="preserve"> </w:t>
                              </w:r>
                              <w:r w:rsidR="00B85D07" w:rsidRPr="000D6838">
                                <w:rPr>
                                  <w:color w:val="000000"/>
                                  <w:sz w:val="24"/>
                                  <w:lang w:val="lt-LT"/>
                                </w:rPr>
                                <w:t>finansų, ekonomikos, teisės, audito arba kontrolės srityse;</w:t>
                              </w:r>
                            </w:p>
                            <w:p w:rsidR="00B85D07" w:rsidRPr="000D6838" w:rsidRDefault="000D7FEA" w:rsidP="000D7FEA">
                              <w:pPr>
                                <w:jc w:val="both"/>
                                <w:rPr>
                                  <w:lang w:val="lt-LT"/>
                                </w:rPr>
                              </w:pPr>
                              <w:r>
                                <w:rPr>
                                  <w:color w:val="000000"/>
                                  <w:sz w:val="24"/>
                                  <w:lang w:val="lt-LT"/>
                                </w:rPr>
                                <w:t>9</w:t>
                              </w:r>
                              <w:r w:rsidR="00B85D07" w:rsidRPr="000D6838">
                                <w:rPr>
                                  <w:color w:val="000000"/>
                                  <w:sz w:val="24"/>
                                  <w:lang w:val="lt-LT"/>
                                </w:rPr>
                                <w:t>.</w:t>
                              </w:r>
                              <w:r>
                                <w:rPr>
                                  <w:color w:val="000000"/>
                                  <w:sz w:val="24"/>
                                  <w:lang w:val="lt-LT"/>
                                </w:rPr>
                                <w:t>4</w:t>
                              </w:r>
                              <w:r w:rsidR="00B85D07" w:rsidRPr="000D6838">
                                <w:rPr>
                                  <w:color w:val="000000"/>
                                  <w:sz w:val="24"/>
                                  <w:lang w:val="lt-LT"/>
                                </w:rPr>
                                <w:t>.</w:t>
                              </w:r>
                              <w:r w:rsidR="0049372E" w:rsidRPr="000D6838">
                                <w:rPr>
                                  <w:color w:val="000000"/>
                                  <w:sz w:val="24"/>
                                  <w:lang w:val="lt-LT"/>
                                </w:rPr>
                                <w:t xml:space="preserve"> darbo patirties trukmė – ne mažiau kaip 3 metai.</w:t>
                              </w:r>
                            </w:p>
                          </w:tc>
                        </w:tr>
                      </w:tbl>
                      <w:p w:rsidR="00B85D07" w:rsidRPr="000D6838" w:rsidRDefault="00B85D07" w:rsidP="00492B11">
                        <w:pPr>
                          <w:jc w:val="both"/>
                          <w:rPr>
                            <w:lang w:val="lt-LT"/>
                          </w:rPr>
                        </w:pPr>
                      </w:p>
                    </w:tc>
                  </w:tr>
                </w:tbl>
                <w:p w:rsidR="00B85D07" w:rsidRPr="000D6838" w:rsidRDefault="00B85D07" w:rsidP="00492B11">
                  <w:pPr>
                    <w:jc w:val="both"/>
                    <w:rPr>
                      <w:lang w:val="lt-LT"/>
                    </w:rPr>
                  </w:pPr>
                </w:p>
              </w:tc>
            </w:tr>
            <w:tr w:rsidR="00B85D07" w:rsidRPr="000D6838" w:rsidTr="00492B11">
              <w:trPr>
                <w:trHeight w:val="260"/>
              </w:trPr>
              <w:tc>
                <w:tcPr>
                  <w:tcW w:w="9070" w:type="dxa"/>
                  <w:tcMar>
                    <w:top w:w="40" w:type="dxa"/>
                    <w:left w:w="40" w:type="dxa"/>
                    <w:bottom w:w="40" w:type="dxa"/>
                    <w:right w:w="40" w:type="dxa"/>
                  </w:tcMar>
                </w:tcPr>
                <w:p w:rsidR="00B85D07" w:rsidRDefault="00B85D07" w:rsidP="00492B11">
                  <w:pPr>
                    <w:jc w:val="both"/>
                    <w:rPr>
                      <w:lang w:val="lt-LT"/>
                    </w:rPr>
                  </w:pPr>
                </w:p>
                <w:p w:rsidR="000D7FEA" w:rsidRDefault="000D7FEA" w:rsidP="00492B11">
                  <w:pPr>
                    <w:jc w:val="both"/>
                    <w:rPr>
                      <w:lang w:val="lt-LT"/>
                    </w:rPr>
                  </w:pPr>
                </w:p>
                <w:p w:rsidR="000D7FEA" w:rsidRPr="000D7FEA" w:rsidRDefault="000D7FEA" w:rsidP="000D7FEA">
                  <w:pPr>
                    <w:jc w:val="center"/>
                    <w:rPr>
                      <w:b/>
                      <w:sz w:val="24"/>
                      <w:szCs w:val="24"/>
                      <w:lang w:val="lt-LT"/>
                    </w:rPr>
                  </w:pPr>
                  <w:r w:rsidRPr="000D7FEA">
                    <w:rPr>
                      <w:b/>
                      <w:sz w:val="24"/>
                      <w:szCs w:val="24"/>
                      <w:lang w:val="lt-LT"/>
                    </w:rPr>
                    <w:t>IV SKYRIUS</w:t>
                  </w:r>
                </w:p>
                <w:p w:rsidR="000D7FEA" w:rsidRPr="000D6838" w:rsidRDefault="000D7FEA" w:rsidP="000D7FEA">
                  <w:pPr>
                    <w:jc w:val="center"/>
                    <w:rPr>
                      <w:lang w:val="lt-LT"/>
                    </w:rPr>
                  </w:pPr>
                  <w:r w:rsidRPr="000D7FEA">
                    <w:rPr>
                      <w:b/>
                      <w:sz w:val="24"/>
                      <w:szCs w:val="24"/>
                      <w:lang w:val="lt-LT"/>
                    </w:rPr>
                    <w:t>KOMPETENCIJOS</w:t>
                  </w:r>
                </w:p>
              </w:tc>
            </w:tr>
            <w:tr w:rsidR="00B85D07" w:rsidRPr="000D6838" w:rsidTr="00492B11">
              <w:trPr>
                <w:trHeight w:val="340"/>
              </w:trPr>
              <w:tc>
                <w:tcPr>
                  <w:tcW w:w="9070" w:type="dxa"/>
                  <w:tcMar>
                    <w:top w:w="0" w:type="dxa"/>
                    <w:left w:w="0" w:type="dxa"/>
                    <w:bottom w:w="0" w:type="dxa"/>
                    <w:right w:w="0" w:type="dxa"/>
                  </w:tcMar>
                </w:tcPr>
                <w:p w:rsidR="00B85D07" w:rsidRPr="000D6838" w:rsidRDefault="00B85D07" w:rsidP="00492B11">
                  <w:pPr>
                    <w:jc w:val="both"/>
                    <w:rPr>
                      <w:lang w:val="lt-LT"/>
                    </w:rPr>
                  </w:pPr>
                </w:p>
              </w:tc>
            </w:tr>
          </w:tbl>
          <w:p w:rsidR="00B85D07" w:rsidRPr="000D6838" w:rsidRDefault="00B85D07" w:rsidP="00492B11">
            <w:pPr>
              <w:rPr>
                <w:lang w:val="lt-LT"/>
              </w:rPr>
            </w:pPr>
          </w:p>
        </w:tc>
      </w:tr>
      <w:tr w:rsidR="00B85D07" w:rsidTr="00B85D07">
        <w:trPr>
          <w:trHeight w:val="62"/>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55"/>
              <w:gridCol w:w="13"/>
            </w:tblGrid>
            <w:tr w:rsidR="000D6838" w:rsidTr="00492B11">
              <w:tc>
                <w:tcPr>
                  <w:tcW w:w="9068" w:type="dxa"/>
                  <w:gridSpan w:val="2"/>
                </w:tcPr>
                <w:p w:rsidR="000D6838" w:rsidRDefault="000D6838" w:rsidP="000D6838"/>
                <w:tbl>
                  <w:tblPr>
                    <w:tblW w:w="0" w:type="auto"/>
                    <w:tblCellMar>
                      <w:left w:w="0" w:type="dxa"/>
                      <w:right w:w="0" w:type="dxa"/>
                    </w:tblCellMar>
                    <w:tblLook w:val="0000" w:firstRow="0" w:lastRow="0" w:firstColumn="0" w:lastColumn="0" w:noHBand="0" w:noVBand="0"/>
                  </w:tblPr>
                  <w:tblGrid>
                    <w:gridCol w:w="9068"/>
                  </w:tblGrid>
                  <w:tr w:rsidR="000D6838" w:rsidTr="00492B11">
                    <w:trPr>
                      <w:trHeight w:val="600"/>
                    </w:trPr>
                    <w:tc>
                      <w:tcPr>
                        <w:tcW w:w="9068" w:type="dxa"/>
                        <w:tcMar>
                          <w:top w:w="40" w:type="dxa"/>
                          <w:left w:w="40" w:type="dxa"/>
                          <w:bottom w:w="40" w:type="dxa"/>
                          <w:right w:w="40" w:type="dxa"/>
                        </w:tcMar>
                      </w:tcPr>
                      <w:p w:rsidR="000D6838" w:rsidRPr="0071758D" w:rsidRDefault="000D6838" w:rsidP="000D6838">
                        <w:pPr>
                          <w:rPr>
                            <w:color w:val="000000"/>
                            <w:sz w:val="24"/>
                          </w:rPr>
                        </w:pPr>
                        <w:r>
                          <w:rPr>
                            <w:color w:val="000000"/>
                            <w:sz w:val="24"/>
                          </w:rPr>
                          <w:t>1</w:t>
                        </w:r>
                        <w:r w:rsidR="000D7FEA">
                          <w:rPr>
                            <w:color w:val="000000"/>
                            <w:sz w:val="24"/>
                          </w:rPr>
                          <w:t>0</w:t>
                        </w:r>
                        <w:r>
                          <w:rPr>
                            <w:color w:val="000000"/>
                            <w:sz w:val="24"/>
                          </w:rPr>
                          <w:t xml:space="preserve">. </w:t>
                        </w:r>
                        <w:proofErr w:type="spellStart"/>
                        <w:r>
                          <w:rPr>
                            <w:color w:val="000000"/>
                            <w:sz w:val="24"/>
                          </w:rPr>
                          <w:t>Bendrosios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p w:rsidR="000D6838" w:rsidRDefault="00364293" w:rsidP="00364293">
                        <w:pPr>
                          <w:rPr>
                            <w:color w:val="000000"/>
                            <w:sz w:val="24"/>
                          </w:rPr>
                        </w:pPr>
                        <w:r w:rsidRPr="00364293">
                          <w:rPr>
                            <w:sz w:val="24"/>
                            <w:szCs w:val="24"/>
                          </w:rPr>
                          <w:t>1</w:t>
                        </w:r>
                        <w:r w:rsidR="000D7FEA">
                          <w:rPr>
                            <w:sz w:val="24"/>
                            <w:szCs w:val="24"/>
                          </w:rPr>
                          <w:t>0</w:t>
                        </w:r>
                        <w:r w:rsidRPr="00364293">
                          <w:rPr>
                            <w:sz w:val="24"/>
                            <w:szCs w:val="24"/>
                          </w:rPr>
                          <w:t>.1</w:t>
                        </w:r>
                        <w:r>
                          <w:rPr>
                            <w:sz w:val="24"/>
                            <w:szCs w:val="24"/>
                          </w:rPr>
                          <w:t>.</w:t>
                        </w:r>
                        <w:r>
                          <w:rPr>
                            <w:color w:val="000000"/>
                            <w:sz w:val="24"/>
                          </w:rPr>
                          <w:t xml:space="preserve"> </w:t>
                        </w:r>
                        <w:proofErr w:type="spellStart"/>
                        <w:r>
                          <w:rPr>
                            <w:color w:val="000000"/>
                            <w:sz w:val="24"/>
                          </w:rPr>
                          <w:t>vertės</w:t>
                        </w:r>
                        <w:proofErr w:type="spellEnd"/>
                        <w:r>
                          <w:rPr>
                            <w:color w:val="000000"/>
                            <w:sz w:val="24"/>
                          </w:rPr>
                          <w:t xml:space="preserve"> </w:t>
                        </w:r>
                        <w:proofErr w:type="spellStart"/>
                        <w:r>
                          <w:rPr>
                            <w:color w:val="000000"/>
                            <w:sz w:val="24"/>
                          </w:rPr>
                          <w:t>visuomenei</w:t>
                        </w:r>
                        <w:proofErr w:type="spellEnd"/>
                        <w:r>
                          <w:rPr>
                            <w:color w:val="000000"/>
                            <w:sz w:val="24"/>
                          </w:rPr>
                          <w:t xml:space="preserve"> </w:t>
                        </w:r>
                        <w:proofErr w:type="spellStart"/>
                        <w:r>
                          <w:rPr>
                            <w:color w:val="000000"/>
                            <w:sz w:val="24"/>
                          </w:rPr>
                          <w:t>kūrimas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.2. </w:t>
                        </w:r>
                        <w:proofErr w:type="spellStart"/>
                        <w:r>
                          <w:rPr>
                            <w:color w:val="000000"/>
                            <w:sz w:val="24"/>
                          </w:rPr>
                          <w:t>organizuotumas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.3. </w:t>
                        </w:r>
                        <w:proofErr w:type="spellStart"/>
                        <w:r>
                          <w:rPr>
                            <w:color w:val="000000"/>
                            <w:sz w:val="24"/>
                          </w:rPr>
                          <w:t>patikimumas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atsakingumas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.4. </w:t>
                        </w:r>
                        <w:proofErr w:type="spellStart"/>
                        <w:r>
                          <w:rPr>
                            <w:color w:val="000000"/>
                            <w:sz w:val="24"/>
                          </w:rPr>
                          <w:t>analizė</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pagrindimas</w:t>
                        </w:r>
                        <w:proofErr w:type="spellEnd"/>
                        <w:r>
                          <w:rPr>
                            <w:color w:val="000000"/>
                            <w:sz w:val="24"/>
                          </w:rPr>
                          <w:t xml:space="preserve"> – 5;</w:t>
                        </w:r>
                      </w:p>
                      <w:p w:rsidR="00364293" w:rsidRDefault="00364293" w:rsidP="00364293">
                        <w:pPr>
                          <w:rPr>
                            <w:color w:val="000000"/>
                            <w:sz w:val="24"/>
                          </w:rPr>
                        </w:pPr>
                        <w:r>
                          <w:rPr>
                            <w:color w:val="000000"/>
                            <w:sz w:val="24"/>
                          </w:rPr>
                          <w:t>1</w:t>
                        </w:r>
                        <w:r w:rsidR="000D7FEA">
                          <w:rPr>
                            <w:color w:val="000000"/>
                            <w:sz w:val="24"/>
                          </w:rPr>
                          <w:t>0</w:t>
                        </w:r>
                        <w:r>
                          <w:rPr>
                            <w:color w:val="000000"/>
                            <w:sz w:val="24"/>
                          </w:rPr>
                          <w:t xml:space="preserve">.5. </w:t>
                        </w:r>
                        <w:proofErr w:type="spellStart"/>
                        <w:proofErr w:type="gramStart"/>
                        <w:r>
                          <w:rPr>
                            <w:color w:val="000000"/>
                            <w:sz w:val="24"/>
                          </w:rPr>
                          <w:t>komunikacija</w:t>
                        </w:r>
                        <w:proofErr w:type="spellEnd"/>
                        <w:proofErr w:type="gramEnd"/>
                        <w:r>
                          <w:rPr>
                            <w:color w:val="000000"/>
                            <w:sz w:val="24"/>
                          </w:rPr>
                          <w:t xml:space="preserve"> – 5.</w:t>
                        </w:r>
                      </w:p>
                      <w:p w:rsidR="00364293" w:rsidRDefault="00AC5224" w:rsidP="00AC5224">
                        <w:pPr>
                          <w:jc w:val="center"/>
                          <w:rPr>
                            <w:color w:val="FFFFFF"/>
                            <w:sz w:val="24"/>
                          </w:rPr>
                        </w:pPr>
                        <w:r>
                          <w:rPr>
                            <w:color w:val="FFFFFF"/>
                            <w:sz w:val="24"/>
                          </w:rPr>
                          <w:lastRenderedPageBreak/>
                          <w:t>222</w:t>
                        </w:r>
                      </w:p>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68" w:type="dxa"/>
                              <w:tcMar>
                                <w:top w:w="40" w:type="dxa"/>
                                <w:left w:w="40" w:type="dxa"/>
                                <w:bottom w:w="40" w:type="dxa"/>
                                <w:right w:w="40" w:type="dxa"/>
                              </w:tcMar>
                            </w:tcPr>
                            <w:p w:rsidR="00AC5224" w:rsidRDefault="000D7FEA" w:rsidP="00AC5224">
                              <w:pPr>
                                <w:jc w:val="center"/>
                                <w:rPr>
                                  <w:color w:val="000000"/>
                                  <w:sz w:val="24"/>
                                </w:rPr>
                              </w:pPr>
                              <w:r>
                                <w:rPr>
                                  <w:color w:val="000000"/>
                                  <w:sz w:val="24"/>
                                </w:rPr>
                                <w:t>2</w:t>
                              </w:r>
                            </w:p>
                            <w:p w:rsidR="00364293" w:rsidRDefault="00364293" w:rsidP="000D7FEA">
                              <w:r>
                                <w:rPr>
                                  <w:color w:val="000000"/>
                                  <w:sz w:val="24"/>
                                </w:rPr>
                                <w:t>1</w:t>
                              </w:r>
                              <w:r w:rsidR="000D7FEA">
                                <w:rPr>
                                  <w:color w:val="000000"/>
                                  <w:sz w:val="24"/>
                                </w:rPr>
                                <w:t>1</w:t>
                              </w:r>
                              <w:r>
                                <w:rPr>
                                  <w:color w:val="000000"/>
                                  <w:sz w:val="24"/>
                                </w:rPr>
                                <w:t xml:space="preserve">. </w:t>
                              </w:r>
                              <w:proofErr w:type="spellStart"/>
                              <w:r>
                                <w:rPr>
                                  <w:color w:val="000000"/>
                                  <w:sz w:val="24"/>
                                </w:rPr>
                                <w:t>Vadybinės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lyderystės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364293" w:rsidTr="00492B11">
                          <w:trPr>
                            <w:trHeight w:val="102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.1. </w:t>
                                    </w:r>
                                    <w:proofErr w:type="spellStart"/>
                                    <w:r>
                                      <w:rPr>
                                        <w:color w:val="000000"/>
                                        <w:sz w:val="24"/>
                                      </w:rPr>
                                      <w:t>strateginis</w:t>
                                    </w:r>
                                    <w:proofErr w:type="spellEnd"/>
                                    <w:r>
                                      <w:rPr>
                                        <w:color w:val="000000"/>
                                        <w:sz w:val="24"/>
                                      </w:rPr>
                                      <w:t xml:space="preserve"> </w:t>
                                    </w:r>
                                    <w:proofErr w:type="spellStart"/>
                                    <w:r>
                                      <w:rPr>
                                        <w:color w:val="000000"/>
                                        <w:sz w:val="24"/>
                                      </w:rPr>
                                      <w:t>požiūris</w:t>
                                    </w:r>
                                    <w:proofErr w:type="spellEnd"/>
                                    <w:r>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2. </w:t>
                                    </w:r>
                                    <w:proofErr w:type="spellStart"/>
                                    <w:r>
                                      <w:rPr>
                                        <w:color w:val="000000"/>
                                        <w:sz w:val="24"/>
                                      </w:rPr>
                                      <w:t>veiklos</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0D7FEA">
                                    <w:r>
                                      <w:rPr>
                                        <w:color w:val="000000"/>
                                        <w:sz w:val="24"/>
                                      </w:rPr>
                                      <w:t>1</w:t>
                                    </w:r>
                                    <w:r w:rsidR="000D7FEA">
                                      <w:rPr>
                                        <w:color w:val="000000"/>
                                        <w:sz w:val="24"/>
                                      </w:rPr>
                                      <w:t>1</w:t>
                                    </w:r>
                                    <w:r>
                                      <w:rPr>
                                        <w:color w:val="000000"/>
                                        <w:sz w:val="24"/>
                                      </w:rPr>
                                      <w:t xml:space="preserve">3. </w:t>
                                    </w:r>
                                    <w:proofErr w:type="spellStart"/>
                                    <w:proofErr w:type="gramStart"/>
                                    <w:r>
                                      <w:rPr>
                                        <w:color w:val="000000"/>
                                        <w:sz w:val="24"/>
                                      </w:rPr>
                                      <w:t>lyderystė</w:t>
                                    </w:r>
                                    <w:proofErr w:type="spellEnd"/>
                                    <w:proofErr w:type="gramEnd"/>
                                    <w:r>
                                      <w:rPr>
                                        <w:color w:val="000000"/>
                                        <w:sz w:val="24"/>
                                      </w:rPr>
                                      <w:t xml:space="preserve"> – 4.</w:t>
                                    </w:r>
                                  </w:p>
                                </w:tc>
                              </w:tr>
                            </w:tbl>
                            <w:p w:rsidR="00364293" w:rsidRDefault="00364293" w:rsidP="00364293"/>
                          </w:tc>
                        </w:tr>
                        <w:tr w:rsidR="00364293" w:rsidTr="00492B11">
                          <w:trPr>
                            <w:trHeight w:val="260"/>
                          </w:trPr>
                          <w:tc>
                            <w:tcPr>
                              <w:tcW w:w="9068" w:type="dxa"/>
                              <w:tcMar>
                                <w:top w:w="40" w:type="dxa"/>
                                <w:left w:w="40" w:type="dxa"/>
                                <w:bottom w:w="40" w:type="dxa"/>
                                <w:right w:w="40" w:type="dxa"/>
                              </w:tcMar>
                            </w:tcPr>
                            <w:p w:rsidR="00364293" w:rsidRDefault="00364293" w:rsidP="000D7FEA">
                              <w:r>
                                <w:rPr>
                                  <w:color w:val="000000"/>
                                  <w:sz w:val="24"/>
                                </w:rPr>
                                <w:t>1</w:t>
                              </w:r>
                              <w:r w:rsidR="000D7FEA">
                                <w:rPr>
                                  <w:color w:val="000000"/>
                                  <w:sz w:val="24"/>
                                </w:rPr>
                                <w:t>2</w:t>
                              </w:r>
                              <w:r>
                                <w:rPr>
                                  <w:color w:val="000000"/>
                                  <w:sz w:val="24"/>
                                </w:rPr>
                                <w:t xml:space="preserve">. </w:t>
                              </w:r>
                              <w:proofErr w:type="spellStart"/>
                              <w:r>
                                <w:rPr>
                                  <w:color w:val="000000"/>
                                  <w:sz w:val="24"/>
                                </w:rPr>
                                <w:t>Specifinės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364293" w:rsidTr="00492B11">
                          <w:trPr>
                            <w:trHeight w:val="102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8"/>
                              </w:tblGrid>
                              <w:tr w:rsidR="00364293" w:rsidTr="00492B11">
                                <w:trPr>
                                  <w:trHeight w:val="260"/>
                                </w:trPr>
                                <w:tc>
                                  <w:tcPr>
                                    <w:tcW w:w="9070" w:type="dxa"/>
                                    <w:tcMar>
                                      <w:top w:w="40" w:type="dxa"/>
                                      <w:left w:w="40" w:type="dxa"/>
                                      <w:bottom w:w="40" w:type="dxa"/>
                                      <w:right w:w="40" w:type="dxa"/>
                                    </w:tcMar>
                                  </w:tcPr>
                                  <w:p w:rsidR="00364293" w:rsidRDefault="000D7FEA" w:rsidP="000D7FEA">
                                    <w:r>
                                      <w:rPr>
                                        <w:color w:val="000000"/>
                                        <w:sz w:val="24"/>
                                      </w:rPr>
                                      <w:t>12</w:t>
                                    </w:r>
                                    <w:r w:rsidR="00873A9C">
                                      <w:rPr>
                                        <w:color w:val="000000"/>
                                        <w:sz w:val="24"/>
                                      </w:rPr>
                                      <w:t xml:space="preserve">.1. </w:t>
                                    </w:r>
                                    <w:proofErr w:type="spellStart"/>
                                    <w:proofErr w:type="gramStart"/>
                                    <w:r w:rsidR="00873A9C">
                                      <w:rPr>
                                        <w:color w:val="000000"/>
                                        <w:sz w:val="24"/>
                                      </w:rPr>
                                      <w:t>kontrolės</w:t>
                                    </w:r>
                                    <w:proofErr w:type="spellEnd"/>
                                    <w:proofErr w:type="gramEnd"/>
                                    <w:r w:rsidR="00873A9C">
                                      <w:rPr>
                                        <w:color w:val="000000"/>
                                        <w:sz w:val="24"/>
                                      </w:rPr>
                                      <w:t xml:space="preserve"> </w:t>
                                    </w:r>
                                    <w:proofErr w:type="spellStart"/>
                                    <w:r w:rsidR="00873A9C">
                                      <w:rPr>
                                        <w:color w:val="000000"/>
                                        <w:sz w:val="24"/>
                                      </w:rPr>
                                      <w:t>ir</w:t>
                                    </w:r>
                                    <w:proofErr w:type="spellEnd"/>
                                    <w:r w:rsidR="00873A9C">
                                      <w:rPr>
                                        <w:color w:val="000000"/>
                                        <w:sz w:val="24"/>
                                      </w:rPr>
                                      <w:t xml:space="preserve"> </w:t>
                                    </w:r>
                                    <w:proofErr w:type="spellStart"/>
                                    <w:r w:rsidR="00873A9C">
                                      <w:rPr>
                                        <w:color w:val="000000"/>
                                        <w:sz w:val="24"/>
                                      </w:rPr>
                                      <w:t>priežiūros</w:t>
                                    </w:r>
                                    <w:proofErr w:type="spellEnd"/>
                                    <w:r w:rsidR="00873A9C">
                                      <w:rPr>
                                        <w:color w:val="000000"/>
                                        <w:sz w:val="24"/>
                                      </w:rPr>
                                      <w:t xml:space="preserve"> </w:t>
                                    </w:r>
                                    <w:proofErr w:type="spellStart"/>
                                    <w:r w:rsidR="00873A9C">
                                      <w:rPr>
                                        <w:color w:val="000000"/>
                                        <w:sz w:val="24"/>
                                      </w:rPr>
                                      <w:t>proceso</w:t>
                                    </w:r>
                                    <w:proofErr w:type="spellEnd"/>
                                    <w:r w:rsidR="00873A9C">
                                      <w:rPr>
                                        <w:color w:val="000000"/>
                                        <w:sz w:val="24"/>
                                      </w:rPr>
                                      <w:t xml:space="preserve"> </w:t>
                                    </w:r>
                                    <w:proofErr w:type="spellStart"/>
                                    <w:r w:rsidR="00873A9C">
                                      <w:rPr>
                                        <w:color w:val="000000"/>
                                        <w:sz w:val="24"/>
                                      </w:rPr>
                                      <w:t>valdymas</w:t>
                                    </w:r>
                                    <w:proofErr w:type="spellEnd"/>
                                    <w:r w:rsidR="00873A9C">
                                      <w:rPr>
                                        <w:color w:val="000000"/>
                                        <w:sz w:val="24"/>
                                      </w:rPr>
                                      <w:t xml:space="preserve"> – 5.</w:t>
                                    </w:r>
                                  </w:p>
                                </w:tc>
                              </w:tr>
                              <w:tr w:rsidR="00364293" w:rsidTr="00492B11">
                                <w:trPr>
                                  <w:trHeight w:val="260"/>
                                </w:trPr>
                                <w:tc>
                                  <w:tcPr>
                                    <w:tcW w:w="9070" w:type="dxa"/>
                                    <w:tcMar>
                                      <w:top w:w="40" w:type="dxa"/>
                                      <w:left w:w="40" w:type="dxa"/>
                                      <w:bottom w:w="40" w:type="dxa"/>
                                      <w:right w:w="40" w:type="dxa"/>
                                    </w:tcMar>
                                  </w:tcPr>
                                  <w:p w:rsidR="00364293" w:rsidRDefault="00364293" w:rsidP="00364293"/>
                                </w:tc>
                              </w:tr>
                              <w:tr w:rsidR="00364293" w:rsidTr="00492B11">
                                <w:trPr>
                                  <w:trHeight w:val="260"/>
                                </w:trPr>
                                <w:tc>
                                  <w:tcPr>
                                    <w:tcW w:w="9070" w:type="dxa"/>
                                    <w:tcMar>
                                      <w:top w:w="40" w:type="dxa"/>
                                      <w:left w:w="40" w:type="dxa"/>
                                      <w:bottom w:w="40" w:type="dxa"/>
                                      <w:right w:w="40" w:type="dxa"/>
                                    </w:tcMar>
                                  </w:tcPr>
                                  <w:p w:rsidR="00364293" w:rsidRDefault="00364293" w:rsidP="00873A9C"/>
                                </w:tc>
                              </w:tr>
                            </w:tbl>
                            <w:p w:rsidR="00364293" w:rsidRDefault="00364293" w:rsidP="00364293"/>
                          </w:tc>
                        </w:tr>
                      </w:tbl>
                      <w:p w:rsidR="00364293" w:rsidRDefault="00364293" w:rsidP="00364293">
                        <w:pPr>
                          <w:rPr>
                            <w:color w:val="FFFFFF"/>
                            <w:sz w:val="24"/>
                          </w:rPr>
                        </w:pPr>
                        <w:r>
                          <w:rPr>
                            <w:color w:val="FFFFFF"/>
                            <w:sz w:val="24"/>
                          </w:rPr>
                          <w:t>4</w:t>
                        </w:r>
                      </w:p>
                      <w:p w:rsidR="00364293" w:rsidRDefault="00364293" w:rsidP="00364293">
                        <w:pPr>
                          <w:rPr>
                            <w:color w:val="FFFFFF"/>
                            <w:sz w:val="24"/>
                          </w:rPr>
                        </w:pPr>
                        <w:r>
                          <w:rPr>
                            <w:color w:val="FFFFFF"/>
                            <w:sz w:val="24"/>
                          </w:rPr>
                          <w:t>1Su4</w:t>
                        </w:r>
                      </w:p>
                      <w:p w:rsidR="00364293" w:rsidRDefault="00364293" w:rsidP="00364293">
                        <w:pPr>
                          <w:rPr>
                            <w:color w:val="FFFFFF"/>
                            <w:sz w:val="24"/>
                          </w:rPr>
                        </w:pPr>
                        <w:r>
                          <w:rPr>
                            <w:color w:val="FFFFFF"/>
                            <w:sz w:val="24"/>
                          </w:rPr>
                          <w:t>1</w:t>
                        </w:r>
                      </w:p>
                      <w:tbl>
                        <w:tblPr>
                          <w:tblW w:w="0" w:type="auto"/>
                          <w:tblCellMar>
                            <w:left w:w="0" w:type="dxa"/>
                            <w:right w:w="0" w:type="dxa"/>
                          </w:tblCellMar>
                          <w:tblLook w:val="0000" w:firstRow="0" w:lastRow="0" w:firstColumn="0" w:lastColumn="0" w:noHBand="0" w:noVBand="0"/>
                        </w:tblPr>
                        <w:tblGrid>
                          <w:gridCol w:w="3401"/>
                        </w:tblGrid>
                        <w:tr w:rsidR="00364293" w:rsidTr="00492B11">
                          <w:trPr>
                            <w:trHeight w:val="260"/>
                          </w:trPr>
                          <w:tc>
                            <w:tcPr>
                              <w:tcW w:w="3401" w:type="dxa"/>
                              <w:tcMar>
                                <w:top w:w="40" w:type="dxa"/>
                                <w:left w:w="40" w:type="dxa"/>
                                <w:bottom w:w="40" w:type="dxa"/>
                                <w:right w:w="40" w:type="dxa"/>
                              </w:tcMar>
                            </w:tcPr>
                            <w:p w:rsidR="00364293" w:rsidRDefault="00364293" w:rsidP="00364293">
                              <w:proofErr w:type="spellStart"/>
                              <w:r>
                                <w:rPr>
                                  <w:color w:val="000000"/>
                                  <w:sz w:val="24"/>
                                </w:rPr>
                                <w:t>Susipažinau</w:t>
                              </w:r>
                              <w:proofErr w:type="spellEnd"/>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w:t>
                              </w:r>
                              <w:proofErr w:type="spellStart"/>
                              <w:r>
                                <w:rPr>
                                  <w:color w:val="000000"/>
                                </w:rPr>
                                <w:t>Parašas</w:t>
                              </w:r>
                              <w:proofErr w:type="spellEnd"/>
                              <w:r>
                                <w:rPr>
                                  <w:color w:val="000000"/>
                                </w:rPr>
                                <w:t>)</w:t>
                              </w:r>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w:t>
                              </w:r>
                              <w:proofErr w:type="spellStart"/>
                              <w:r>
                                <w:rPr>
                                  <w:color w:val="000000"/>
                                </w:rPr>
                                <w:t>Vardas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pavardė</w:t>
                              </w:r>
                              <w:proofErr w:type="spellEnd"/>
                              <w:r>
                                <w:rPr>
                                  <w:color w:val="000000"/>
                                </w:rPr>
                                <w:t>)</w:t>
                              </w:r>
                            </w:p>
                          </w:tc>
                        </w:tr>
                        <w:tr w:rsidR="00364293" w:rsidTr="00492B11">
                          <w:trPr>
                            <w:trHeight w:val="260"/>
                          </w:trPr>
                          <w:tc>
                            <w:tcPr>
                              <w:tcW w:w="3401" w:type="dxa"/>
                              <w:tcBorders>
                                <w:bottom w:val="single" w:sz="2" w:space="0" w:color="000000"/>
                              </w:tcBorders>
                              <w:tcMar>
                                <w:top w:w="40" w:type="dxa"/>
                                <w:left w:w="40" w:type="dxa"/>
                                <w:bottom w:w="40" w:type="dxa"/>
                                <w:right w:w="40" w:type="dxa"/>
                              </w:tcMar>
                            </w:tcPr>
                            <w:p w:rsidR="00364293" w:rsidRDefault="00364293" w:rsidP="00364293"/>
                          </w:tc>
                        </w:tr>
                        <w:tr w:rsidR="00364293" w:rsidTr="00492B11">
                          <w:trPr>
                            <w:trHeight w:val="260"/>
                          </w:trPr>
                          <w:tc>
                            <w:tcPr>
                              <w:tcW w:w="3401" w:type="dxa"/>
                              <w:tcMar>
                                <w:top w:w="40" w:type="dxa"/>
                                <w:left w:w="40" w:type="dxa"/>
                                <w:bottom w:w="40" w:type="dxa"/>
                                <w:right w:w="40" w:type="dxa"/>
                              </w:tcMar>
                            </w:tcPr>
                            <w:p w:rsidR="00364293" w:rsidRDefault="00364293" w:rsidP="00364293">
                              <w:r>
                                <w:rPr>
                                  <w:color w:val="000000"/>
                                </w:rPr>
                                <w:t>(Data)</w:t>
                              </w:r>
                            </w:p>
                          </w:tc>
                        </w:tr>
                      </w:tbl>
                      <w:p w:rsidR="00364293" w:rsidRDefault="00364293" w:rsidP="00364293">
                        <w:pPr>
                          <w:rPr>
                            <w:color w:val="FFFFFF"/>
                            <w:sz w:val="24"/>
                          </w:rPr>
                        </w:pPr>
                        <w:r>
                          <w:rPr>
                            <w:color w:val="FFFFFF"/>
                            <w:sz w:val="24"/>
                          </w:rPr>
                          <w:t xml:space="preserve">41414.1. </w:t>
                        </w:r>
                      </w:p>
                      <w:p w:rsidR="00364293" w:rsidRPr="00364293" w:rsidRDefault="00364293" w:rsidP="00364293">
                        <w:pPr>
                          <w:rPr>
                            <w:sz w:val="24"/>
                            <w:szCs w:val="24"/>
                          </w:rPr>
                        </w:pPr>
                        <w:r>
                          <w:rPr>
                            <w:color w:val="FFFFFF"/>
                            <w:sz w:val="24"/>
                          </w:rPr>
                          <w:t>144.1.14.</w:t>
                        </w:r>
                        <w:r>
                          <w:rPr>
                            <w:color w:val="000000"/>
                            <w:sz w:val="24"/>
                          </w:rPr>
                          <w:t xml:space="preserve"> </w:t>
                        </w:r>
                      </w:p>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70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r w:rsidR="000D6838" w:rsidTr="00492B11">
                          <w:trPr>
                            <w:trHeight w:val="260"/>
                          </w:trPr>
                          <w:tc>
                            <w:tcPr>
                              <w:tcW w:w="9070" w:type="dxa"/>
                              <w:tcMar>
                                <w:top w:w="40" w:type="dxa"/>
                                <w:left w:w="40" w:type="dxa"/>
                                <w:bottom w:w="40" w:type="dxa"/>
                                <w:right w:w="40" w:type="dxa"/>
                              </w:tcMar>
                            </w:tcPr>
                            <w:p w:rsidR="000D6838" w:rsidRDefault="000D6838" w:rsidP="000D6838"/>
                          </w:tc>
                        </w:tr>
                      </w:tbl>
                      <w:p w:rsidR="000D6838" w:rsidRDefault="000D6838" w:rsidP="000D6838"/>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020"/>
                    </w:trPr>
                    <w:tc>
                      <w:tcPr>
                        <w:tcW w:w="9068" w:type="dxa"/>
                        <w:tcMar>
                          <w:top w:w="0" w:type="dxa"/>
                          <w:left w:w="0" w:type="dxa"/>
                          <w:bottom w:w="0" w:type="dxa"/>
                          <w:right w:w="0" w:type="dxa"/>
                        </w:tcMar>
                      </w:tcPr>
                      <w:p w:rsidR="000D6838" w:rsidRDefault="000D6838" w:rsidP="000D6838"/>
                    </w:tc>
                  </w:tr>
                  <w:tr w:rsidR="000D6838" w:rsidTr="00492B11">
                    <w:trPr>
                      <w:trHeight w:val="260"/>
                    </w:trPr>
                    <w:tc>
                      <w:tcPr>
                        <w:tcW w:w="9068" w:type="dxa"/>
                        <w:tcMar>
                          <w:top w:w="40" w:type="dxa"/>
                          <w:left w:w="40" w:type="dxa"/>
                          <w:bottom w:w="40" w:type="dxa"/>
                          <w:right w:w="40" w:type="dxa"/>
                        </w:tcMar>
                      </w:tcPr>
                      <w:p w:rsidR="000D6838" w:rsidRDefault="000D6838" w:rsidP="000D6838"/>
                    </w:tc>
                  </w:tr>
                  <w:tr w:rsidR="000D6838" w:rsidTr="00492B11">
                    <w:trPr>
                      <w:trHeight w:val="1020"/>
                    </w:trPr>
                    <w:tc>
                      <w:tcPr>
                        <w:tcW w:w="9068" w:type="dxa"/>
                        <w:tcMar>
                          <w:top w:w="0" w:type="dxa"/>
                          <w:left w:w="0" w:type="dxa"/>
                          <w:bottom w:w="0" w:type="dxa"/>
                          <w:right w:w="0" w:type="dxa"/>
                        </w:tcMar>
                      </w:tcPr>
                      <w:p w:rsidR="000D6838" w:rsidRDefault="000D6838" w:rsidP="000D6838"/>
                    </w:tc>
                  </w:tr>
                </w:tbl>
                <w:p w:rsidR="000D6838" w:rsidRDefault="000D6838" w:rsidP="000D6838"/>
              </w:tc>
            </w:tr>
            <w:tr w:rsidR="000D6838" w:rsidTr="00492B11">
              <w:trPr>
                <w:trHeight w:val="517"/>
              </w:trPr>
              <w:tc>
                <w:tcPr>
                  <w:tcW w:w="9055" w:type="dxa"/>
                </w:tcPr>
                <w:p w:rsidR="000D6838" w:rsidRDefault="000D6838" w:rsidP="000D6838">
                  <w:pPr>
                    <w:pStyle w:val="EmptyLayoutCell"/>
                  </w:pPr>
                </w:p>
              </w:tc>
              <w:tc>
                <w:tcPr>
                  <w:tcW w:w="13" w:type="dxa"/>
                </w:tcPr>
                <w:p w:rsidR="000D6838" w:rsidRDefault="000D6838" w:rsidP="000D6838">
                  <w:pPr>
                    <w:pStyle w:val="EmptyLayoutCell"/>
                  </w:pPr>
                </w:p>
              </w:tc>
            </w:tr>
            <w:tr w:rsidR="000D6838" w:rsidTr="00492B11">
              <w:tc>
                <w:tcPr>
                  <w:tcW w:w="9068" w:type="dxa"/>
                  <w:gridSpan w:val="2"/>
                </w:tcPr>
                <w:p w:rsidR="000D6838" w:rsidRDefault="000D6838" w:rsidP="000D6838"/>
              </w:tc>
            </w:tr>
          </w:tbl>
          <w:p w:rsidR="00B85D07" w:rsidRDefault="00B85D07" w:rsidP="00492B11"/>
          <w:p w:rsidR="00B85D07" w:rsidRDefault="00B85D07" w:rsidP="00492B11"/>
        </w:tc>
      </w:tr>
      <w:tr w:rsidR="00B85D07" w:rsidTr="00B85D07">
        <w:trPr>
          <w:trHeight w:val="517"/>
        </w:trPr>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55" w:type="dxa"/>
          </w:tcPr>
          <w:p w:rsidR="00B85D07" w:rsidRDefault="00B85D07" w:rsidP="00492B11">
            <w:pPr>
              <w:pStyle w:val="EmptyLayoutCell"/>
            </w:pPr>
          </w:p>
        </w:tc>
        <w:tc>
          <w:tcPr>
            <w:tcW w:w="13" w:type="dxa"/>
          </w:tcPr>
          <w:p w:rsidR="00B85D07" w:rsidRDefault="00B85D07" w:rsidP="00492B11">
            <w:pPr>
              <w:pStyle w:val="EmptyLayoutCell"/>
            </w:pPr>
          </w:p>
        </w:tc>
      </w:tr>
      <w:tr w:rsidR="00B85D07" w:rsidTr="00B85D07">
        <w:tc>
          <w:tcPr>
            <w:tcW w:w="13" w:type="dxa"/>
          </w:tcPr>
          <w:p w:rsidR="00B85D07" w:rsidRDefault="00B85D07" w:rsidP="00492B11">
            <w:pPr>
              <w:pStyle w:val="EmptyLayoutCell"/>
            </w:pPr>
          </w:p>
        </w:tc>
        <w:tc>
          <w:tcPr>
            <w:tcW w:w="6" w:type="dxa"/>
          </w:tcPr>
          <w:p w:rsidR="00B85D07" w:rsidRDefault="00B85D07" w:rsidP="00492B11">
            <w:pPr>
              <w:pStyle w:val="EmptyLayoutCell"/>
            </w:pPr>
          </w:p>
        </w:tc>
        <w:tc>
          <w:tcPr>
            <w:tcW w:w="6" w:type="dxa"/>
          </w:tcPr>
          <w:p w:rsidR="00B85D07" w:rsidRDefault="00B85D07" w:rsidP="00492B11">
            <w:pPr>
              <w:pStyle w:val="EmptyLayoutCell"/>
            </w:pPr>
          </w:p>
        </w:tc>
        <w:tc>
          <w:tcPr>
            <w:tcW w:w="9068" w:type="dxa"/>
            <w:gridSpan w:val="2"/>
          </w:tcPr>
          <w:p w:rsidR="00B85D07" w:rsidRDefault="00B85D07" w:rsidP="00492B11"/>
          <w:p w:rsidR="00AC5224" w:rsidRDefault="00AC5224" w:rsidP="00492B11"/>
          <w:p w:rsidR="00FD47FF" w:rsidRDefault="00FD47FF" w:rsidP="00492B11"/>
        </w:tc>
      </w:tr>
    </w:tbl>
    <w:p w:rsidR="00AA02AB" w:rsidRPr="00600644" w:rsidRDefault="00AA02AB">
      <w:pPr>
        <w:jc w:val="center"/>
        <w:rPr>
          <w:sz w:val="24"/>
          <w:szCs w:val="24"/>
        </w:rPr>
      </w:pPr>
    </w:p>
    <w:p w:rsidR="00104DB1" w:rsidRPr="00EC1CE4" w:rsidRDefault="00104DB1" w:rsidP="00104DB1">
      <w:pPr>
        <w:pStyle w:val="Antrat1"/>
        <w:jc w:val="center"/>
        <w:rPr>
          <w:b/>
        </w:rPr>
      </w:pPr>
      <w:r w:rsidRPr="00EC1CE4">
        <w:rPr>
          <w:b/>
        </w:rPr>
        <w:lastRenderedPageBreak/>
        <w:t>PANEVĖŽIO RAJONO SAVIVALDYBĖS ADMINISTRACIJOS</w:t>
      </w:r>
    </w:p>
    <w:p w:rsidR="00104DB1" w:rsidRPr="00EC1CE4" w:rsidRDefault="00104DB1" w:rsidP="00104DB1">
      <w:pPr>
        <w:jc w:val="center"/>
        <w:rPr>
          <w:b/>
          <w:sz w:val="24"/>
          <w:szCs w:val="24"/>
          <w:lang w:val="lt-LT"/>
        </w:rPr>
      </w:pPr>
      <w:r w:rsidRPr="00EC1CE4">
        <w:rPr>
          <w:b/>
          <w:sz w:val="24"/>
          <w:szCs w:val="24"/>
          <w:lang w:val="lt-LT"/>
        </w:rPr>
        <w:t>PERSONALO ADMINISTRAVIMO SKYRIUS</w:t>
      </w:r>
    </w:p>
    <w:p w:rsidR="00104DB1" w:rsidRPr="008E75AB" w:rsidRDefault="00104DB1" w:rsidP="00104DB1">
      <w:pPr>
        <w:pStyle w:val="Antrat1"/>
        <w:jc w:val="center"/>
        <w:rPr>
          <w:b/>
        </w:rPr>
      </w:pPr>
    </w:p>
    <w:p w:rsidR="00104DB1" w:rsidRPr="00EC1CE4" w:rsidRDefault="00104DB1" w:rsidP="00104DB1">
      <w:pPr>
        <w:pStyle w:val="Antrat1"/>
        <w:jc w:val="center"/>
        <w:rPr>
          <w:b/>
        </w:rPr>
      </w:pPr>
      <w:r w:rsidRPr="00EC1CE4">
        <w:rPr>
          <w:b/>
        </w:rPr>
        <w:t xml:space="preserve">AIŠKINAMASIS RAŠTAS DĖL SPRENDIMO </w:t>
      </w:r>
    </w:p>
    <w:p w:rsidR="00104DB1" w:rsidRPr="00104DB1" w:rsidRDefault="00104DB1" w:rsidP="00104DB1">
      <w:pPr>
        <w:pStyle w:val="Pagrindinistekstas"/>
      </w:pPr>
      <w:r w:rsidRPr="00EC1CE4">
        <w:rPr>
          <w:szCs w:val="24"/>
          <w:lang w:val="lt-LT"/>
        </w:rPr>
        <w:t>„</w:t>
      </w:r>
      <w:r w:rsidR="00FD47FF">
        <w:t xml:space="preserve">DĖL PANEVĖŽIO RAJONO SAVIVALDYBĖS </w:t>
      </w:r>
      <w:r w:rsidR="004300E2">
        <w:t xml:space="preserve">TARYBOS </w:t>
      </w:r>
      <w:bookmarkStart w:id="0" w:name="_GoBack"/>
      <w:bookmarkEnd w:id="0"/>
      <w:r w:rsidR="00FD47FF">
        <w:t>2018 M. GRUODŽIO 20 D. SPRENDIMO NR. T-234 „DĖL PANEVĖŽIO RAJONO SAVIVALDYBĖS KONTROLIERIAUS PAREIGYBĖS APRAŠYMO IR PAREIGYBIŲ SĄRAŠO PATVIRTINIMO“ PAKEITIMO</w:t>
      </w:r>
      <w:r>
        <w:t>“</w:t>
      </w:r>
      <w:r w:rsidR="00D116D8">
        <w:t xml:space="preserve"> </w:t>
      </w:r>
      <w:r w:rsidRPr="00EC1CE4">
        <w:rPr>
          <w:szCs w:val="24"/>
          <w:lang w:val="lt-LT"/>
        </w:rPr>
        <w:t>PROJEKTO</w:t>
      </w:r>
    </w:p>
    <w:p w:rsidR="00104DB1" w:rsidRPr="00EC1CE4" w:rsidRDefault="00104DB1" w:rsidP="00104DB1">
      <w:pPr>
        <w:jc w:val="center"/>
        <w:rPr>
          <w:sz w:val="24"/>
          <w:lang w:val="lt-LT"/>
        </w:rPr>
      </w:pPr>
    </w:p>
    <w:p w:rsidR="00104DB1" w:rsidRPr="00EC1CE4" w:rsidRDefault="00104DB1" w:rsidP="00104DB1">
      <w:pPr>
        <w:jc w:val="center"/>
        <w:rPr>
          <w:sz w:val="24"/>
          <w:lang w:val="lt-LT"/>
        </w:rPr>
      </w:pPr>
      <w:r>
        <w:rPr>
          <w:sz w:val="24"/>
          <w:lang w:val="lt-LT"/>
        </w:rPr>
        <w:t>2020-06-12</w:t>
      </w:r>
    </w:p>
    <w:p w:rsidR="00104DB1" w:rsidRPr="00EC1CE4" w:rsidRDefault="00104DB1" w:rsidP="00104DB1">
      <w:pPr>
        <w:jc w:val="center"/>
        <w:rPr>
          <w:sz w:val="24"/>
          <w:lang w:val="lt-LT"/>
        </w:rPr>
      </w:pPr>
      <w:r w:rsidRPr="00EC1CE4">
        <w:rPr>
          <w:sz w:val="24"/>
          <w:lang w:val="lt-LT"/>
        </w:rPr>
        <w:t>Panevėžys</w:t>
      </w:r>
    </w:p>
    <w:p w:rsidR="00104DB1" w:rsidRPr="00EC1CE4" w:rsidRDefault="00104DB1" w:rsidP="00104DB1">
      <w:pPr>
        <w:jc w:val="center"/>
        <w:rPr>
          <w:sz w:val="24"/>
          <w:lang w:val="lt-LT"/>
        </w:rPr>
      </w:pPr>
    </w:p>
    <w:p w:rsidR="00104DB1" w:rsidRPr="00EC1CE4" w:rsidRDefault="00104DB1" w:rsidP="00104DB1">
      <w:pPr>
        <w:rPr>
          <w:b/>
          <w:bCs/>
          <w:sz w:val="24"/>
          <w:lang w:val="lt-LT"/>
        </w:rPr>
      </w:pPr>
      <w:r w:rsidRPr="00EC1CE4">
        <w:rPr>
          <w:sz w:val="24"/>
          <w:lang w:val="lt-LT"/>
        </w:rPr>
        <w:tab/>
      </w:r>
      <w:r w:rsidRPr="00EC1CE4">
        <w:rPr>
          <w:b/>
          <w:bCs/>
          <w:sz w:val="24"/>
          <w:lang w:val="lt-LT"/>
        </w:rPr>
        <w:t>1. Projekto rengimą paskatinusios priežastys.</w:t>
      </w:r>
    </w:p>
    <w:p w:rsidR="00D04975" w:rsidRPr="005479B5" w:rsidRDefault="00104DB1" w:rsidP="00104DB1">
      <w:pPr>
        <w:jc w:val="both"/>
        <w:rPr>
          <w:sz w:val="24"/>
          <w:szCs w:val="24"/>
          <w:lang w:val="lt-LT"/>
        </w:rPr>
      </w:pPr>
      <w:r w:rsidRPr="00EC1CE4">
        <w:rPr>
          <w:b/>
          <w:bCs/>
          <w:sz w:val="24"/>
          <w:lang w:val="lt-LT"/>
        </w:rPr>
        <w:tab/>
      </w:r>
      <w:r w:rsidRPr="005479B5">
        <w:rPr>
          <w:sz w:val="24"/>
          <w:szCs w:val="24"/>
          <w:lang w:val="lt-LT"/>
        </w:rPr>
        <w:t>Lietuvos Respublikos Vyriausybės 2020 m. kovo 10 d. nutarimas Nr. 213 „Dėl Lietuvos Respublikos Vyriausybės 2018 m. lapkričio 28 d. nutarimo Nr. 1176 „Dėl Lietuvos Respublikos valstybės tarnybos įstatymo įgyvendinimo“ pakeitimo“, kuriuo patvirtinta nauja Valstybės tarnautojų pareigybių aprašymo ir vertinimo metodika</w:t>
      </w:r>
      <w:r w:rsidR="00D04975">
        <w:rPr>
          <w:sz w:val="24"/>
          <w:szCs w:val="24"/>
          <w:lang w:val="lt-LT"/>
        </w:rPr>
        <w:t xml:space="preserve"> (toliau – Metodika)</w:t>
      </w:r>
      <w:r w:rsidR="006275D8">
        <w:rPr>
          <w:sz w:val="24"/>
          <w:szCs w:val="24"/>
          <w:lang w:val="lt-LT"/>
        </w:rPr>
        <w:t xml:space="preserve">. </w:t>
      </w:r>
      <w:r w:rsidR="00D04975">
        <w:rPr>
          <w:sz w:val="24"/>
          <w:szCs w:val="24"/>
          <w:lang w:val="lt-LT"/>
        </w:rPr>
        <w:t xml:space="preserve"> </w:t>
      </w:r>
    </w:p>
    <w:p w:rsidR="00104DB1" w:rsidRPr="005479B5" w:rsidRDefault="00104DB1" w:rsidP="00104DB1">
      <w:pPr>
        <w:tabs>
          <w:tab w:val="left" w:pos="1080"/>
        </w:tabs>
        <w:ind w:left="720"/>
        <w:rPr>
          <w:b/>
          <w:sz w:val="24"/>
          <w:szCs w:val="24"/>
          <w:lang w:val="lt-LT"/>
        </w:rPr>
      </w:pPr>
      <w:r w:rsidRPr="005479B5">
        <w:rPr>
          <w:b/>
          <w:sz w:val="24"/>
          <w:lang w:val="lt-LT"/>
        </w:rPr>
        <w:t xml:space="preserve">2. </w:t>
      </w:r>
      <w:r w:rsidRPr="005479B5">
        <w:rPr>
          <w:b/>
          <w:sz w:val="24"/>
          <w:szCs w:val="24"/>
          <w:lang w:val="lt-LT"/>
        </w:rPr>
        <w:t>Sprendimo projekto esmė ir tikslai.</w:t>
      </w:r>
    </w:p>
    <w:p w:rsidR="00E25C51" w:rsidRDefault="00D04975"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Pr>
          <w:sz w:val="24"/>
          <w:szCs w:val="24"/>
          <w:lang w:val="lt-LT"/>
        </w:rPr>
        <w:t>Metodikoje</w:t>
      </w:r>
      <w:r w:rsidR="00104DB1" w:rsidRPr="005479B5">
        <w:rPr>
          <w:sz w:val="24"/>
          <w:szCs w:val="24"/>
          <w:lang w:val="lt-LT"/>
        </w:rPr>
        <w:t xml:space="preserve"> </w:t>
      </w:r>
      <w:r w:rsidR="005479B5">
        <w:rPr>
          <w:sz w:val="24"/>
          <w:szCs w:val="24"/>
          <w:lang w:val="lt-LT"/>
        </w:rPr>
        <w:t>nurodyta, jog valstybės tarnautojų pareigybių aprašymai rengiami Valstybės tarnybos valdymo informacinėje sistemoje (toliau –  VATIS)  pagal standartizuotus pareigybių aprašymų ruošinius.</w:t>
      </w:r>
      <w:r w:rsidR="00E25C51">
        <w:rPr>
          <w:sz w:val="24"/>
          <w:szCs w:val="24"/>
          <w:lang w:val="lt-LT"/>
        </w:rPr>
        <w:t xml:space="preserve"> Pareigybių aprašymų ruošiniai ir kompetencijų aprašymai patvirtinti </w:t>
      </w:r>
      <w:r w:rsidR="00E25C51">
        <w:rPr>
          <w:sz w:val="24"/>
          <w:lang w:val="lt-LT"/>
        </w:rPr>
        <w:t>Valstybės tarnybos departamento prie Lietuvos Respublikos vidaus reikalų ministerijos direktoriaus įsakymu.</w:t>
      </w:r>
      <w:r w:rsidR="00E25C51">
        <w:rPr>
          <w:sz w:val="24"/>
          <w:szCs w:val="24"/>
          <w:lang w:val="lt-LT"/>
        </w:rPr>
        <w:t xml:space="preserve"> Pareigybių aprašymų ruošiniuose pateikti tipiniai specialieji reikalavimai, funkcijos, privalomos kompetencijos bei jų pakankami lygiai, atsižvelgiant į nustatytą pareigybės lygmenį ir veiklos sritį.</w:t>
      </w:r>
    </w:p>
    <w:p w:rsidR="00F640FE" w:rsidRDefault="00E25C51"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Pr>
          <w:sz w:val="24"/>
          <w:szCs w:val="24"/>
          <w:lang w:val="lt-LT"/>
        </w:rPr>
        <w:t xml:space="preserve">Metodikoje </w:t>
      </w:r>
      <w:r w:rsidR="00104DB1" w:rsidRPr="005479B5">
        <w:rPr>
          <w:sz w:val="24"/>
          <w:szCs w:val="24"/>
          <w:lang w:val="lt-LT"/>
        </w:rPr>
        <w:t>yra įtvirtintos</w:t>
      </w:r>
      <w:r w:rsidR="00A32FF1">
        <w:rPr>
          <w:sz w:val="24"/>
          <w:szCs w:val="24"/>
          <w:lang w:val="lt-LT"/>
        </w:rPr>
        <w:t xml:space="preserve"> valstybės tarnautojų pareigybių</w:t>
      </w:r>
      <w:r w:rsidR="00104DB1" w:rsidRPr="005479B5">
        <w:rPr>
          <w:sz w:val="24"/>
          <w:szCs w:val="24"/>
          <w:lang w:val="lt-LT"/>
        </w:rPr>
        <w:t xml:space="preserve"> aprašymų sudėtinės dalys: pareigybės charakteristika (pareigybės pavadinimas, </w:t>
      </w:r>
      <w:r w:rsidR="00A32FF1">
        <w:rPr>
          <w:sz w:val="24"/>
          <w:szCs w:val="24"/>
          <w:lang w:val="lt-LT"/>
        </w:rPr>
        <w:t>reglamentuotas pareigybės</w:t>
      </w:r>
      <w:r w:rsidR="007D3CD3">
        <w:rPr>
          <w:sz w:val="24"/>
          <w:szCs w:val="24"/>
          <w:lang w:val="lt-LT"/>
        </w:rPr>
        <w:t xml:space="preserve"> lygmuo,</w:t>
      </w:r>
      <w:r w:rsidR="00104DB1" w:rsidRPr="005479B5">
        <w:rPr>
          <w:sz w:val="24"/>
          <w:szCs w:val="24"/>
          <w:lang w:val="lt-LT"/>
        </w:rPr>
        <w:t xml:space="preserve"> pavaldumas), pareigybės veiklos sritis (įstaigos vadovui</w:t>
      </w:r>
      <w:r>
        <w:rPr>
          <w:sz w:val="24"/>
          <w:szCs w:val="24"/>
          <w:lang w:val="lt-LT"/>
        </w:rPr>
        <w:t xml:space="preserve"> nenustatoma</w:t>
      </w:r>
      <w:r w:rsidR="00104DB1" w:rsidRPr="005479B5">
        <w:rPr>
          <w:sz w:val="24"/>
          <w:szCs w:val="24"/>
          <w:lang w:val="lt-LT"/>
        </w:rPr>
        <w:t>), pareigybės specializacija (įstaigos vadovui</w:t>
      </w:r>
      <w:r w:rsidR="00F640FE">
        <w:rPr>
          <w:sz w:val="24"/>
          <w:szCs w:val="24"/>
          <w:lang w:val="lt-LT"/>
        </w:rPr>
        <w:t xml:space="preserve"> nenustatoma</w:t>
      </w:r>
      <w:r w:rsidR="00104DB1" w:rsidRPr="005479B5">
        <w:rPr>
          <w:sz w:val="24"/>
          <w:szCs w:val="24"/>
          <w:lang w:val="lt-LT"/>
        </w:rPr>
        <w:t>), pareigybės funkcijos, specialieji reikalavimai ir kompetencijos.</w:t>
      </w:r>
    </w:p>
    <w:p w:rsidR="00104DB1" w:rsidRPr="005479B5" w:rsidRDefault="00104DB1"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5479B5">
        <w:rPr>
          <w:sz w:val="24"/>
          <w:szCs w:val="24"/>
          <w:lang w:val="lt-LT"/>
        </w:rPr>
        <w:t xml:space="preserve"> Savivaldybės </w:t>
      </w:r>
      <w:r w:rsidR="00482624">
        <w:rPr>
          <w:sz w:val="24"/>
          <w:szCs w:val="24"/>
          <w:lang w:val="lt-LT"/>
        </w:rPr>
        <w:t>kontrolieriaus</w:t>
      </w:r>
      <w:r w:rsidR="00F640FE">
        <w:rPr>
          <w:sz w:val="24"/>
          <w:szCs w:val="24"/>
          <w:lang w:val="lt-LT"/>
        </w:rPr>
        <w:t xml:space="preserve"> –  įstaigos vadovo </w:t>
      </w:r>
      <w:r w:rsidRPr="005479B5">
        <w:rPr>
          <w:sz w:val="24"/>
          <w:szCs w:val="24"/>
          <w:lang w:val="lt-LT"/>
        </w:rPr>
        <w:t>pareigybė priskiriama II pareigybės lygmeniui (įstaigos vadovo pavaduotojui).</w:t>
      </w:r>
      <w:r w:rsidR="00F640FE">
        <w:rPr>
          <w:sz w:val="24"/>
          <w:szCs w:val="24"/>
          <w:lang w:val="lt-LT"/>
        </w:rPr>
        <w:t xml:space="preserve"> </w:t>
      </w:r>
      <w:r w:rsidR="007D3CD3">
        <w:rPr>
          <w:sz w:val="24"/>
          <w:szCs w:val="24"/>
          <w:lang w:val="lt-LT"/>
        </w:rPr>
        <w:t>Atkreiptinas dėmesys į tai, kad pareigybės lygmuo nėra lygu pareigybės pavadinimui.</w:t>
      </w:r>
      <w:r w:rsidR="00873A9C" w:rsidRPr="00873A9C">
        <w:rPr>
          <w:sz w:val="24"/>
          <w:szCs w:val="24"/>
          <w:lang w:val="lt-LT"/>
        </w:rPr>
        <w:t xml:space="preserve"> </w:t>
      </w:r>
      <w:r w:rsidR="00873A9C" w:rsidRPr="009A270A">
        <w:rPr>
          <w:sz w:val="24"/>
          <w:szCs w:val="24"/>
          <w:lang w:val="lt-LT"/>
        </w:rPr>
        <w:t>Pareigybės lygmuo yra įrankis, kurio pagrindu nustatomi tipiniai specialieji reikalavimai ir privalomos kompetencijos pareigas einančiam valstybės tarnautojui</w:t>
      </w:r>
      <w:r w:rsidR="00873A9C">
        <w:rPr>
          <w:sz w:val="24"/>
          <w:szCs w:val="24"/>
          <w:lang w:val="lt-LT"/>
        </w:rPr>
        <w:t>.</w:t>
      </w:r>
    </w:p>
    <w:p w:rsidR="00104DB1" w:rsidRPr="005479B5" w:rsidRDefault="00482624"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Pr>
          <w:sz w:val="24"/>
          <w:szCs w:val="24"/>
          <w:lang w:val="lt-LT"/>
        </w:rPr>
        <w:t xml:space="preserve">Savivaldybės </w:t>
      </w:r>
      <w:r w:rsidR="00B85D07">
        <w:rPr>
          <w:sz w:val="24"/>
          <w:szCs w:val="24"/>
          <w:lang w:val="lt-LT"/>
        </w:rPr>
        <w:t>kontrolieriaus pareigybėje įrašyti specialieji reikalavimai nustatyti Lietuvos Respublikos vietos savivaldos įstatyme, o Metodikoje nustatyti tipiniai specialieji reikalavimai šiai pareigybei taikomi tiek, kiek jų nenustato kiti teisės aktai.</w:t>
      </w:r>
    </w:p>
    <w:p w:rsidR="00104DB1" w:rsidRPr="005479B5" w:rsidRDefault="007D3CD3" w:rsidP="00104DB1">
      <w:pPr>
        <w:ind w:firstLine="709"/>
        <w:jc w:val="both"/>
        <w:rPr>
          <w:sz w:val="24"/>
          <w:szCs w:val="24"/>
          <w:lang w:val="lt-LT"/>
        </w:rPr>
      </w:pPr>
      <w:r>
        <w:rPr>
          <w:sz w:val="24"/>
          <w:szCs w:val="24"/>
          <w:lang w:val="lt-LT"/>
        </w:rPr>
        <w:t>Valstybės tarnautojo, einančio įstaigos vadovo pareigas</w:t>
      </w:r>
      <w:r w:rsidR="000019DD">
        <w:rPr>
          <w:sz w:val="24"/>
          <w:szCs w:val="24"/>
          <w:lang w:val="lt-LT"/>
        </w:rPr>
        <w:t>, pareigybės aprašyme nustatomos visos pareigybės aprašymo</w:t>
      </w:r>
      <w:r w:rsidR="00B85D07">
        <w:rPr>
          <w:sz w:val="24"/>
          <w:szCs w:val="24"/>
          <w:lang w:val="lt-LT"/>
        </w:rPr>
        <w:t xml:space="preserve"> ruošinyje nustatytos funkcijos</w:t>
      </w:r>
      <w:r w:rsidR="000019DD">
        <w:rPr>
          <w:sz w:val="24"/>
          <w:szCs w:val="24"/>
          <w:lang w:val="lt-LT"/>
        </w:rPr>
        <w:t>.</w:t>
      </w:r>
      <w:r w:rsidR="00104DB1" w:rsidRPr="005479B5">
        <w:rPr>
          <w:color w:val="000000"/>
          <w:sz w:val="24"/>
          <w:szCs w:val="24"/>
          <w:lang w:val="lt-LT"/>
        </w:rPr>
        <w:t xml:space="preserve"> Pareigybės aprašyme </w:t>
      </w:r>
      <w:r w:rsidR="00104DB1" w:rsidRPr="005479B5">
        <w:rPr>
          <w:color w:val="000000"/>
          <w:sz w:val="24"/>
          <w:szCs w:val="24"/>
          <w:lang w:val="lt-LT" w:eastAsia="lt-LT"/>
        </w:rPr>
        <w:t xml:space="preserve">galima nustatyti ne daugiau kaip 6 papildomas funkcijas, </w:t>
      </w:r>
      <w:r w:rsidR="00DC0EC9">
        <w:rPr>
          <w:color w:val="000000"/>
          <w:sz w:val="24"/>
          <w:szCs w:val="24"/>
          <w:lang w:val="lt-LT" w:eastAsia="lt-LT"/>
        </w:rPr>
        <w:t xml:space="preserve">kurios nenustatytos pareigybės aprašymo ruošinyje, bet </w:t>
      </w:r>
      <w:r w:rsidR="00104DB1" w:rsidRPr="005479B5">
        <w:rPr>
          <w:color w:val="000000"/>
          <w:sz w:val="24"/>
          <w:szCs w:val="24"/>
          <w:lang w:val="lt-LT" w:eastAsia="lt-LT"/>
        </w:rPr>
        <w:t xml:space="preserve">susijusias </w:t>
      </w:r>
      <w:r w:rsidR="000019DD">
        <w:rPr>
          <w:color w:val="000000"/>
          <w:sz w:val="24"/>
          <w:szCs w:val="24"/>
          <w:lang w:val="lt-LT" w:eastAsia="lt-LT"/>
        </w:rPr>
        <w:t>su įstaigos veikla.</w:t>
      </w:r>
      <w:r w:rsidR="00104DB1" w:rsidRPr="005479B5">
        <w:rPr>
          <w:color w:val="000000"/>
          <w:sz w:val="24"/>
          <w:szCs w:val="24"/>
          <w:lang w:val="lt-LT" w:eastAsia="lt-LT"/>
        </w:rPr>
        <w:t xml:space="preserve"> </w:t>
      </w:r>
    </w:p>
    <w:p w:rsidR="00104DB1" w:rsidRPr="005479B5" w:rsidRDefault="00DC0EC9"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Pr>
          <w:sz w:val="24"/>
          <w:szCs w:val="24"/>
          <w:lang w:val="lt-LT"/>
        </w:rPr>
        <w:t xml:space="preserve">Metodikos </w:t>
      </w:r>
      <w:r w:rsidR="00104DB1" w:rsidRPr="005479B5">
        <w:rPr>
          <w:sz w:val="24"/>
          <w:szCs w:val="24"/>
          <w:lang w:val="lt-LT"/>
        </w:rPr>
        <w:t xml:space="preserve"> II </w:t>
      </w:r>
      <w:r w:rsidR="00B85D07">
        <w:rPr>
          <w:sz w:val="24"/>
          <w:szCs w:val="24"/>
          <w:lang w:val="lt-LT"/>
        </w:rPr>
        <w:t>lygmens</w:t>
      </w:r>
      <w:r w:rsidR="00104DB1" w:rsidRPr="005479B5">
        <w:rPr>
          <w:sz w:val="24"/>
          <w:szCs w:val="24"/>
          <w:lang w:val="lt-LT"/>
        </w:rPr>
        <w:t xml:space="preserve"> pareigybėms nustatomos bendrosios, vadybinės ir lyderystės bei pasirinktinai ne daugiau kaip 3 specifinės (įžvalgumas, informacijos valdymas, orientacija į aptarnaujamą asmenį, dalykinių ryšių tinklo kūrimas, derybų valdymas, tarpkultūrinė komunikacija, konfliktų valdymas, kontrolės ir prie</w:t>
      </w:r>
      <w:r>
        <w:rPr>
          <w:sz w:val="24"/>
          <w:szCs w:val="24"/>
          <w:lang w:val="lt-LT"/>
        </w:rPr>
        <w:t>žiūros proceso valdymas, įtaka). Profesinės kompetencijos pareigybei nustatomos, jeigu nepakanka specifinių kompetencijų. P</w:t>
      </w:r>
      <w:r w:rsidR="00B85D07">
        <w:rPr>
          <w:sz w:val="24"/>
          <w:szCs w:val="24"/>
          <w:lang w:val="lt-LT"/>
        </w:rPr>
        <w:t>rofesinių kompetencijų aprašymai</w:t>
      </w:r>
      <w:r>
        <w:rPr>
          <w:sz w:val="24"/>
          <w:szCs w:val="24"/>
          <w:lang w:val="lt-LT"/>
        </w:rPr>
        <w:t>, esant poreikiui, turi būti rengiami įstaigoje ir tvirtinami įstaigos vadovo.</w:t>
      </w:r>
      <w:r w:rsidR="00A32FF1">
        <w:rPr>
          <w:sz w:val="24"/>
          <w:szCs w:val="24"/>
          <w:lang w:val="lt-LT"/>
        </w:rPr>
        <w:t xml:space="preserve"> Šiai pareigybei profesinės kompetencijos nenustatomos.</w:t>
      </w:r>
    </w:p>
    <w:p w:rsidR="00104DB1" w:rsidRDefault="000019DD" w:rsidP="00104D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lang w:val="lt-LT"/>
        </w:rPr>
      </w:pPr>
      <w:r>
        <w:rPr>
          <w:sz w:val="24"/>
          <w:szCs w:val="24"/>
          <w:lang w:val="lt-LT"/>
        </w:rPr>
        <w:t>B</w:t>
      </w:r>
      <w:r w:rsidR="00104DB1" w:rsidRPr="005479B5">
        <w:rPr>
          <w:color w:val="000000"/>
          <w:sz w:val="24"/>
          <w:szCs w:val="24"/>
          <w:lang w:val="lt-LT"/>
        </w:rPr>
        <w:t>e</w:t>
      </w:r>
      <w:r>
        <w:rPr>
          <w:color w:val="000000"/>
          <w:sz w:val="24"/>
          <w:szCs w:val="24"/>
          <w:lang w:val="lt-LT"/>
        </w:rPr>
        <w:t>nd</w:t>
      </w:r>
      <w:r w:rsidR="00DC0EC9">
        <w:rPr>
          <w:color w:val="000000"/>
          <w:sz w:val="24"/>
          <w:szCs w:val="24"/>
          <w:lang w:val="lt-LT"/>
        </w:rPr>
        <w:t>rųjų, vadybinių ir lyderystės bei</w:t>
      </w:r>
      <w:r w:rsidR="00104DB1" w:rsidRPr="005479B5">
        <w:rPr>
          <w:color w:val="000000"/>
          <w:sz w:val="24"/>
          <w:szCs w:val="24"/>
          <w:lang w:val="lt-LT"/>
        </w:rPr>
        <w:t xml:space="preserve"> specifi</w:t>
      </w:r>
      <w:r>
        <w:rPr>
          <w:color w:val="000000"/>
          <w:sz w:val="24"/>
          <w:szCs w:val="24"/>
          <w:lang w:val="lt-LT"/>
        </w:rPr>
        <w:t xml:space="preserve">nių </w:t>
      </w:r>
      <w:r w:rsidR="00104DB1" w:rsidRPr="005479B5">
        <w:rPr>
          <w:color w:val="000000"/>
          <w:sz w:val="24"/>
          <w:szCs w:val="24"/>
          <w:lang w:val="lt-LT"/>
        </w:rPr>
        <w:t xml:space="preserve">kompetencijų aprašymai </w:t>
      </w:r>
      <w:r>
        <w:rPr>
          <w:color w:val="000000"/>
          <w:sz w:val="24"/>
          <w:szCs w:val="24"/>
          <w:lang w:val="lt-LT"/>
        </w:rPr>
        <w:t xml:space="preserve">ir jų </w:t>
      </w:r>
      <w:r w:rsidR="00DC0EC9">
        <w:rPr>
          <w:color w:val="000000"/>
          <w:sz w:val="24"/>
          <w:szCs w:val="24"/>
          <w:lang w:val="lt-LT"/>
        </w:rPr>
        <w:t xml:space="preserve">pakankami </w:t>
      </w:r>
      <w:r>
        <w:rPr>
          <w:color w:val="000000"/>
          <w:sz w:val="24"/>
          <w:szCs w:val="24"/>
          <w:lang w:val="lt-LT"/>
        </w:rPr>
        <w:t xml:space="preserve">lygiai, </w:t>
      </w:r>
      <w:r w:rsidR="00104DB1" w:rsidRPr="005479B5">
        <w:rPr>
          <w:color w:val="000000"/>
          <w:sz w:val="24"/>
          <w:szCs w:val="24"/>
          <w:lang w:val="lt-LT"/>
        </w:rPr>
        <w:t xml:space="preserve">patvirtinti Valstybės tarnybos </w:t>
      </w:r>
      <w:r>
        <w:rPr>
          <w:color w:val="000000"/>
          <w:sz w:val="24"/>
          <w:szCs w:val="24"/>
          <w:lang w:val="lt-LT"/>
        </w:rPr>
        <w:t>departamento direktoriaus,</w:t>
      </w:r>
      <w:r w:rsidR="00104DB1" w:rsidRPr="005479B5">
        <w:rPr>
          <w:color w:val="000000"/>
          <w:sz w:val="24"/>
          <w:szCs w:val="24"/>
          <w:lang w:val="lt-LT"/>
        </w:rPr>
        <w:t xml:space="preserve"> negali būti keistini. </w:t>
      </w:r>
    </w:p>
    <w:p w:rsidR="00104DB1" w:rsidRPr="005479B5" w:rsidRDefault="006275D8" w:rsidP="00D049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Pr>
          <w:color w:val="000000"/>
          <w:sz w:val="24"/>
          <w:szCs w:val="24"/>
          <w:lang w:val="lt-LT"/>
        </w:rPr>
        <w:t xml:space="preserve"> Lietuvos Respublikos valstybės</w:t>
      </w:r>
      <w:r w:rsidR="00B85D07">
        <w:rPr>
          <w:color w:val="000000"/>
          <w:sz w:val="24"/>
          <w:szCs w:val="24"/>
          <w:lang w:val="lt-LT"/>
        </w:rPr>
        <w:t xml:space="preserve"> tarnybos įstatyme nurodyta, jog</w:t>
      </w:r>
      <w:r>
        <w:rPr>
          <w:color w:val="000000"/>
          <w:sz w:val="24"/>
          <w:szCs w:val="24"/>
          <w:lang w:val="lt-LT"/>
        </w:rPr>
        <w:t xml:space="preserve"> </w:t>
      </w:r>
      <w:r w:rsidR="00B85D07">
        <w:rPr>
          <w:color w:val="000000"/>
          <w:sz w:val="24"/>
          <w:szCs w:val="24"/>
          <w:lang w:val="lt-LT"/>
        </w:rPr>
        <w:t>savivaldybės kontrolieriaus pareigybės aprašymą</w:t>
      </w:r>
      <w:r w:rsidR="00873A9C">
        <w:rPr>
          <w:color w:val="000000"/>
          <w:sz w:val="24"/>
          <w:szCs w:val="24"/>
          <w:lang w:val="lt-LT"/>
        </w:rPr>
        <w:t xml:space="preserve"> </w:t>
      </w:r>
      <w:r>
        <w:rPr>
          <w:color w:val="000000"/>
          <w:sz w:val="24"/>
          <w:szCs w:val="24"/>
          <w:lang w:val="lt-LT"/>
        </w:rPr>
        <w:t>tvirtina Savivaldybės taryba, todėl teikiamas Tarybai  sprendimo projektas</w:t>
      </w:r>
      <w:r w:rsidR="00DC0EC9">
        <w:rPr>
          <w:color w:val="000000"/>
          <w:sz w:val="24"/>
          <w:szCs w:val="24"/>
          <w:lang w:val="lt-LT"/>
        </w:rPr>
        <w:t xml:space="preserve"> </w:t>
      </w:r>
      <w:r>
        <w:rPr>
          <w:color w:val="000000"/>
          <w:sz w:val="24"/>
          <w:szCs w:val="24"/>
          <w:lang w:val="lt-LT"/>
        </w:rPr>
        <w:t>dėl</w:t>
      </w:r>
      <w:r w:rsidR="00DC0EC9">
        <w:rPr>
          <w:color w:val="000000"/>
          <w:sz w:val="24"/>
          <w:szCs w:val="24"/>
          <w:lang w:val="lt-LT"/>
        </w:rPr>
        <w:t xml:space="preserve"> Panevėžio rajono savivaldybės </w:t>
      </w:r>
      <w:r w:rsidR="00B85D07">
        <w:rPr>
          <w:color w:val="000000"/>
          <w:sz w:val="24"/>
          <w:szCs w:val="24"/>
          <w:lang w:val="lt-LT"/>
        </w:rPr>
        <w:t>kontrolieriaus pareigybės aprašymo, parengto</w:t>
      </w:r>
      <w:r w:rsidR="00D04975">
        <w:rPr>
          <w:color w:val="000000"/>
          <w:sz w:val="24"/>
          <w:szCs w:val="24"/>
          <w:lang w:val="lt-LT"/>
        </w:rPr>
        <w:t xml:space="preserve"> pagal</w:t>
      </w:r>
      <w:r w:rsidR="008F45E4">
        <w:rPr>
          <w:color w:val="000000"/>
          <w:sz w:val="24"/>
          <w:szCs w:val="24"/>
          <w:lang w:val="lt-LT"/>
        </w:rPr>
        <w:t xml:space="preserve"> Metodiką ir kitus teisės aktus, patvirtinimo.</w:t>
      </w:r>
    </w:p>
    <w:p w:rsidR="00104DB1" w:rsidRPr="005479B5" w:rsidRDefault="00104DB1" w:rsidP="00104DB1">
      <w:pPr>
        <w:jc w:val="both"/>
        <w:rPr>
          <w:b/>
          <w:sz w:val="24"/>
          <w:lang w:val="lt-LT"/>
        </w:rPr>
      </w:pPr>
      <w:r w:rsidRPr="005479B5">
        <w:rPr>
          <w:lang w:val="lt-LT"/>
        </w:rPr>
        <w:tab/>
      </w:r>
      <w:r w:rsidRPr="005479B5">
        <w:rPr>
          <w:b/>
          <w:bCs/>
          <w:sz w:val="24"/>
          <w:szCs w:val="24"/>
          <w:lang w:val="lt-LT"/>
        </w:rPr>
        <w:t>3. K</w:t>
      </w:r>
      <w:r w:rsidRPr="005479B5">
        <w:rPr>
          <w:b/>
          <w:sz w:val="24"/>
          <w:lang w:val="lt-LT"/>
        </w:rPr>
        <w:t xml:space="preserve">okių pozityvių rezultatų laukiama. </w:t>
      </w:r>
      <w:r w:rsidRPr="005479B5">
        <w:rPr>
          <w:sz w:val="24"/>
          <w:szCs w:val="24"/>
          <w:lang w:val="lt-LT"/>
        </w:rPr>
        <w:t xml:space="preserve">Vykdomi teisės aktai. </w:t>
      </w:r>
    </w:p>
    <w:p w:rsidR="00FD47FF" w:rsidRDefault="00104DB1" w:rsidP="00FD47FF">
      <w:pPr>
        <w:jc w:val="both"/>
        <w:rPr>
          <w:b/>
          <w:sz w:val="24"/>
          <w:lang w:val="lt-LT"/>
        </w:rPr>
      </w:pPr>
      <w:r w:rsidRPr="005479B5">
        <w:rPr>
          <w:b/>
          <w:sz w:val="24"/>
          <w:lang w:val="lt-LT"/>
        </w:rPr>
        <w:tab/>
      </w:r>
    </w:p>
    <w:p w:rsidR="00FD47FF" w:rsidRPr="00FD47FF" w:rsidRDefault="00FD47FF" w:rsidP="00FD47FF">
      <w:pPr>
        <w:jc w:val="center"/>
        <w:rPr>
          <w:sz w:val="24"/>
          <w:lang w:val="lt-LT"/>
        </w:rPr>
      </w:pPr>
      <w:r w:rsidRPr="00FD47FF">
        <w:rPr>
          <w:sz w:val="24"/>
          <w:lang w:val="lt-LT"/>
        </w:rPr>
        <w:lastRenderedPageBreak/>
        <w:t>2</w:t>
      </w:r>
    </w:p>
    <w:p w:rsidR="008B772D" w:rsidRPr="00FD47FF" w:rsidRDefault="00FD47FF" w:rsidP="00FD47FF">
      <w:pPr>
        <w:jc w:val="both"/>
        <w:rPr>
          <w:b/>
          <w:sz w:val="24"/>
          <w:lang w:val="lt-LT"/>
        </w:rPr>
      </w:pPr>
      <w:r>
        <w:rPr>
          <w:b/>
          <w:sz w:val="24"/>
          <w:lang w:val="lt-LT"/>
        </w:rPr>
        <w:tab/>
      </w:r>
      <w:r w:rsidR="00104DB1" w:rsidRPr="005479B5">
        <w:rPr>
          <w:b/>
          <w:sz w:val="24"/>
          <w:lang w:val="lt-LT"/>
        </w:rPr>
        <w:t xml:space="preserve">4. Galimos neigiamos pasekmės priėmus sprendimą, kokių priemonių reikėtų imtis, kad tokių pasekmių būtų išvengta. </w:t>
      </w:r>
      <w:r w:rsidR="00104DB1" w:rsidRPr="005479B5">
        <w:rPr>
          <w:sz w:val="24"/>
          <w:lang w:val="lt-LT"/>
        </w:rPr>
        <w:t>Nėra.</w:t>
      </w:r>
    </w:p>
    <w:p w:rsidR="00104DB1" w:rsidRPr="00C97C7D" w:rsidRDefault="008B772D" w:rsidP="00104DB1">
      <w:pPr>
        <w:jc w:val="both"/>
        <w:rPr>
          <w:b/>
          <w:bCs/>
          <w:sz w:val="24"/>
          <w:lang w:val="lt-LT"/>
        </w:rPr>
      </w:pPr>
      <w:r>
        <w:rPr>
          <w:sz w:val="24"/>
          <w:lang w:val="lt-LT"/>
        </w:rPr>
        <w:tab/>
      </w:r>
      <w:r w:rsidR="00104DB1" w:rsidRPr="00EC1CE4">
        <w:rPr>
          <w:b/>
          <w:bCs/>
          <w:sz w:val="24"/>
          <w:lang w:val="lt-LT"/>
        </w:rPr>
        <w:t>5. Kokius galiojančius teisės aktus būtina pakeisti ar panaikinti, priėmus teikiamą projektą.</w:t>
      </w:r>
      <w:r w:rsidR="00104DB1">
        <w:rPr>
          <w:b/>
          <w:bCs/>
          <w:sz w:val="24"/>
          <w:lang w:val="lt-LT"/>
        </w:rPr>
        <w:t xml:space="preserve"> </w:t>
      </w:r>
      <w:r w:rsidR="00104DB1" w:rsidRPr="00EC1CE4">
        <w:rPr>
          <w:sz w:val="24"/>
          <w:lang w:val="lt-LT"/>
        </w:rPr>
        <w:t>Teisės aktų keisti ar naikinti, priėmus sprendimą, nereikės.</w:t>
      </w:r>
    </w:p>
    <w:p w:rsidR="00104DB1" w:rsidRPr="00FD47FF" w:rsidRDefault="00104DB1" w:rsidP="00FD47FF">
      <w:pPr>
        <w:jc w:val="both"/>
        <w:rPr>
          <w:b/>
          <w:sz w:val="24"/>
          <w:lang w:val="lt-LT"/>
        </w:rPr>
      </w:pPr>
      <w:r w:rsidRPr="00EC1CE4">
        <w:rPr>
          <w:sz w:val="24"/>
          <w:lang w:val="lt-LT"/>
        </w:rPr>
        <w:tab/>
      </w:r>
      <w:r w:rsidRPr="00EC1CE4">
        <w:rPr>
          <w:b/>
          <w:sz w:val="24"/>
          <w:lang w:val="lt-LT"/>
        </w:rPr>
        <w:t>6. Reikiami paskaičiavimai, išlaidų sąmatos bei finansavimo šaltiniai, reikalingi sprendimo įgyvendinimui.</w:t>
      </w:r>
      <w:r w:rsidR="00D04975">
        <w:rPr>
          <w:b/>
          <w:sz w:val="24"/>
          <w:lang w:val="lt-LT"/>
        </w:rPr>
        <w:t xml:space="preserve"> </w:t>
      </w:r>
      <w:r w:rsidR="00873A9C">
        <w:rPr>
          <w:sz w:val="24"/>
          <w:szCs w:val="24"/>
          <w:lang w:val="lt-LT"/>
        </w:rPr>
        <w:t xml:space="preserve">Sprendimo įgyvendinimui papildomo finansavimo </w:t>
      </w:r>
      <w:r w:rsidR="00FD47FF">
        <w:rPr>
          <w:sz w:val="24"/>
          <w:szCs w:val="24"/>
          <w:lang w:val="lt-LT"/>
        </w:rPr>
        <w:t>ne</w:t>
      </w:r>
      <w:r w:rsidR="00873A9C">
        <w:rPr>
          <w:sz w:val="24"/>
          <w:szCs w:val="24"/>
          <w:lang w:val="lt-LT"/>
        </w:rPr>
        <w:t>reikės</w:t>
      </w:r>
      <w:r w:rsidR="00FD47FF">
        <w:rPr>
          <w:sz w:val="24"/>
          <w:szCs w:val="24"/>
          <w:lang w:val="lt-LT"/>
        </w:rPr>
        <w:t>.</w:t>
      </w:r>
    </w:p>
    <w:p w:rsidR="00104DB1" w:rsidRDefault="00104DB1" w:rsidP="00104DB1">
      <w:pPr>
        <w:pStyle w:val="Antrats"/>
        <w:jc w:val="center"/>
        <w:rPr>
          <w:sz w:val="24"/>
        </w:rPr>
      </w:pPr>
    </w:p>
    <w:p w:rsidR="00104DB1" w:rsidRDefault="00104DB1" w:rsidP="00104DB1">
      <w:pPr>
        <w:pStyle w:val="Antrats"/>
        <w:jc w:val="center"/>
        <w:rPr>
          <w:sz w:val="24"/>
        </w:rPr>
      </w:pPr>
    </w:p>
    <w:p w:rsidR="00104DB1" w:rsidRDefault="00104DB1" w:rsidP="00104DB1">
      <w:pPr>
        <w:pStyle w:val="Antrats"/>
        <w:jc w:val="center"/>
        <w:rPr>
          <w:b/>
          <w:sz w:val="28"/>
        </w:rPr>
      </w:pPr>
      <w:r w:rsidRPr="00EC1CE4">
        <w:rPr>
          <w:sz w:val="24"/>
        </w:rPr>
        <w:t>Vedėja</w:t>
      </w:r>
      <w:r w:rsidRPr="00EC1CE4">
        <w:rPr>
          <w:sz w:val="24"/>
        </w:rPr>
        <w:tab/>
        <w:t xml:space="preserve">                                                                                                                   Stasė </w:t>
      </w:r>
      <w:proofErr w:type="spellStart"/>
      <w:r w:rsidRPr="00EC1CE4">
        <w:rPr>
          <w:sz w:val="24"/>
        </w:rPr>
        <w:t>Venslavičienė</w:t>
      </w:r>
      <w:proofErr w:type="spellEnd"/>
    </w:p>
    <w:p w:rsidR="00600644" w:rsidRDefault="00600644" w:rsidP="00D25EB5">
      <w:pP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FD2D8E" w:rsidRDefault="00FD2D8E">
      <w:pPr>
        <w:jc w:val="center"/>
        <w:rPr>
          <w:b/>
          <w:sz w:val="24"/>
          <w:szCs w:val="24"/>
        </w:rPr>
      </w:pPr>
    </w:p>
    <w:p w:rsidR="00874CD4" w:rsidRDefault="00874CD4">
      <w:pPr>
        <w:jc w:val="center"/>
        <w:rPr>
          <w:b/>
          <w:sz w:val="24"/>
          <w:szCs w:val="24"/>
        </w:rPr>
      </w:pPr>
    </w:p>
    <w:p w:rsidR="00B07407" w:rsidRPr="00A428D6" w:rsidRDefault="00B07407">
      <w:pPr>
        <w:rPr>
          <w:sz w:val="24"/>
          <w:lang w:val="lt-LT"/>
        </w:rPr>
      </w:pPr>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dale Sans UI">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19DD"/>
    <w:rsid w:val="000458E5"/>
    <w:rsid w:val="0007096E"/>
    <w:rsid w:val="00090F20"/>
    <w:rsid w:val="000C29A3"/>
    <w:rsid w:val="000C3191"/>
    <w:rsid w:val="000D6838"/>
    <w:rsid w:val="000D7FEA"/>
    <w:rsid w:val="00104DB1"/>
    <w:rsid w:val="00107A6D"/>
    <w:rsid w:val="00126DB8"/>
    <w:rsid w:val="00133229"/>
    <w:rsid w:val="00145B7F"/>
    <w:rsid w:val="00152F88"/>
    <w:rsid w:val="00193FB0"/>
    <w:rsid w:val="001A1E80"/>
    <w:rsid w:val="001C2743"/>
    <w:rsid w:val="001F4841"/>
    <w:rsid w:val="002035BF"/>
    <w:rsid w:val="00241D89"/>
    <w:rsid w:val="00265D1B"/>
    <w:rsid w:val="002967D5"/>
    <w:rsid w:val="00324185"/>
    <w:rsid w:val="003251FB"/>
    <w:rsid w:val="00364293"/>
    <w:rsid w:val="00382E79"/>
    <w:rsid w:val="003913F2"/>
    <w:rsid w:val="003A7305"/>
    <w:rsid w:val="003A79BB"/>
    <w:rsid w:val="003B2355"/>
    <w:rsid w:val="003B374A"/>
    <w:rsid w:val="003E36ED"/>
    <w:rsid w:val="003F392F"/>
    <w:rsid w:val="004156C0"/>
    <w:rsid w:val="00416AE4"/>
    <w:rsid w:val="00425BC1"/>
    <w:rsid w:val="004300E2"/>
    <w:rsid w:val="00447FB5"/>
    <w:rsid w:val="00462F79"/>
    <w:rsid w:val="004742A0"/>
    <w:rsid w:val="00475C80"/>
    <w:rsid w:val="00482624"/>
    <w:rsid w:val="0049372E"/>
    <w:rsid w:val="004A22D5"/>
    <w:rsid w:val="004D66F3"/>
    <w:rsid w:val="0053782D"/>
    <w:rsid w:val="005479B5"/>
    <w:rsid w:val="00561250"/>
    <w:rsid w:val="0059534D"/>
    <w:rsid w:val="005C14B0"/>
    <w:rsid w:val="00600644"/>
    <w:rsid w:val="00610125"/>
    <w:rsid w:val="0061682A"/>
    <w:rsid w:val="00624492"/>
    <w:rsid w:val="006275D8"/>
    <w:rsid w:val="00632C6F"/>
    <w:rsid w:val="0063303D"/>
    <w:rsid w:val="006573E7"/>
    <w:rsid w:val="006737E7"/>
    <w:rsid w:val="006B7870"/>
    <w:rsid w:val="00727CB4"/>
    <w:rsid w:val="00730E4C"/>
    <w:rsid w:val="0073364B"/>
    <w:rsid w:val="007729B7"/>
    <w:rsid w:val="00794F81"/>
    <w:rsid w:val="007B3838"/>
    <w:rsid w:val="007B6765"/>
    <w:rsid w:val="007D3CD3"/>
    <w:rsid w:val="007F27CE"/>
    <w:rsid w:val="007F42B1"/>
    <w:rsid w:val="007F70BA"/>
    <w:rsid w:val="008142EE"/>
    <w:rsid w:val="00871D95"/>
    <w:rsid w:val="00873A9C"/>
    <w:rsid w:val="00874CD4"/>
    <w:rsid w:val="00891244"/>
    <w:rsid w:val="008B772D"/>
    <w:rsid w:val="008B799A"/>
    <w:rsid w:val="008E3FE6"/>
    <w:rsid w:val="008F4158"/>
    <w:rsid w:val="008F45E4"/>
    <w:rsid w:val="00903655"/>
    <w:rsid w:val="00963782"/>
    <w:rsid w:val="009B6904"/>
    <w:rsid w:val="009E7588"/>
    <w:rsid w:val="00A32FF1"/>
    <w:rsid w:val="00A428D6"/>
    <w:rsid w:val="00A45370"/>
    <w:rsid w:val="00A66166"/>
    <w:rsid w:val="00A74DDE"/>
    <w:rsid w:val="00AA02AB"/>
    <w:rsid w:val="00AC5224"/>
    <w:rsid w:val="00B07407"/>
    <w:rsid w:val="00B85D07"/>
    <w:rsid w:val="00BB631A"/>
    <w:rsid w:val="00BB77F5"/>
    <w:rsid w:val="00BC378F"/>
    <w:rsid w:val="00BD4D43"/>
    <w:rsid w:val="00C61FCC"/>
    <w:rsid w:val="00C626E5"/>
    <w:rsid w:val="00C64FC2"/>
    <w:rsid w:val="00C72940"/>
    <w:rsid w:val="00C83668"/>
    <w:rsid w:val="00C8460A"/>
    <w:rsid w:val="00C9159E"/>
    <w:rsid w:val="00C94752"/>
    <w:rsid w:val="00CD6272"/>
    <w:rsid w:val="00CE7BD6"/>
    <w:rsid w:val="00D04975"/>
    <w:rsid w:val="00D116D8"/>
    <w:rsid w:val="00D24BBC"/>
    <w:rsid w:val="00D24F38"/>
    <w:rsid w:val="00D25EB5"/>
    <w:rsid w:val="00DA516B"/>
    <w:rsid w:val="00DB23AA"/>
    <w:rsid w:val="00DC0EC9"/>
    <w:rsid w:val="00E05ADC"/>
    <w:rsid w:val="00E21FF7"/>
    <w:rsid w:val="00E25C51"/>
    <w:rsid w:val="00E4183E"/>
    <w:rsid w:val="00E439EB"/>
    <w:rsid w:val="00E82990"/>
    <w:rsid w:val="00E95902"/>
    <w:rsid w:val="00EF7D24"/>
    <w:rsid w:val="00F07405"/>
    <w:rsid w:val="00F14BD0"/>
    <w:rsid w:val="00F51B84"/>
    <w:rsid w:val="00F60ED9"/>
    <w:rsid w:val="00F640FE"/>
    <w:rsid w:val="00F736FA"/>
    <w:rsid w:val="00F73737"/>
    <w:rsid w:val="00F84238"/>
    <w:rsid w:val="00F854E5"/>
    <w:rsid w:val="00FA4609"/>
    <w:rsid w:val="00FB12AD"/>
    <w:rsid w:val="00FB7ACF"/>
    <w:rsid w:val="00FD2D8E"/>
    <w:rsid w:val="00FD47FF"/>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4293"/>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04DB1"/>
    <w:rPr>
      <w:sz w:val="24"/>
      <w:lang w:eastAsia="hi-IN" w:bidi="hi-IN"/>
    </w:rPr>
  </w:style>
  <w:style w:type="character" w:customStyle="1" w:styleId="AntratsDiagrama">
    <w:name w:val="Antraštės Diagrama"/>
    <w:basedOn w:val="Numatytasispastraiposriftas"/>
    <w:link w:val="Antrats"/>
    <w:rsid w:val="00104DB1"/>
    <w:rPr>
      <w:lang w:eastAsia="hi-IN" w:bidi="hi-IN"/>
    </w:rPr>
  </w:style>
  <w:style w:type="paragraph" w:customStyle="1" w:styleId="EmptyLayoutCell">
    <w:name w:val="EmptyLayoutCell"/>
    <w:basedOn w:val="prastasis"/>
    <w:rsid w:val="00B85D07"/>
    <w:pPr>
      <w:suppressAutoHyphens w:val="0"/>
    </w:pPr>
    <w:rPr>
      <w:sz w:val="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4F84-ED5E-4B9D-8B52-35234ED7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5319</Words>
  <Characters>3032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13</cp:revision>
  <cp:lastPrinted>2020-06-16T05:31:00Z</cp:lastPrinted>
  <dcterms:created xsi:type="dcterms:W3CDTF">2020-06-12T06:23:00Z</dcterms:created>
  <dcterms:modified xsi:type="dcterms:W3CDTF">2020-06-16T05:33:00Z</dcterms:modified>
</cp:coreProperties>
</file>