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44C" w:rsidRDefault="002341F0" w:rsidP="00D2544C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44C" w:rsidRDefault="00D2544C" w:rsidP="00D2544C">
      <w:pPr>
        <w:pStyle w:val="Antrats"/>
        <w:ind w:firstLine="5245"/>
        <w:jc w:val="center"/>
        <w:rPr>
          <w:b/>
          <w:sz w:val="24"/>
          <w:szCs w:val="24"/>
        </w:rPr>
      </w:pPr>
      <w:r>
        <w:tab/>
        <w:t xml:space="preserve">                     </w:t>
      </w:r>
      <w:r>
        <w:rPr>
          <w:b/>
          <w:sz w:val="24"/>
          <w:szCs w:val="24"/>
        </w:rPr>
        <w:t>Projektas</w:t>
      </w:r>
    </w:p>
    <w:p w:rsidR="00D2544C" w:rsidRDefault="00D2544C" w:rsidP="00D2544C">
      <w:pPr>
        <w:pStyle w:val="Antrats"/>
        <w:ind w:firstLine="5245"/>
        <w:jc w:val="center"/>
        <w:rPr>
          <w:b/>
          <w:sz w:val="24"/>
          <w:szCs w:val="24"/>
        </w:rPr>
      </w:pPr>
    </w:p>
    <w:p w:rsidR="00D2544C" w:rsidRDefault="00D2544C" w:rsidP="00D2544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2544C" w:rsidRDefault="00D2544C" w:rsidP="00D2544C">
      <w:pPr>
        <w:pStyle w:val="Antrats"/>
        <w:jc w:val="center"/>
        <w:rPr>
          <w:b/>
          <w:sz w:val="28"/>
        </w:rPr>
      </w:pPr>
    </w:p>
    <w:p w:rsidR="00D2544C" w:rsidRPr="00145901" w:rsidRDefault="00D2544C" w:rsidP="00D2544C">
      <w:pPr>
        <w:pStyle w:val="Pagrindinistekstas"/>
        <w:spacing w:after="0"/>
        <w:jc w:val="center"/>
        <w:rPr>
          <w:b/>
          <w:sz w:val="24"/>
          <w:szCs w:val="24"/>
        </w:rPr>
      </w:pPr>
      <w:r>
        <w:rPr>
          <w:b/>
          <w:color w:val="000000"/>
          <w:sz w:val="28"/>
          <w:szCs w:val="28"/>
        </w:rPr>
        <w:t>SPRENDIMAS</w:t>
      </w:r>
    </w:p>
    <w:p w:rsidR="00145901" w:rsidRPr="003409BD" w:rsidRDefault="003409BD" w:rsidP="00145901">
      <w:pPr>
        <w:pStyle w:val="Pagrindinistekstas"/>
        <w:spacing w:after="0"/>
        <w:ind w:left="432"/>
        <w:jc w:val="center"/>
        <w:rPr>
          <w:rFonts w:ascii="Times New Roman Bold" w:hAnsi="Times New Roman Bold"/>
          <w:b/>
          <w:caps/>
          <w:kern w:val="24"/>
          <w:sz w:val="24"/>
          <w:szCs w:val="24"/>
        </w:rPr>
      </w:pPr>
      <w:r w:rsidRPr="003409BD">
        <w:rPr>
          <w:rFonts w:ascii="Times New Roman Bold" w:hAnsi="Times New Roman Bold"/>
          <w:b/>
          <w:caps/>
          <w:color w:val="000000"/>
          <w:kern w:val="24"/>
          <w:sz w:val="24"/>
          <w:szCs w:val="24"/>
        </w:rPr>
        <w:t xml:space="preserve">Dėl </w:t>
      </w:r>
      <w:r w:rsidR="00FC3253">
        <w:rPr>
          <w:rFonts w:ascii="Times New Roman Bold" w:hAnsi="Times New Roman Bold"/>
          <w:b/>
          <w:caps/>
          <w:kern w:val="24"/>
          <w:sz w:val="24"/>
          <w:szCs w:val="24"/>
        </w:rPr>
        <w:t>SUTIKIMO FINANSUOTI DARBUS</w:t>
      </w:r>
    </w:p>
    <w:p w:rsidR="00D2544C" w:rsidRDefault="00D2544C" w:rsidP="00145901">
      <w:pPr>
        <w:jc w:val="center"/>
        <w:rPr>
          <w:b/>
          <w:sz w:val="24"/>
          <w:szCs w:val="24"/>
        </w:rPr>
      </w:pPr>
    </w:p>
    <w:p w:rsidR="00145901" w:rsidRDefault="00145901" w:rsidP="00145901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409BD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FC3253">
        <w:rPr>
          <w:sz w:val="24"/>
          <w:szCs w:val="24"/>
        </w:rPr>
        <w:t>gruo</w:t>
      </w:r>
      <w:r w:rsidR="007A16FA">
        <w:rPr>
          <w:sz w:val="24"/>
          <w:szCs w:val="24"/>
        </w:rPr>
        <w:t>dž</w:t>
      </w:r>
      <w:r>
        <w:rPr>
          <w:sz w:val="24"/>
          <w:szCs w:val="24"/>
        </w:rPr>
        <w:t xml:space="preserve">io </w:t>
      </w:r>
      <w:r w:rsidR="00FC3253">
        <w:rPr>
          <w:sz w:val="24"/>
          <w:szCs w:val="24"/>
        </w:rPr>
        <w:t>6</w:t>
      </w:r>
      <w:r>
        <w:rPr>
          <w:sz w:val="24"/>
          <w:szCs w:val="24"/>
        </w:rPr>
        <w:t xml:space="preserve"> d. Nr. T-</w:t>
      </w:r>
    </w:p>
    <w:p w:rsidR="00145901" w:rsidRDefault="00145901" w:rsidP="00145901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45901" w:rsidRDefault="00145901" w:rsidP="00145901">
      <w:pPr>
        <w:pStyle w:val="Betarp1"/>
        <w:jc w:val="both"/>
        <w:rPr>
          <w:sz w:val="24"/>
          <w:szCs w:val="24"/>
        </w:rPr>
      </w:pPr>
    </w:p>
    <w:p w:rsidR="00145901" w:rsidRDefault="00145901" w:rsidP="0017243A">
      <w:pPr>
        <w:pStyle w:val="Betarp1"/>
        <w:ind w:firstLine="1134"/>
        <w:jc w:val="both"/>
        <w:rPr>
          <w:color w:val="000000"/>
          <w:spacing w:val="60"/>
          <w:sz w:val="24"/>
          <w:szCs w:val="24"/>
        </w:rPr>
      </w:pPr>
      <w:r w:rsidRPr="0034124F">
        <w:rPr>
          <w:color w:val="000000"/>
          <w:sz w:val="24"/>
          <w:szCs w:val="24"/>
        </w:rPr>
        <w:t xml:space="preserve">Vadovaudamasi </w:t>
      </w:r>
      <w:r w:rsidR="003D10CA" w:rsidRPr="0034124F">
        <w:rPr>
          <w:sz w:val="24"/>
          <w:szCs w:val="24"/>
        </w:rPr>
        <w:t xml:space="preserve">Lietuvos Respublikos vietos savivaldos įstatymo </w:t>
      </w:r>
      <w:r w:rsidR="00FC3253">
        <w:rPr>
          <w:sz w:val="24"/>
          <w:szCs w:val="24"/>
        </w:rPr>
        <w:t>1</w:t>
      </w:r>
      <w:r w:rsidR="00FC3253" w:rsidRPr="0034124F">
        <w:rPr>
          <w:sz w:val="24"/>
          <w:szCs w:val="24"/>
        </w:rPr>
        <w:t>6 straipsnio</w:t>
      </w:r>
      <w:r w:rsidR="00FC3253">
        <w:rPr>
          <w:sz w:val="24"/>
          <w:szCs w:val="24"/>
        </w:rPr>
        <w:t xml:space="preserve"> 2 dalies </w:t>
      </w:r>
      <w:r w:rsidR="00FC3253" w:rsidRPr="0034124F">
        <w:rPr>
          <w:sz w:val="24"/>
          <w:szCs w:val="24"/>
        </w:rPr>
        <w:t>3</w:t>
      </w:r>
      <w:r w:rsidR="00FC3253">
        <w:rPr>
          <w:sz w:val="24"/>
          <w:szCs w:val="24"/>
        </w:rPr>
        <w:t>0</w:t>
      </w:r>
      <w:r w:rsidR="00FC3253" w:rsidRPr="0034124F">
        <w:rPr>
          <w:sz w:val="24"/>
          <w:szCs w:val="24"/>
        </w:rPr>
        <w:t xml:space="preserve"> </w:t>
      </w:r>
      <w:r w:rsidR="00D8369E">
        <w:rPr>
          <w:sz w:val="24"/>
          <w:szCs w:val="24"/>
        </w:rPr>
        <w:t xml:space="preserve">punktu </w:t>
      </w:r>
      <w:r w:rsidRPr="0034124F">
        <w:rPr>
          <w:color w:val="000000"/>
          <w:sz w:val="24"/>
          <w:szCs w:val="24"/>
        </w:rPr>
        <w:t xml:space="preserve">ir </w:t>
      </w:r>
      <w:r w:rsidR="00D8369E">
        <w:rPr>
          <w:sz w:val="24"/>
          <w:szCs w:val="24"/>
        </w:rPr>
        <w:t xml:space="preserve">Infrastruktūros objektų projektavimo, statybos, rekonstravimo, remonto darbų, prie kurių finansavimo prisideda fiziniai ir (ar) juridiniai asmenys, </w:t>
      </w:r>
      <w:r w:rsidR="00D8369E" w:rsidRPr="007B0912">
        <w:rPr>
          <w:sz w:val="24"/>
          <w:szCs w:val="24"/>
        </w:rPr>
        <w:t>tvarkos apraš</w:t>
      </w:r>
      <w:r w:rsidR="00D8369E">
        <w:rPr>
          <w:sz w:val="24"/>
          <w:szCs w:val="24"/>
        </w:rPr>
        <w:t xml:space="preserve">o, patvirtinto </w:t>
      </w:r>
      <w:r w:rsidR="00D8369E" w:rsidRPr="00E51AF7">
        <w:rPr>
          <w:sz w:val="24"/>
          <w:szCs w:val="24"/>
        </w:rPr>
        <w:t>Pa</w:t>
      </w:r>
      <w:r w:rsidR="00D8369E">
        <w:rPr>
          <w:sz w:val="24"/>
          <w:szCs w:val="24"/>
        </w:rPr>
        <w:t>nevėž</w:t>
      </w:r>
      <w:r w:rsidR="00D8369E" w:rsidRPr="00E51AF7">
        <w:rPr>
          <w:sz w:val="24"/>
          <w:szCs w:val="24"/>
        </w:rPr>
        <w:t>io rajono savivaldybės</w:t>
      </w:r>
      <w:r w:rsidR="00D8369E">
        <w:rPr>
          <w:sz w:val="24"/>
          <w:szCs w:val="24"/>
        </w:rPr>
        <w:t xml:space="preserve"> tarybos 2019 m. vasario 20 d. sprendimu Nr. 39 „Dėl Infrastruktūros objektų projektavimo, statybos, rekonstravimo, remonto darbų, prie kurių finansavimo prisideda fiziniai ir (ar) juridiniai asmenys, </w:t>
      </w:r>
      <w:r w:rsidR="00D8369E" w:rsidRPr="007B0912">
        <w:rPr>
          <w:sz w:val="24"/>
          <w:szCs w:val="24"/>
        </w:rPr>
        <w:t>tvarkos apraš</w:t>
      </w:r>
      <w:r w:rsidR="00D8369E">
        <w:rPr>
          <w:sz w:val="24"/>
          <w:szCs w:val="24"/>
        </w:rPr>
        <w:t>o patvirtinimo</w:t>
      </w:r>
      <w:r w:rsidR="00D8369E" w:rsidRPr="0034124F">
        <w:rPr>
          <w:sz w:val="24"/>
          <w:szCs w:val="24"/>
        </w:rPr>
        <w:t>“</w:t>
      </w:r>
      <w:r w:rsidR="00D8369E">
        <w:rPr>
          <w:sz w:val="24"/>
          <w:szCs w:val="24"/>
        </w:rPr>
        <w:t>, 17 punktu</w:t>
      </w:r>
      <w:r w:rsidR="007745FB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Panevėžio rajono savivaldybės taryba  </w:t>
      </w:r>
      <w:r w:rsidRPr="00AE4BB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ž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 w:rsidRPr="00AE4BB5">
        <w:rPr>
          <w:color w:val="000000"/>
          <w:sz w:val="24"/>
          <w:szCs w:val="24"/>
        </w:rPr>
        <w:t>a:</w:t>
      </w:r>
      <w:r>
        <w:rPr>
          <w:color w:val="000000"/>
          <w:spacing w:val="60"/>
          <w:sz w:val="24"/>
          <w:szCs w:val="24"/>
        </w:rPr>
        <w:t> </w:t>
      </w:r>
    </w:p>
    <w:p w:rsidR="00632C20" w:rsidRDefault="00D8369E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Sutikti finansuoti Raguvos seniūnijos </w:t>
      </w:r>
      <w:proofErr w:type="spellStart"/>
      <w:r>
        <w:rPr>
          <w:sz w:val="24"/>
          <w:szCs w:val="24"/>
        </w:rPr>
        <w:t>Užunevėžio</w:t>
      </w:r>
      <w:proofErr w:type="spellEnd"/>
      <w:r>
        <w:rPr>
          <w:sz w:val="24"/>
          <w:szCs w:val="24"/>
        </w:rPr>
        <w:t xml:space="preserve"> kaimo Pievų gatvės dalies asfalto dangos remonto darbus, prie</w:t>
      </w:r>
      <w:r w:rsidR="002D6618">
        <w:rPr>
          <w:sz w:val="24"/>
          <w:szCs w:val="24"/>
        </w:rPr>
        <w:t xml:space="preserve"> kurių finansavimo prisideda prašymą pateikęs juridinis asmuo.</w:t>
      </w: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2D6618" w:rsidRPr="003409BD" w:rsidRDefault="002D6618" w:rsidP="0017243A">
      <w:pPr>
        <w:widowControl w:val="0"/>
        <w:tabs>
          <w:tab w:val="left" w:pos="1080"/>
          <w:tab w:val="left" w:pos="1293"/>
        </w:tabs>
        <w:overflowPunct w:val="0"/>
        <w:ind w:firstLine="1134"/>
        <w:jc w:val="both"/>
        <w:textAlignment w:val="baseline"/>
        <w:rPr>
          <w:sz w:val="24"/>
          <w:szCs w:val="24"/>
        </w:rPr>
      </w:pPr>
    </w:p>
    <w:p w:rsidR="00145901" w:rsidRDefault="00145901" w:rsidP="00145901">
      <w:pPr>
        <w:rPr>
          <w:sz w:val="24"/>
          <w:szCs w:val="24"/>
        </w:rPr>
      </w:pPr>
    </w:p>
    <w:p w:rsidR="00145901" w:rsidRDefault="00145901" w:rsidP="00145901"/>
    <w:p w:rsidR="00145901" w:rsidRDefault="00145901" w:rsidP="00145901"/>
    <w:p w:rsidR="0017243A" w:rsidRDefault="0017243A" w:rsidP="00145901"/>
    <w:p w:rsidR="00145901" w:rsidRDefault="00145901" w:rsidP="00145901"/>
    <w:p w:rsidR="00145901" w:rsidRDefault="00145901" w:rsidP="00145901">
      <w:pPr>
        <w:jc w:val="both"/>
        <w:rPr>
          <w:sz w:val="24"/>
          <w:szCs w:val="24"/>
        </w:rPr>
      </w:pPr>
      <w:r w:rsidRPr="00AE4BB5">
        <w:rPr>
          <w:sz w:val="24"/>
          <w:szCs w:val="24"/>
        </w:rPr>
        <w:t>R</w:t>
      </w:r>
      <w:r w:rsidR="00E51AF7">
        <w:rPr>
          <w:sz w:val="24"/>
          <w:szCs w:val="24"/>
        </w:rPr>
        <w:t>imas</w:t>
      </w:r>
      <w:r w:rsidRPr="00AE4BB5">
        <w:rPr>
          <w:sz w:val="24"/>
          <w:szCs w:val="24"/>
        </w:rPr>
        <w:t xml:space="preserve"> </w:t>
      </w:r>
      <w:r w:rsidR="00E51AF7">
        <w:rPr>
          <w:sz w:val="24"/>
          <w:szCs w:val="24"/>
        </w:rPr>
        <w:t>Samkus</w:t>
      </w:r>
    </w:p>
    <w:p w:rsidR="00145901" w:rsidRPr="00AE4BB5" w:rsidRDefault="00145901" w:rsidP="00145901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3409BD">
        <w:rPr>
          <w:sz w:val="24"/>
          <w:szCs w:val="24"/>
        </w:rPr>
        <w:t>9</w:t>
      </w:r>
      <w:r>
        <w:rPr>
          <w:sz w:val="24"/>
          <w:szCs w:val="24"/>
        </w:rPr>
        <w:t>-</w:t>
      </w:r>
      <w:r w:rsidR="005F7D8C">
        <w:rPr>
          <w:sz w:val="24"/>
          <w:szCs w:val="24"/>
        </w:rPr>
        <w:t>11</w:t>
      </w:r>
      <w:r>
        <w:rPr>
          <w:sz w:val="24"/>
          <w:szCs w:val="24"/>
        </w:rPr>
        <w:t>-</w:t>
      </w:r>
      <w:r w:rsidR="00F508E3">
        <w:rPr>
          <w:sz w:val="24"/>
          <w:szCs w:val="24"/>
        </w:rPr>
        <w:t>19</w:t>
      </w:r>
    </w:p>
    <w:p w:rsidR="00A05980" w:rsidRPr="00A05980" w:rsidRDefault="00A05980" w:rsidP="00A05980">
      <w:pPr>
        <w:jc w:val="center"/>
        <w:rPr>
          <w:b/>
          <w:sz w:val="24"/>
          <w:szCs w:val="24"/>
        </w:rPr>
      </w:pPr>
      <w:r w:rsidRPr="00A05980">
        <w:rPr>
          <w:b/>
          <w:sz w:val="24"/>
          <w:szCs w:val="24"/>
        </w:rPr>
        <w:lastRenderedPageBreak/>
        <w:t>PANEVĖŽIO RAJONO SAVIVALDYBĖS ADMINISTRACIJOS</w:t>
      </w:r>
    </w:p>
    <w:p w:rsidR="00A05980" w:rsidRPr="00A05980" w:rsidRDefault="00675BE6" w:rsidP="00A059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STATYBOS IR INFRASTRUKTŪROS</w:t>
      </w:r>
      <w:r w:rsidR="00A05980" w:rsidRPr="00A05980">
        <w:rPr>
          <w:b/>
          <w:sz w:val="24"/>
          <w:szCs w:val="24"/>
        </w:rPr>
        <w:t xml:space="preserve"> SKYRIUS</w:t>
      </w:r>
    </w:p>
    <w:p w:rsidR="00A05980" w:rsidRPr="00E0786A" w:rsidRDefault="00A05980" w:rsidP="00E14D23">
      <w:pPr>
        <w:rPr>
          <w:sz w:val="22"/>
          <w:szCs w:val="22"/>
        </w:rPr>
      </w:pPr>
    </w:p>
    <w:p w:rsidR="00E14D23" w:rsidRDefault="00E14D23" w:rsidP="00E14D23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0F4380" w:rsidRPr="00E0786A" w:rsidRDefault="000F4380" w:rsidP="00E14D23">
      <w:pPr>
        <w:rPr>
          <w:sz w:val="22"/>
          <w:szCs w:val="22"/>
        </w:rPr>
      </w:pPr>
    </w:p>
    <w:p w:rsidR="00E14D23" w:rsidRPr="0047592A" w:rsidRDefault="00E14D23" w:rsidP="0047592A">
      <w:pPr>
        <w:pStyle w:val="Pagrindinistekstas"/>
        <w:spacing w:after="0"/>
        <w:ind w:left="432"/>
        <w:jc w:val="center"/>
        <w:rPr>
          <w:rFonts w:ascii="Times New Roman Bold" w:hAnsi="Times New Roman Bold"/>
          <w:b/>
          <w:caps/>
          <w:kern w:val="24"/>
          <w:sz w:val="24"/>
          <w:szCs w:val="24"/>
        </w:rPr>
      </w:pPr>
      <w:r w:rsidRPr="000638BB">
        <w:rPr>
          <w:b/>
          <w:sz w:val="24"/>
          <w:szCs w:val="24"/>
        </w:rPr>
        <w:t>AIŠKINAMASIS RAŠTAS DĖL SPRENDIMO „</w:t>
      </w:r>
      <w:r w:rsidR="00CF7033" w:rsidRPr="003409BD">
        <w:rPr>
          <w:rFonts w:ascii="Times New Roman Bold" w:hAnsi="Times New Roman Bold"/>
          <w:b/>
          <w:caps/>
          <w:color w:val="000000"/>
          <w:kern w:val="24"/>
          <w:sz w:val="24"/>
          <w:szCs w:val="24"/>
        </w:rPr>
        <w:t xml:space="preserve">Dėl </w:t>
      </w:r>
      <w:r w:rsidR="00CF7033">
        <w:rPr>
          <w:rFonts w:ascii="Times New Roman Bold" w:hAnsi="Times New Roman Bold"/>
          <w:b/>
          <w:caps/>
          <w:kern w:val="24"/>
          <w:sz w:val="24"/>
          <w:szCs w:val="24"/>
        </w:rPr>
        <w:t>SUTIKIMO FINANSUOTI DARBUS</w:t>
      </w:r>
      <w:r w:rsidRPr="000638BB">
        <w:rPr>
          <w:b/>
          <w:sz w:val="24"/>
          <w:szCs w:val="24"/>
        </w:rPr>
        <w:t>“ PROJEKTO</w:t>
      </w:r>
    </w:p>
    <w:p w:rsidR="00E14D23" w:rsidRPr="00E0786A" w:rsidRDefault="00E14D23" w:rsidP="00E14D23">
      <w:pPr>
        <w:jc w:val="center"/>
        <w:rPr>
          <w:sz w:val="22"/>
          <w:szCs w:val="22"/>
        </w:rPr>
      </w:pPr>
    </w:p>
    <w:p w:rsidR="00E14D23" w:rsidRPr="002C4EA3" w:rsidRDefault="00E14D23" w:rsidP="00E14D23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47592A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CF7033">
        <w:rPr>
          <w:sz w:val="24"/>
          <w:szCs w:val="24"/>
        </w:rPr>
        <w:t>lapkriči</w:t>
      </w:r>
      <w:r w:rsidR="00A90E9F">
        <w:rPr>
          <w:sz w:val="24"/>
          <w:szCs w:val="24"/>
        </w:rPr>
        <w:t xml:space="preserve">o </w:t>
      </w:r>
      <w:r w:rsidR="00F508E3">
        <w:rPr>
          <w:sz w:val="24"/>
          <w:szCs w:val="24"/>
        </w:rPr>
        <w:t>19</w:t>
      </w:r>
      <w:r>
        <w:rPr>
          <w:sz w:val="24"/>
          <w:szCs w:val="24"/>
        </w:rPr>
        <w:t xml:space="preserve"> d.</w:t>
      </w:r>
    </w:p>
    <w:p w:rsidR="00E14D23" w:rsidRDefault="00E14D23" w:rsidP="00E14D23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E14D23" w:rsidRPr="00DC5271" w:rsidRDefault="00E14D23" w:rsidP="00E14D23">
      <w:pPr>
        <w:jc w:val="center"/>
        <w:rPr>
          <w:sz w:val="24"/>
          <w:szCs w:val="24"/>
        </w:rPr>
      </w:pPr>
    </w:p>
    <w:p w:rsidR="000F4380" w:rsidRDefault="00E14D23" w:rsidP="000F4380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CF7033" w:rsidRDefault="00CF7033" w:rsidP="000F4380">
      <w:pPr>
        <w:tabs>
          <w:tab w:val="right" w:pos="-7371"/>
          <w:tab w:val="left" w:pos="993"/>
        </w:tabs>
        <w:ind w:firstLine="720"/>
        <w:jc w:val="both"/>
        <w:rPr>
          <w:rFonts w:ascii="TimesNewRomanPS-BoldMT CE" w:hAnsi="TimesNewRomanPS-BoldMT CE" w:cs="TimesNewRomanPS-BoldMT CE"/>
          <w:bCs/>
          <w:sz w:val="24"/>
          <w:szCs w:val="24"/>
        </w:rPr>
      </w:pPr>
      <w:r>
        <w:rPr>
          <w:rFonts w:ascii="TimesNewRomanPS-BoldMT CE" w:hAnsi="TimesNewRomanPS-BoldMT CE" w:cs="TimesNewRomanPS-BoldMT CE"/>
          <w:bCs/>
          <w:sz w:val="24"/>
          <w:szCs w:val="24"/>
        </w:rPr>
        <w:t>UAB „</w:t>
      </w:r>
      <w:r w:rsidR="000E24B3">
        <w:rPr>
          <w:rFonts w:ascii="TimesNewRomanPS-BoldMT CE" w:hAnsi="TimesNewRomanPS-BoldMT CE" w:cs="TimesNewRomanPS-BoldMT CE"/>
          <w:bCs/>
          <w:sz w:val="24"/>
          <w:szCs w:val="24"/>
        </w:rPr>
        <w:t>R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aguvos baldai ir ko“ 2019 m. birželio 27 d. pateikė prašymą dėl Raguvos seniūnijos </w:t>
      </w:r>
      <w:proofErr w:type="spellStart"/>
      <w:r>
        <w:rPr>
          <w:rFonts w:ascii="TimesNewRomanPS-BoldMT CE" w:hAnsi="TimesNewRomanPS-BoldMT CE" w:cs="TimesNewRomanPS-BoldMT CE"/>
          <w:bCs/>
          <w:sz w:val="24"/>
          <w:szCs w:val="24"/>
        </w:rPr>
        <w:t>Užunevėžio</w:t>
      </w:r>
      <w:proofErr w:type="spellEnd"/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kaimo Pievų gatvės dalies asfalto dangos remonto darbų, prie kurių finansavimo įmonė prisidėtų apmokėdama 50 procentų visų išlaidų. </w:t>
      </w:r>
    </w:p>
    <w:p w:rsidR="00E14D23" w:rsidRDefault="00E14D23" w:rsidP="00E14D2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0E24B3" w:rsidRPr="00DC79F8" w:rsidRDefault="000E24B3" w:rsidP="000E24B3">
      <w:pPr>
        <w:tabs>
          <w:tab w:val="right" w:pos="-7371"/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Vadovaujantis </w:t>
      </w:r>
      <w:r>
        <w:rPr>
          <w:sz w:val="24"/>
          <w:szCs w:val="24"/>
        </w:rPr>
        <w:t xml:space="preserve">Infrastruktūros objektų projektavimo, statybos, rekonstravimo, remonto darbų, prie kurių finansavimo prisideda fiziniai ir (ar) juridiniai asmenys, </w:t>
      </w:r>
      <w:r w:rsidRPr="007B0912">
        <w:rPr>
          <w:sz w:val="24"/>
          <w:szCs w:val="24"/>
        </w:rPr>
        <w:t>tvarkos apraš</w:t>
      </w:r>
      <w:r>
        <w:rPr>
          <w:sz w:val="24"/>
          <w:szCs w:val="24"/>
        </w:rPr>
        <w:t>o (toliau</w:t>
      </w:r>
      <w:r w:rsidR="00E0786A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Aprašas), patvirtinto </w:t>
      </w:r>
      <w:r w:rsidRPr="00E51AF7">
        <w:rPr>
          <w:sz w:val="24"/>
          <w:szCs w:val="24"/>
        </w:rPr>
        <w:t>Pa</w:t>
      </w:r>
      <w:r>
        <w:rPr>
          <w:sz w:val="24"/>
          <w:szCs w:val="24"/>
        </w:rPr>
        <w:t>nevėž</w:t>
      </w:r>
      <w:r w:rsidRPr="00E51AF7">
        <w:rPr>
          <w:sz w:val="24"/>
          <w:szCs w:val="24"/>
        </w:rPr>
        <w:t>io rajono savivaldybės</w:t>
      </w:r>
      <w:r>
        <w:rPr>
          <w:sz w:val="24"/>
          <w:szCs w:val="24"/>
        </w:rPr>
        <w:t xml:space="preserve"> tarybos 2019 m. vasario 20 d. sprendimu Nr. 39 „Dėl Infrastruktūros objektų projektavimo, statybos, rekonstravimo, remonto darbų, prie kurių finansavimo prisideda fiziniai ir (ar) juridiniai asmenys, </w:t>
      </w:r>
      <w:r w:rsidRPr="007B0912">
        <w:rPr>
          <w:sz w:val="24"/>
          <w:szCs w:val="24"/>
        </w:rPr>
        <w:t>tvarkos apraš</w:t>
      </w:r>
      <w:r>
        <w:rPr>
          <w:sz w:val="24"/>
          <w:szCs w:val="24"/>
        </w:rPr>
        <w:t>o patvirtinimo</w:t>
      </w:r>
      <w:r w:rsidRPr="0034124F">
        <w:rPr>
          <w:sz w:val="24"/>
          <w:szCs w:val="24"/>
        </w:rPr>
        <w:t>“</w:t>
      </w:r>
      <w:r>
        <w:rPr>
          <w:sz w:val="24"/>
          <w:szCs w:val="24"/>
        </w:rPr>
        <w:t>, nuostatomis, p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araiška buvo pristatyta </w:t>
      </w:r>
      <w:r w:rsidRPr="00DC79F8">
        <w:rPr>
          <w:bCs/>
          <w:sz w:val="24"/>
          <w:szCs w:val="24"/>
        </w:rPr>
        <w:t xml:space="preserve">Savivaldybės tarybos Biudžeto, ekonomikos ir investicijų komitetui. Kadangi siūlomas objektas atitinka Apraše nustatytus kriterijus, jis įrašytas į finansuotinų objektų sąrašą, o Savivaldybės taryba iki einamųjų metų pabaigos turi priimti sprendimą dėl sutikimo finansuoti darbus. </w:t>
      </w:r>
      <w:r w:rsidR="00507F4E" w:rsidRPr="00DC79F8">
        <w:rPr>
          <w:bCs/>
          <w:sz w:val="24"/>
          <w:szCs w:val="24"/>
        </w:rPr>
        <w:t xml:space="preserve">Tokia tvarka parinkti objektai įgyja prioritetą sudarant kitų metų </w:t>
      </w:r>
      <w:r w:rsidR="00507F4E" w:rsidRPr="00DC79F8">
        <w:rPr>
          <w:sz w:val="24"/>
          <w:szCs w:val="24"/>
        </w:rPr>
        <w:t>Kelių priežiūros ir plėtros programos lėšomis finansuojamų objektų sąrašą.</w:t>
      </w:r>
    </w:p>
    <w:p w:rsidR="00E14D23" w:rsidRPr="00DC79F8" w:rsidRDefault="00E14D23" w:rsidP="00E14D2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DC79F8">
        <w:rPr>
          <w:b/>
          <w:sz w:val="24"/>
          <w:szCs w:val="24"/>
        </w:rPr>
        <w:t>Kokių pozityvių rezultatų laukiama.</w:t>
      </w:r>
    </w:p>
    <w:p w:rsidR="00337E76" w:rsidRPr="00DC79F8" w:rsidRDefault="00507F4E" w:rsidP="00E14D23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DC79F8">
        <w:rPr>
          <w:sz w:val="24"/>
          <w:szCs w:val="24"/>
        </w:rPr>
        <w:t xml:space="preserve">Savivaldybei, vykdančiai vietinės reikšmės kelių statybos ir priežiūros darbų užsakovo funkcijas, sumažės finansinė našta. Užtikrinti dalinį finansavimą įsipareigojęs </w:t>
      </w:r>
      <w:r w:rsidR="00E0786A">
        <w:rPr>
          <w:sz w:val="24"/>
          <w:szCs w:val="24"/>
        </w:rPr>
        <w:t xml:space="preserve">juridinis </w:t>
      </w:r>
      <w:r w:rsidRPr="00DC79F8">
        <w:rPr>
          <w:sz w:val="24"/>
          <w:szCs w:val="24"/>
        </w:rPr>
        <w:t>asmuo greičiau pasieks tikslą sutvarkyti jo veiklai reikalingą susisiekimo infrastruktūrą</w:t>
      </w:r>
      <w:r w:rsidR="00337E76" w:rsidRPr="00DC79F8">
        <w:rPr>
          <w:sz w:val="24"/>
          <w:szCs w:val="24"/>
        </w:rPr>
        <w:t>.</w:t>
      </w:r>
    </w:p>
    <w:p w:rsidR="00E14D23" w:rsidRPr="00DC79F8" w:rsidRDefault="00E14D23" w:rsidP="00C53355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DC79F8"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C53355" w:rsidRPr="00DC79F8">
        <w:rPr>
          <w:b/>
          <w:sz w:val="24"/>
          <w:szCs w:val="24"/>
        </w:rPr>
        <w:t xml:space="preserve"> </w:t>
      </w:r>
      <w:r w:rsidR="00F50203" w:rsidRPr="00DC79F8">
        <w:rPr>
          <w:bCs/>
          <w:sz w:val="24"/>
          <w:szCs w:val="24"/>
        </w:rPr>
        <w:t>Neigiamų pasekmių nėra.</w:t>
      </w:r>
    </w:p>
    <w:p w:rsidR="00E14D23" w:rsidRPr="00DC79F8" w:rsidRDefault="00E14D23" w:rsidP="00E14D23">
      <w:pPr>
        <w:ind w:right="72" w:firstLine="720"/>
        <w:jc w:val="both"/>
        <w:rPr>
          <w:b/>
          <w:sz w:val="24"/>
          <w:szCs w:val="24"/>
        </w:rPr>
      </w:pPr>
      <w:r w:rsidRPr="00DC79F8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  <w:r w:rsidR="00C53355" w:rsidRPr="00DC79F8">
        <w:rPr>
          <w:b/>
          <w:color w:val="000000"/>
          <w:sz w:val="24"/>
          <w:szCs w:val="24"/>
        </w:rPr>
        <w:t xml:space="preserve"> </w:t>
      </w:r>
      <w:r w:rsidR="00F80FAA" w:rsidRPr="00DC79F8">
        <w:rPr>
          <w:color w:val="000000"/>
          <w:sz w:val="24"/>
          <w:szCs w:val="24"/>
        </w:rPr>
        <w:t>Teisės aktų keisti nereikia.</w:t>
      </w:r>
    </w:p>
    <w:p w:rsidR="00E14D23" w:rsidRPr="00DC79F8" w:rsidRDefault="00E14D23" w:rsidP="00C53355">
      <w:pPr>
        <w:ind w:right="72" w:firstLine="720"/>
        <w:jc w:val="both"/>
        <w:rPr>
          <w:sz w:val="24"/>
          <w:szCs w:val="24"/>
        </w:rPr>
      </w:pPr>
      <w:r w:rsidRPr="00DC79F8">
        <w:rPr>
          <w:b/>
          <w:sz w:val="24"/>
          <w:szCs w:val="24"/>
        </w:rPr>
        <w:t>Reikiami paskaičiavimai, išlaidų sąmatos bei finansavimo šaltiniai, reikalingi sprendimui įgyvendinti.</w:t>
      </w:r>
      <w:r w:rsidR="00C53355" w:rsidRPr="00DC79F8">
        <w:rPr>
          <w:b/>
          <w:sz w:val="24"/>
          <w:szCs w:val="24"/>
        </w:rPr>
        <w:t xml:space="preserve"> </w:t>
      </w:r>
      <w:r w:rsidR="00F508E3" w:rsidRPr="00DC79F8">
        <w:rPr>
          <w:sz w:val="24"/>
          <w:szCs w:val="24"/>
        </w:rPr>
        <w:t>Paraišką pateikęs</w:t>
      </w:r>
      <w:r w:rsidR="00E0786A" w:rsidRPr="00E0786A">
        <w:rPr>
          <w:sz w:val="24"/>
          <w:szCs w:val="24"/>
        </w:rPr>
        <w:t xml:space="preserve"> </w:t>
      </w:r>
      <w:r w:rsidR="00E0786A">
        <w:rPr>
          <w:sz w:val="24"/>
          <w:szCs w:val="24"/>
        </w:rPr>
        <w:t>juridinis</w:t>
      </w:r>
      <w:r w:rsidR="00F508E3" w:rsidRPr="00DC79F8">
        <w:rPr>
          <w:sz w:val="24"/>
          <w:szCs w:val="24"/>
        </w:rPr>
        <w:t xml:space="preserve"> asmuo pridėjo preliminarius darbų vertės skaičiavimus</w:t>
      </w:r>
      <w:r w:rsidR="00015FC9" w:rsidRPr="00DC79F8">
        <w:rPr>
          <w:sz w:val="24"/>
          <w:szCs w:val="24"/>
        </w:rPr>
        <w:t>.</w:t>
      </w:r>
      <w:r w:rsidR="00F508E3" w:rsidRPr="00DC79F8">
        <w:rPr>
          <w:sz w:val="24"/>
          <w:szCs w:val="24"/>
        </w:rPr>
        <w:t xml:space="preserve"> 2019 m. gegužės mėn. parengtoje sąmatoje įvertintas</w:t>
      </w:r>
      <w:r w:rsidR="00641594">
        <w:rPr>
          <w:sz w:val="24"/>
          <w:szCs w:val="24"/>
        </w:rPr>
        <w:t xml:space="preserve"> gatvės</w:t>
      </w:r>
      <w:r w:rsidR="00F508E3" w:rsidRPr="00DC79F8">
        <w:rPr>
          <w:sz w:val="24"/>
          <w:szCs w:val="24"/>
        </w:rPr>
        <w:t xml:space="preserve"> paprastasis remontas įrengiant 4 cm storio asfalto dangą, kurio vertė siekia 25,9 tūkst. eurų. Tokia informacija pateikta </w:t>
      </w:r>
      <w:r w:rsidR="00F508E3" w:rsidRPr="00DC79F8">
        <w:rPr>
          <w:bCs/>
          <w:sz w:val="24"/>
          <w:szCs w:val="24"/>
        </w:rPr>
        <w:t>Savivaldybės tarybos Biudžeto, ekonomikos ir investicijų komitetui</w:t>
      </w:r>
      <w:r w:rsidR="00F508E3" w:rsidRPr="00DC79F8">
        <w:rPr>
          <w:bCs/>
          <w:sz w:val="24"/>
          <w:szCs w:val="24"/>
        </w:rPr>
        <w:t xml:space="preserve">. 2020 m. rengiant darbų techninį projektą </w:t>
      </w:r>
      <w:r w:rsidR="000A6260" w:rsidRPr="00DC79F8">
        <w:rPr>
          <w:bCs/>
          <w:sz w:val="24"/>
          <w:szCs w:val="24"/>
        </w:rPr>
        <w:t>reikė</w:t>
      </w:r>
      <w:r w:rsidR="00F508E3" w:rsidRPr="00DC79F8">
        <w:rPr>
          <w:bCs/>
          <w:sz w:val="24"/>
          <w:szCs w:val="24"/>
        </w:rPr>
        <w:t xml:space="preserve">s atsižvelgti į </w:t>
      </w:r>
      <w:r w:rsidR="00DC79F8" w:rsidRPr="00DC79F8">
        <w:rPr>
          <w:bCs/>
          <w:sz w:val="24"/>
          <w:szCs w:val="24"/>
        </w:rPr>
        <w:t xml:space="preserve">pasikeitusią per pastarąjį laikotarpį gatvės dangos būklę, į </w:t>
      </w:r>
      <w:r w:rsidR="00F508E3" w:rsidRPr="00DC79F8">
        <w:rPr>
          <w:bCs/>
          <w:sz w:val="24"/>
          <w:szCs w:val="24"/>
        </w:rPr>
        <w:t>pasikeitusius normatyvinių dokumentų reikalavimus</w:t>
      </w:r>
      <w:r w:rsidR="000A6260" w:rsidRPr="00DC79F8">
        <w:rPr>
          <w:bCs/>
          <w:sz w:val="24"/>
          <w:szCs w:val="24"/>
        </w:rPr>
        <w:t xml:space="preserve"> ir </w:t>
      </w:r>
      <w:r w:rsidR="00E0786A">
        <w:rPr>
          <w:bCs/>
          <w:sz w:val="24"/>
          <w:szCs w:val="24"/>
        </w:rPr>
        <w:t>didėj</w:t>
      </w:r>
      <w:r w:rsidR="000A6260" w:rsidRPr="00DC79F8">
        <w:rPr>
          <w:bCs/>
          <w:sz w:val="24"/>
          <w:szCs w:val="24"/>
        </w:rPr>
        <w:t xml:space="preserve">ančias </w:t>
      </w:r>
      <w:r w:rsidR="00DC79F8" w:rsidRPr="00DC79F8">
        <w:rPr>
          <w:bCs/>
          <w:sz w:val="24"/>
          <w:szCs w:val="24"/>
        </w:rPr>
        <w:t>statybos darbų kainas. Automobilių kelių dangų konstrukcijų projektavimo taisyklėse nurodoma, kad tuo atveju, kai dangos at</w:t>
      </w:r>
      <w:r w:rsidR="00DC79F8" w:rsidRPr="00DC79F8">
        <w:rPr>
          <w:sz w:val="24"/>
          <w:szCs w:val="24"/>
        </w:rPr>
        <w:t xml:space="preserve">naujinimas </w:t>
      </w:r>
      <w:r w:rsidR="00DC79F8" w:rsidRPr="00DC79F8">
        <w:rPr>
          <w:sz w:val="24"/>
          <w:szCs w:val="24"/>
        </w:rPr>
        <w:t xml:space="preserve">vykdomas </w:t>
      </w:r>
      <w:r w:rsidR="00DC79F8" w:rsidRPr="00DC79F8">
        <w:rPr>
          <w:sz w:val="24"/>
          <w:szCs w:val="24"/>
        </w:rPr>
        <w:t>visiškai pakeičiant esamą dangos konstrukciją</w:t>
      </w:r>
      <w:r w:rsidR="00DC79F8" w:rsidRPr="00DC79F8">
        <w:rPr>
          <w:sz w:val="24"/>
          <w:szCs w:val="24"/>
        </w:rPr>
        <w:t>, priklausomai nuo eismo intensyvumo gatvėje minimalus asfalto pagrindo-dangos sluoksnis turi būti 8</w:t>
      </w:r>
      <w:r w:rsidR="00E0786A">
        <w:rPr>
          <w:sz w:val="24"/>
          <w:szCs w:val="24"/>
        </w:rPr>
        <w:t xml:space="preserve"> cm</w:t>
      </w:r>
      <w:r w:rsidR="00641594">
        <w:rPr>
          <w:sz w:val="24"/>
          <w:szCs w:val="24"/>
        </w:rPr>
        <w:t xml:space="preserve"> arba </w:t>
      </w:r>
      <w:r w:rsidR="00DC79F8" w:rsidRPr="00DC79F8">
        <w:rPr>
          <w:sz w:val="24"/>
          <w:szCs w:val="24"/>
        </w:rPr>
        <w:t>10 cm storio.</w:t>
      </w:r>
      <w:r w:rsidR="00DC79F8">
        <w:rPr>
          <w:sz w:val="24"/>
          <w:szCs w:val="24"/>
        </w:rPr>
        <w:t xml:space="preserve"> Tokiu būdu gatvės atnaujinimo kaštai, įskaitant projektavimo, projekto ekspertizės, kelių saugumo audito, statybos darbų techninės priežiūros, kelio kadastrinių matavimų ir teisinės registracijos paslaugas</w:t>
      </w:r>
      <w:r w:rsidR="00641594">
        <w:rPr>
          <w:sz w:val="24"/>
          <w:szCs w:val="24"/>
        </w:rPr>
        <w:t>,</w:t>
      </w:r>
      <w:r w:rsidR="00DC79F8">
        <w:rPr>
          <w:sz w:val="24"/>
          <w:szCs w:val="24"/>
        </w:rPr>
        <w:t xml:space="preserve"> gali siekti 80,0 tūkst. eurų. Kad</w:t>
      </w:r>
      <w:bookmarkStart w:id="0" w:name="_GoBack"/>
      <w:bookmarkEnd w:id="0"/>
      <w:r w:rsidR="00DC79F8">
        <w:rPr>
          <w:sz w:val="24"/>
          <w:szCs w:val="24"/>
        </w:rPr>
        <w:t xml:space="preserve">angi 50 proc. šių išlaidų įsipareigoja apmokėti paraišką pateikusi įmonė, </w:t>
      </w:r>
      <w:r w:rsidR="00641594">
        <w:rPr>
          <w:sz w:val="24"/>
          <w:szCs w:val="24"/>
        </w:rPr>
        <w:t>likusią sumą Savivaldybė finansuotų jai skiriamomis Kelių priežiūros ir plėtros programos lėšomis.</w:t>
      </w:r>
      <w:r w:rsidR="00DC79F8">
        <w:rPr>
          <w:sz w:val="24"/>
          <w:szCs w:val="24"/>
        </w:rPr>
        <w:t xml:space="preserve">  </w:t>
      </w:r>
    </w:p>
    <w:p w:rsidR="007A0A89" w:rsidRDefault="00E14D23" w:rsidP="00641594">
      <w:pPr>
        <w:ind w:firstLine="709"/>
        <w:jc w:val="both"/>
        <w:rPr>
          <w:sz w:val="24"/>
          <w:szCs w:val="24"/>
        </w:rPr>
      </w:pPr>
      <w:r w:rsidRPr="00F508E3">
        <w:rPr>
          <w:b/>
          <w:sz w:val="24"/>
          <w:szCs w:val="24"/>
        </w:rPr>
        <w:t>Sprendimo projektui antikorupcini</w:t>
      </w:r>
      <w:r w:rsidR="00F508E3" w:rsidRPr="00F508E3">
        <w:rPr>
          <w:b/>
          <w:sz w:val="24"/>
          <w:szCs w:val="24"/>
        </w:rPr>
        <w:t>o</w:t>
      </w:r>
      <w:r w:rsidRPr="00F508E3">
        <w:rPr>
          <w:b/>
          <w:sz w:val="24"/>
          <w:szCs w:val="24"/>
        </w:rPr>
        <w:t xml:space="preserve"> vertinim</w:t>
      </w:r>
      <w:r w:rsidR="00F508E3" w:rsidRPr="00F508E3">
        <w:rPr>
          <w:b/>
          <w:sz w:val="24"/>
          <w:szCs w:val="24"/>
        </w:rPr>
        <w:t>o</w:t>
      </w:r>
      <w:r w:rsidRPr="00F508E3">
        <w:rPr>
          <w:b/>
          <w:sz w:val="24"/>
          <w:szCs w:val="24"/>
        </w:rPr>
        <w:t xml:space="preserve"> </w:t>
      </w:r>
      <w:r w:rsidR="00F508E3" w:rsidRPr="00F508E3">
        <w:rPr>
          <w:b/>
          <w:sz w:val="24"/>
          <w:szCs w:val="24"/>
        </w:rPr>
        <w:t>nereikia</w:t>
      </w:r>
      <w:r w:rsidRPr="00F508E3">
        <w:rPr>
          <w:b/>
          <w:sz w:val="24"/>
          <w:szCs w:val="24"/>
        </w:rPr>
        <w:t>.</w:t>
      </w:r>
    </w:p>
    <w:p w:rsidR="00E0786A" w:rsidRDefault="00E0786A" w:rsidP="00E14D23">
      <w:pPr>
        <w:rPr>
          <w:sz w:val="24"/>
          <w:szCs w:val="24"/>
        </w:rPr>
      </w:pPr>
    </w:p>
    <w:p w:rsidR="00124740" w:rsidRDefault="003351AD" w:rsidP="00E14D23">
      <w:r>
        <w:rPr>
          <w:sz w:val="24"/>
          <w:szCs w:val="24"/>
        </w:rPr>
        <w:t>Vedėjas</w:t>
      </w:r>
      <w:r w:rsidR="007C4D16">
        <w:rPr>
          <w:sz w:val="24"/>
          <w:szCs w:val="24"/>
        </w:rPr>
        <w:tab/>
      </w:r>
      <w:r w:rsidR="007C4D16">
        <w:rPr>
          <w:sz w:val="24"/>
          <w:szCs w:val="24"/>
        </w:rPr>
        <w:tab/>
      </w:r>
      <w:r w:rsidR="007C4D16">
        <w:rPr>
          <w:sz w:val="24"/>
          <w:szCs w:val="24"/>
        </w:rPr>
        <w:tab/>
      </w:r>
      <w:r w:rsidR="007C4D16">
        <w:rPr>
          <w:sz w:val="24"/>
          <w:szCs w:val="24"/>
        </w:rPr>
        <w:tab/>
      </w:r>
      <w:r w:rsidR="00432C6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    </w:t>
      </w:r>
      <w:r w:rsidR="00432C64">
        <w:rPr>
          <w:sz w:val="24"/>
          <w:szCs w:val="24"/>
        </w:rPr>
        <w:t xml:space="preserve">  R</w:t>
      </w:r>
      <w:r>
        <w:rPr>
          <w:sz w:val="24"/>
          <w:szCs w:val="24"/>
        </w:rPr>
        <w:t>imas</w:t>
      </w:r>
      <w:r w:rsidR="00432C64">
        <w:rPr>
          <w:sz w:val="24"/>
          <w:szCs w:val="24"/>
        </w:rPr>
        <w:t xml:space="preserve"> </w:t>
      </w:r>
      <w:r>
        <w:rPr>
          <w:sz w:val="24"/>
          <w:szCs w:val="24"/>
        </w:rPr>
        <w:t>Samkus</w:t>
      </w:r>
    </w:p>
    <w:sectPr w:rsidR="00124740" w:rsidSect="005D061A">
      <w:headerReference w:type="default" r:id="rId9"/>
      <w:footerReference w:type="default" r:id="rId10"/>
      <w:pgSz w:w="11906" w:h="16838"/>
      <w:pgMar w:top="1134" w:right="567" w:bottom="1134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B14" w:rsidRDefault="00615B14" w:rsidP="00145901">
      <w:r>
        <w:separator/>
      </w:r>
    </w:p>
  </w:endnote>
  <w:endnote w:type="continuationSeparator" w:id="0">
    <w:p w:rsidR="00615B14" w:rsidRDefault="00615B14" w:rsidP="0014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-BoldMT">
    <w:altName w:val="Times New Roman"/>
    <w:charset w:val="00"/>
    <w:family w:val="auto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901" w:rsidRDefault="00A51B22" w:rsidP="00A51B22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B14" w:rsidRDefault="00615B14" w:rsidP="00145901">
      <w:r>
        <w:separator/>
      </w:r>
    </w:p>
  </w:footnote>
  <w:footnote w:type="continuationSeparator" w:id="0">
    <w:p w:rsidR="00615B14" w:rsidRDefault="00615B14" w:rsidP="0014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901" w:rsidRPr="00145901" w:rsidRDefault="00145901" w:rsidP="00085A17">
    <w:pPr>
      <w:pStyle w:val="Pagrindinistekstas"/>
      <w:spacing w:after="0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B3BDD"/>
    <w:multiLevelType w:val="hybridMultilevel"/>
    <w:tmpl w:val="8774EDDA"/>
    <w:lvl w:ilvl="0" w:tplc="B984A94E">
      <w:start w:val="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NewRomanPS-BoldMT" w:eastAsia="Times New Roman" w:hAnsi="TimesNewRomanPS-BoldMT" w:cs="TimesNewRomanPS-BoldM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A0715D"/>
    <w:multiLevelType w:val="hybridMultilevel"/>
    <w:tmpl w:val="94FAA986"/>
    <w:lvl w:ilvl="0" w:tplc="11DC62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23"/>
    <w:rsid w:val="00015F82"/>
    <w:rsid w:val="00015FC9"/>
    <w:rsid w:val="000264DF"/>
    <w:rsid w:val="00027ADB"/>
    <w:rsid w:val="00043EFA"/>
    <w:rsid w:val="00071F25"/>
    <w:rsid w:val="000841E5"/>
    <w:rsid w:val="00085A17"/>
    <w:rsid w:val="00086873"/>
    <w:rsid w:val="000A6260"/>
    <w:rsid w:val="000B6A4C"/>
    <w:rsid w:val="000E178F"/>
    <w:rsid w:val="000E24B3"/>
    <w:rsid w:val="000F4380"/>
    <w:rsid w:val="00124740"/>
    <w:rsid w:val="00143B22"/>
    <w:rsid w:val="00145901"/>
    <w:rsid w:val="001461C6"/>
    <w:rsid w:val="00167506"/>
    <w:rsid w:val="0017243A"/>
    <w:rsid w:val="0018515D"/>
    <w:rsid w:val="001E1E97"/>
    <w:rsid w:val="00233362"/>
    <w:rsid w:val="002341F0"/>
    <w:rsid w:val="00286EF5"/>
    <w:rsid w:val="002A226D"/>
    <w:rsid w:val="002A30D4"/>
    <w:rsid w:val="002A3B54"/>
    <w:rsid w:val="002D6618"/>
    <w:rsid w:val="002F7DE2"/>
    <w:rsid w:val="003138E6"/>
    <w:rsid w:val="0032496B"/>
    <w:rsid w:val="003351AD"/>
    <w:rsid w:val="00337E76"/>
    <w:rsid w:val="003409BD"/>
    <w:rsid w:val="0034124F"/>
    <w:rsid w:val="00345631"/>
    <w:rsid w:val="00345908"/>
    <w:rsid w:val="00361D97"/>
    <w:rsid w:val="00371202"/>
    <w:rsid w:val="003720C5"/>
    <w:rsid w:val="00372A4B"/>
    <w:rsid w:val="003760E9"/>
    <w:rsid w:val="00390C2C"/>
    <w:rsid w:val="003C09E3"/>
    <w:rsid w:val="003D10CA"/>
    <w:rsid w:val="003D29F4"/>
    <w:rsid w:val="003E13DD"/>
    <w:rsid w:val="003F7D2D"/>
    <w:rsid w:val="00402575"/>
    <w:rsid w:val="00414B2C"/>
    <w:rsid w:val="00432C64"/>
    <w:rsid w:val="00446545"/>
    <w:rsid w:val="00454B22"/>
    <w:rsid w:val="0047592A"/>
    <w:rsid w:val="00485482"/>
    <w:rsid w:val="00496A3C"/>
    <w:rsid w:val="004A12AB"/>
    <w:rsid w:val="004A4FD2"/>
    <w:rsid w:val="004C1952"/>
    <w:rsid w:val="004D1CB6"/>
    <w:rsid w:val="004D4E21"/>
    <w:rsid w:val="00507F4E"/>
    <w:rsid w:val="00520805"/>
    <w:rsid w:val="005521E4"/>
    <w:rsid w:val="005743C0"/>
    <w:rsid w:val="00575ED8"/>
    <w:rsid w:val="0057671B"/>
    <w:rsid w:val="00587EFC"/>
    <w:rsid w:val="005A0E9D"/>
    <w:rsid w:val="005B5E02"/>
    <w:rsid w:val="005C2B7F"/>
    <w:rsid w:val="005D061A"/>
    <w:rsid w:val="005E4AEF"/>
    <w:rsid w:val="005F4BCF"/>
    <w:rsid w:val="005F7D8C"/>
    <w:rsid w:val="006066C4"/>
    <w:rsid w:val="00615B14"/>
    <w:rsid w:val="006219E3"/>
    <w:rsid w:val="00632C20"/>
    <w:rsid w:val="00641594"/>
    <w:rsid w:val="00660DBE"/>
    <w:rsid w:val="00665F8C"/>
    <w:rsid w:val="00675BE6"/>
    <w:rsid w:val="006E3443"/>
    <w:rsid w:val="007030BC"/>
    <w:rsid w:val="007317BB"/>
    <w:rsid w:val="007745FB"/>
    <w:rsid w:val="0078575E"/>
    <w:rsid w:val="007A0A89"/>
    <w:rsid w:val="007A16FA"/>
    <w:rsid w:val="007B0912"/>
    <w:rsid w:val="007B58E3"/>
    <w:rsid w:val="007C4D16"/>
    <w:rsid w:val="007E22B1"/>
    <w:rsid w:val="007E7876"/>
    <w:rsid w:val="007F0C8F"/>
    <w:rsid w:val="007F198F"/>
    <w:rsid w:val="007F7F0E"/>
    <w:rsid w:val="00826CDF"/>
    <w:rsid w:val="00837E9E"/>
    <w:rsid w:val="00845D11"/>
    <w:rsid w:val="0084693B"/>
    <w:rsid w:val="00861719"/>
    <w:rsid w:val="00881617"/>
    <w:rsid w:val="00887B39"/>
    <w:rsid w:val="008C0E31"/>
    <w:rsid w:val="008C5A65"/>
    <w:rsid w:val="008E5F12"/>
    <w:rsid w:val="00926EDA"/>
    <w:rsid w:val="00936806"/>
    <w:rsid w:val="00955F41"/>
    <w:rsid w:val="00962D04"/>
    <w:rsid w:val="00971027"/>
    <w:rsid w:val="00994DF8"/>
    <w:rsid w:val="009F553D"/>
    <w:rsid w:val="00A05980"/>
    <w:rsid w:val="00A132D4"/>
    <w:rsid w:val="00A244AE"/>
    <w:rsid w:val="00A400F3"/>
    <w:rsid w:val="00A51B22"/>
    <w:rsid w:val="00A611D8"/>
    <w:rsid w:val="00A62173"/>
    <w:rsid w:val="00A866A0"/>
    <w:rsid w:val="00A90E9F"/>
    <w:rsid w:val="00A93E3E"/>
    <w:rsid w:val="00AB12BF"/>
    <w:rsid w:val="00AF3C44"/>
    <w:rsid w:val="00B1009E"/>
    <w:rsid w:val="00B239D1"/>
    <w:rsid w:val="00B24164"/>
    <w:rsid w:val="00B30950"/>
    <w:rsid w:val="00B34402"/>
    <w:rsid w:val="00B451F2"/>
    <w:rsid w:val="00B50608"/>
    <w:rsid w:val="00B52318"/>
    <w:rsid w:val="00B56EF4"/>
    <w:rsid w:val="00BF6445"/>
    <w:rsid w:val="00BF6529"/>
    <w:rsid w:val="00C1717C"/>
    <w:rsid w:val="00C17324"/>
    <w:rsid w:val="00C24E71"/>
    <w:rsid w:val="00C53355"/>
    <w:rsid w:val="00C64B70"/>
    <w:rsid w:val="00CB66FD"/>
    <w:rsid w:val="00CB7068"/>
    <w:rsid w:val="00CD4219"/>
    <w:rsid w:val="00CF7033"/>
    <w:rsid w:val="00D1059F"/>
    <w:rsid w:val="00D11681"/>
    <w:rsid w:val="00D11D48"/>
    <w:rsid w:val="00D2544C"/>
    <w:rsid w:val="00D52863"/>
    <w:rsid w:val="00D67C74"/>
    <w:rsid w:val="00D8369E"/>
    <w:rsid w:val="00DB5A9A"/>
    <w:rsid w:val="00DC79F8"/>
    <w:rsid w:val="00DE207F"/>
    <w:rsid w:val="00E0786A"/>
    <w:rsid w:val="00E13231"/>
    <w:rsid w:val="00E14D23"/>
    <w:rsid w:val="00E51AF7"/>
    <w:rsid w:val="00E63FF4"/>
    <w:rsid w:val="00E732ED"/>
    <w:rsid w:val="00E8191E"/>
    <w:rsid w:val="00E95478"/>
    <w:rsid w:val="00E96CE4"/>
    <w:rsid w:val="00EA506D"/>
    <w:rsid w:val="00EB7FC7"/>
    <w:rsid w:val="00ED6C75"/>
    <w:rsid w:val="00EE6958"/>
    <w:rsid w:val="00F50203"/>
    <w:rsid w:val="00F508E3"/>
    <w:rsid w:val="00F52C60"/>
    <w:rsid w:val="00F80FAA"/>
    <w:rsid w:val="00F832DA"/>
    <w:rsid w:val="00FC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EB5093"/>
  <w15:docId w15:val="{007A215F-BC93-4722-9EE9-114126D0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14D23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basedOn w:val="prastasis"/>
    <w:rsid w:val="00E14D23"/>
    <w:rPr>
      <w:color w:val="000000"/>
      <w:sz w:val="24"/>
      <w:szCs w:val="24"/>
      <w:lang w:eastAsia="lt-LT"/>
    </w:rPr>
  </w:style>
  <w:style w:type="character" w:customStyle="1" w:styleId="Raminta">
    <w:name w:val="Raminta"/>
    <w:semiHidden/>
    <w:rsid w:val="00361D97"/>
    <w:rPr>
      <w:color w:val="000000"/>
    </w:rPr>
  </w:style>
  <w:style w:type="paragraph" w:styleId="Debesliotekstas">
    <w:name w:val="Balloon Text"/>
    <w:basedOn w:val="prastasis"/>
    <w:link w:val="DebesliotekstasDiagrama"/>
    <w:rsid w:val="004A12AB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A12AB"/>
    <w:rPr>
      <w:rFonts w:ascii="Segoe UI" w:hAnsi="Segoe UI" w:cs="Segoe UI"/>
      <w:sz w:val="18"/>
      <w:szCs w:val="18"/>
      <w:lang w:eastAsia="ru-RU"/>
    </w:rPr>
  </w:style>
  <w:style w:type="paragraph" w:styleId="Pagrindinistekstas">
    <w:name w:val="Body Text"/>
    <w:basedOn w:val="prastasis"/>
    <w:link w:val="PagrindinistekstasDiagrama"/>
    <w:rsid w:val="00145901"/>
    <w:pPr>
      <w:suppressAutoHyphens/>
      <w:spacing w:after="120"/>
    </w:pPr>
    <w:rPr>
      <w:kern w:val="1"/>
      <w:lang w:eastAsia="ar-SA"/>
    </w:rPr>
  </w:style>
  <w:style w:type="character" w:customStyle="1" w:styleId="PagrindinistekstasDiagrama">
    <w:name w:val="Pagrindinis tekstas Diagrama"/>
    <w:link w:val="Pagrindinistekstas"/>
    <w:rsid w:val="00145901"/>
    <w:rPr>
      <w:kern w:val="1"/>
      <w:lang w:eastAsia="ar-SA"/>
    </w:rPr>
  </w:style>
  <w:style w:type="paragraph" w:styleId="Antrats">
    <w:name w:val="header"/>
    <w:basedOn w:val="prastasis"/>
    <w:link w:val="AntratsDiagrama"/>
    <w:rsid w:val="00145901"/>
    <w:pPr>
      <w:suppressLineNumbers/>
      <w:tabs>
        <w:tab w:val="center" w:pos="4153"/>
        <w:tab w:val="right" w:pos="8306"/>
      </w:tabs>
      <w:suppressAutoHyphens/>
    </w:pPr>
    <w:rPr>
      <w:kern w:val="1"/>
      <w:lang w:eastAsia="ar-SA"/>
    </w:rPr>
  </w:style>
  <w:style w:type="character" w:customStyle="1" w:styleId="AntratsDiagrama">
    <w:name w:val="Antraštės Diagrama"/>
    <w:link w:val="Antrats"/>
    <w:rsid w:val="00145901"/>
    <w:rPr>
      <w:kern w:val="1"/>
      <w:lang w:eastAsia="ar-SA"/>
    </w:rPr>
  </w:style>
  <w:style w:type="paragraph" w:customStyle="1" w:styleId="Betarp1">
    <w:name w:val="Be tarpų1"/>
    <w:rsid w:val="00145901"/>
    <w:pPr>
      <w:suppressAutoHyphens/>
    </w:pPr>
    <w:rPr>
      <w:rFonts w:eastAsia="Arial"/>
      <w:kern w:val="1"/>
      <w:lang w:eastAsia="ar-SA"/>
    </w:rPr>
  </w:style>
  <w:style w:type="paragraph" w:styleId="Porat">
    <w:name w:val="footer"/>
    <w:basedOn w:val="prastasis"/>
    <w:link w:val="PoratDiagrama"/>
    <w:rsid w:val="001459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4590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21078-616B-478C-B995-CC7FEE27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2866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Panevėžio raj. sav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Rimas Samkus</cp:lastModifiedBy>
  <cp:revision>7</cp:revision>
  <cp:lastPrinted>2019-11-19T11:53:00Z</cp:lastPrinted>
  <dcterms:created xsi:type="dcterms:W3CDTF">2019-11-18T13:52:00Z</dcterms:created>
  <dcterms:modified xsi:type="dcterms:W3CDTF">2019-11-19T14:22:00Z</dcterms:modified>
</cp:coreProperties>
</file>