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B24" w:rsidRDefault="00E47B24" w:rsidP="00E47B24">
      <w:pPr>
        <w:jc w:val="center"/>
        <w:rPr>
          <w:b/>
        </w:rPr>
      </w:pPr>
      <w:r>
        <w:rPr>
          <w:b/>
        </w:rPr>
        <w:t xml:space="preserve">DĖL MITYBOS, MEDIKAMENTŲ, PATALYNĖS IR APRANGOS IŠLAIDŲ FINANSINIŲ NORMATYVŲ </w:t>
      </w:r>
      <w:r w:rsidR="00D901D0">
        <w:rPr>
          <w:b/>
        </w:rPr>
        <w:t>20</w:t>
      </w:r>
      <w:r w:rsidR="00AF5A0A">
        <w:rPr>
          <w:b/>
        </w:rPr>
        <w:t>20</w:t>
      </w:r>
      <w:r w:rsidR="00D901D0">
        <w:rPr>
          <w:b/>
        </w:rPr>
        <w:t xml:space="preserve"> METAIS </w:t>
      </w:r>
      <w:r>
        <w:rPr>
          <w:b/>
        </w:rPr>
        <w:t xml:space="preserve">PANEVĖŽIO RAJONO VAIKŲ GLOBOS NAMUOSE PATVIRTINIMO 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813BB8">
      <w:pPr>
        <w:jc w:val="center"/>
        <w:rPr>
          <w:lang w:val="en-GB"/>
        </w:rPr>
      </w:pPr>
      <w:r>
        <w:rPr>
          <w:lang w:val="en-GB"/>
        </w:rPr>
        <w:t>201</w:t>
      </w:r>
      <w:r w:rsidR="00673D39">
        <w:rPr>
          <w:lang w:val="en-GB"/>
        </w:rPr>
        <w:t>9</w:t>
      </w:r>
      <w:r w:rsidR="00813BB8">
        <w:rPr>
          <w:lang w:val="en-GB"/>
        </w:rPr>
        <w:t xml:space="preserve"> </w:t>
      </w:r>
      <w:r w:rsidR="00C11CA4">
        <w:rPr>
          <w:lang w:val="en-GB"/>
        </w:rPr>
        <w:t>m. gruodžio</w:t>
      </w:r>
      <w:r w:rsidR="00813BB8">
        <w:rPr>
          <w:lang w:val="en-GB"/>
        </w:rPr>
        <w:t xml:space="preserve"> </w:t>
      </w:r>
      <w:r w:rsidR="00673D39">
        <w:rPr>
          <w:lang w:val="en-GB"/>
        </w:rPr>
        <w:t>6</w:t>
      </w:r>
      <w:r w:rsidR="00494335">
        <w:rPr>
          <w:lang w:val="en-GB"/>
        </w:rPr>
        <w:t xml:space="preserve"> </w:t>
      </w:r>
      <w:r>
        <w:rPr>
          <w:lang w:val="en-GB"/>
        </w:rPr>
        <w:t>d. Nr.</w:t>
      </w:r>
      <w:r w:rsidR="00813BB8">
        <w:rPr>
          <w:lang w:val="en-GB"/>
        </w:rPr>
        <w:t xml:space="preserve"> </w:t>
      </w:r>
      <w:r>
        <w:rPr>
          <w:lang w:val="en-GB"/>
        </w:rPr>
        <w:t>T-</w:t>
      </w:r>
    </w:p>
    <w:p w:rsidR="00E47B24" w:rsidRPr="00D12BDA" w:rsidRDefault="00E47B24" w:rsidP="00E47B24">
      <w:pPr>
        <w:jc w:val="center"/>
      </w:pPr>
      <w:r>
        <w:rPr>
          <w:lang w:val="en-GB"/>
        </w:rPr>
        <w:t>Panevėžys</w:t>
      </w:r>
    </w:p>
    <w:p w:rsidR="00E47B24" w:rsidRDefault="00E47B24" w:rsidP="0006128E"/>
    <w:p w:rsidR="00E47B24" w:rsidRDefault="00E47B24" w:rsidP="00E47B24">
      <w:pPr>
        <w:ind w:firstLine="720"/>
        <w:jc w:val="both"/>
      </w:pPr>
      <w:r>
        <w:t>Vadovaudamasi Lietuvos Respublik</w:t>
      </w:r>
      <w:r w:rsidR="00D31777">
        <w:t>os vietos savivaldos įstatymo 16</w:t>
      </w:r>
      <w:r>
        <w:t xml:space="preserve"> straipsnio </w:t>
      </w:r>
      <w:r w:rsidR="000D1F34">
        <w:t>2</w:t>
      </w:r>
      <w:r>
        <w:t xml:space="preserve"> dali</w:t>
      </w:r>
      <w:r w:rsidR="000D1F34">
        <w:t xml:space="preserve">es </w:t>
      </w:r>
      <w:r w:rsidR="000D1F34">
        <w:br/>
        <w:t>37 punktu</w:t>
      </w:r>
      <w:r>
        <w:t xml:space="preserve">, </w:t>
      </w:r>
      <w:r w:rsidR="00D54B95">
        <w:t>Lietuvos Respublikos s</w:t>
      </w:r>
      <w:r w:rsidR="00D31777">
        <w:t xml:space="preserve">ocialinių paslaugų įstatymo 13 straipsnio 2 dalies 3 punktu, </w:t>
      </w:r>
      <w:r>
        <w:t>Socialinių paslaugų finansavimo ir lėšų apskaičiavimo metodikos, patvirtintos</w:t>
      </w:r>
      <w:r w:rsidR="00813BB8">
        <w:t xml:space="preserve"> </w:t>
      </w:r>
      <w:r>
        <w:t>Lietuvos Respublikos Vyriausybės 2006</w:t>
      </w:r>
      <w:r w:rsidR="00C11CA4">
        <w:t xml:space="preserve"> m. spalio </w:t>
      </w:r>
      <w:r>
        <w:t xml:space="preserve">10 </w:t>
      </w:r>
      <w:r w:rsidR="00C11CA4">
        <w:t xml:space="preserve">d. </w:t>
      </w:r>
      <w:r>
        <w:t xml:space="preserve">nutarimu Nr. 978 </w:t>
      </w:r>
      <w:r w:rsidR="002701D1">
        <w:t>„Dėl S</w:t>
      </w:r>
      <w:r w:rsidR="00C11CA4">
        <w:t>ocialinių paslaugų finansavimo ir lėšų apskaičiavimo metodikos patvirtinimo“</w:t>
      </w:r>
      <w:r w:rsidR="00A47DB9">
        <w:t>,</w:t>
      </w:r>
      <w:r>
        <w:t xml:space="preserve"> 28 punktu, Lietuvos higienos norma HN 124:20</w:t>
      </w:r>
      <w:r w:rsidR="00C11CA4">
        <w:t>14</w:t>
      </w:r>
      <w:r>
        <w:t xml:space="preserve"> „Vaikų socialinės globos įstaigos. Bendrieji sveikatos saugos reikalavimai“, patvirtinta Lietuvos Respublikos sveikatos apsaugos ministro 20</w:t>
      </w:r>
      <w:r w:rsidR="00C11CA4">
        <w:t xml:space="preserve">14 m. rugsėjo </w:t>
      </w:r>
      <w:r>
        <w:t>1</w:t>
      </w:r>
      <w:r w:rsidR="00C11CA4">
        <w:t xml:space="preserve"> d.</w:t>
      </w:r>
      <w:r>
        <w:t xml:space="preserve"> įsakymu </w:t>
      </w:r>
      <w:r w:rsidR="00C11CA4">
        <w:t>Nr. V-9</w:t>
      </w:r>
      <w:r>
        <w:t xml:space="preserve">14 </w:t>
      </w:r>
      <w:r w:rsidR="00C11CA4">
        <w:t>„Dėl Lietuvos higienos normos HN 124:2014 „Vaikų socialinės globos įstaigos</w:t>
      </w:r>
      <w:r w:rsidR="00D31777">
        <w:t>.</w:t>
      </w:r>
      <w:r w:rsidR="00C11CA4">
        <w:t xml:space="preserve"> Bendrieji sveikatos saugos reikalavimai</w:t>
      </w:r>
      <w:r w:rsidR="00802628">
        <w:t>“ patvirtinimo“</w:t>
      </w:r>
      <w:r>
        <w:t>, Rekomenduojamomis maisto produktų paros normomis socialinę globą gaunantiems asmenims, patvirtintomis Lietuvos Respublikos sveikatos apsaugos ministro 2007</w:t>
      </w:r>
      <w:r w:rsidR="00802628">
        <w:t xml:space="preserve"> m. gruodžio </w:t>
      </w:r>
      <w:r>
        <w:t xml:space="preserve">29 </w:t>
      </w:r>
      <w:r w:rsidR="00802628">
        <w:t xml:space="preserve">d. </w:t>
      </w:r>
      <w:r>
        <w:t xml:space="preserve">įsakymu Nr. V-1090 </w:t>
      </w:r>
      <w:r w:rsidR="00802628">
        <w:t xml:space="preserve">„Dėl </w:t>
      </w:r>
      <w:r w:rsidR="0086420F">
        <w:t>R</w:t>
      </w:r>
      <w:r w:rsidR="00802628">
        <w:t>ekomenduojamų maisto produktų paros normų socialinę globą gaunantiems asmenims patvirtinimo“</w:t>
      </w:r>
      <w:r>
        <w:t xml:space="preserve">, ir atsižvelgdama į Panevėžio rajono vaikų globos namų </w:t>
      </w:r>
      <w:r w:rsidRPr="009C55AB">
        <w:rPr>
          <w:color w:val="000000"/>
        </w:rPr>
        <w:t>201</w:t>
      </w:r>
      <w:r w:rsidR="00AF5A0A">
        <w:rPr>
          <w:color w:val="000000"/>
        </w:rPr>
        <w:t>9</w:t>
      </w:r>
      <w:r w:rsidR="00494335">
        <w:rPr>
          <w:color w:val="000000"/>
        </w:rPr>
        <w:t>-1</w:t>
      </w:r>
      <w:r w:rsidR="00AF5A0A">
        <w:rPr>
          <w:color w:val="000000"/>
        </w:rPr>
        <w:t>1</w:t>
      </w:r>
      <w:r w:rsidR="00494335">
        <w:rPr>
          <w:color w:val="000000"/>
        </w:rPr>
        <w:t>-</w:t>
      </w:r>
      <w:r w:rsidR="00AF5A0A">
        <w:rPr>
          <w:color w:val="000000"/>
        </w:rPr>
        <w:t>12</w:t>
      </w:r>
      <w:r w:rsidR="0007381B">
        <w:rPr>
          <w:color w:val="000000"/>
        </w:rPr>
        <w:t xml:space="preserve"> </w:t>
      </w:r>
      <w:r w:rsidR="00E25255">
        <w:rPr>
          <w:color w:val="000000"/>
        </w:rPr>
        <w:t>rašt</w:t>
      </w:r>
      <w:r w:rsidR="00802628">
        <w:rPr>
          <w:color w:val="000000"/>
        </w:rPr>
        <w:t>ą</w:t>
      </w:r>
      <w:r w:rsidRPr="009C55AB">
        <w:rPr>
          <w:color w:val="000000"/>
        </w:rPr>
        <w:t xml:space="preserve"> N</w:t>
      </w:r>
      <w:r w:rsidRPr="00A40D23">
        <w:t xml:space="preserve">r. </w:t>
      </w:r>
      <w:r w:rsidR="00AF5A0A">
        <w:t>S1</w:t>
      </w:r>
      <w:r w:rsidRPr="00A40D23">
        <w:t>-</w:t>
      </w:r>
      <w:r w:rsidR="00AF5A0A">
        <w:t>183</w:t>
      </w:r>
      <w:r w:rsidR="00494335">
        <w:t xml:space="preserve"> „Dėl mitybos, medikamentų, patalynės ir aprangos finansinių normatyvų Panevėžio rajono vaikų globos namuose patvirtinimo“</w:t>
      </w:r>
      <w:r w:rsidRPr="009C55AB">
        <w:rPr>
          <w:color w:val="000000"/>
        </w:rPr>
        <w:t>,</w:t>
      </w:r>
      <w:r w:rsidR="00C75182">
        <w:rPr>
          <w:color w:val="000000"/>
        </w:rPr>
        <w:t xml:space="preserve"> </w:t>
      </w:r>
      <w:r w:rsidR="00802628">
        <w:t>S</w:t>
      </w:r>
      <w:r w:rsidR="0006128E">
        <w:t xml:space="preserve">avivaldybės taryba </w:t>
      </w:r>
      <w:r>
        <w:t>n u s p r e n d ž i a:</w:t>
      </w:r>
    </w:p>
    <w:p w:rsidR="00E47B24" w:rsidRDefault="00E47B24" w:rsidP="00802628">
      <w:pPr>
        <w:widowControl/>
        <w:suppressAutoHyphens w:val="0"/>
        <w:ind w:firstLine="720"/>
        <w:jc w:val="both"/>
      </w:pPr>
      <w:r>
        <w:t>Patvirtinti mitybos, medikamentų, patalynės ir aprangos išlaidų finansinius</w:t>
      </w:r>
      <w:r w:rsidR="00802628">
        <w:t xml:space="preserve"> normatyvus </w:t>
      </w:r>
      <w:r w:rsidR="004D069E">
        <w:br/>
      </w:r>
      <w:r w:rsidR="00D901D0">
        <w:t>20</w:t>
      </w:r>
      <w:r w:rsidR="00AF5A0A">
        <w:t>20</w:t>
      </w:r>
      <w:r w:rsidR="00D901D0">
        <w:t xml:space="preserve"> metais </w:t>
      </w:r>
      <w:r>
        <w:t xml:space="preserve">Panevėžio rajono </w:t>
      </w:r>
      <w:r w:rsidRPr="000B6298">
        <w:t>vaikų globos namuose</w:t>
      </w:r>
      <w:r>
        <w:t>:</w:t>
      </w:r>
    </w:p>
    <w:p w:rsidR="00E47B24" w:rsidRDefault="006E690A" w:rsidP="006E690A">
      <w:pPr>
        <w:widowControl/>
        <w:suppressAutoHyphens w:val="0"/>
        <w:ind w:left="720"/>
        <w:jc w:val="both"/>
      </w:pPr>
      <w:r>
        <w:t>1.</w:t>
      </w:r>
      <w:r w:rsidR="004D069E">
        <w:t xml:space="preserve"> </w:t>
      </w:r>
      <w:r w:rsidR="0006128E">
        <w:t>M</w:t>
      </w:r>
      <w:r w:rsidR="00E47B24">
        <w:t>itybos (vienam asmeniui per parą):</w:t>
      </w:r>
    </w:p>
    <w:p w:rsidR="00E47B24" w:rsidRDefault="00AF5A0A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4–6 metų vaikams </w:t>
      </w:r>
      <w:r w:rsidR="00802628">
        <w:t>2</w:t>
      </w:r>
      <w:r w:rsidR="00E47B24">
        <w:t>,</w:t>
      </w:r>
      <w:r w:rsidR="00802628">
        <w:t>6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06128E">
        <w:t>7–14</w:t>
      </w:r>
      <w:r w:rsidR="00E47B24">
        <w:t xml:space="preserve"> metų vaikams </w:t>
      </w:r>
      <w:r w:rsidR="00802628">
        <w:t>3</w:t>
      </w:r>
      <w:r w:rsidR="00E47B24">
        <w:t>,</w:t>
      </w:r>
      <w:r w:rsidR="00802628">
        <w:t>1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15–18 metų vaikams </w:t>
      </w:r>
      <w:r w:rsidR="00802628">
        <w:t>3,10 Eur</w:t>
      </w:r>
      <w:r w:rsidR="00E47B24">
        <w:t>;</w:t>
      </w:r>
    </w:p>
    <w:p w:rsidR="00E47B24" w:rsidRDefault="0006128E" w:rsidP="00E47B24">
      <w:pPr>
        <w:jc w:val="both"/>
      </w:pPr>
      <w:r>
        <w:tab/>
        <w:t>1.</w:t>
      </w:r>
      <w:r w:rsidR="00AF5A0A">
        <w:t>4</w:t>
      </w:r>
      <w:r w:rsidR="006E690A">
        <w:t>.</w:t>
      </w:r>
      <w:r w:rsidR="00E25255">
        <w:t xml:space="preserve"> </w:t>
      </w:r>
      <w:r w:rsidR="00D901D0">
        <w:t>s</w:t>
      </w:r>
      <w:r w:rsidR="00E47B24">
        <w:t>ekmadieniais ir švenčių dienomis didinama 0,</w:t>
      </w:r>
      <w:r w:rsidR="00802628">
        <w:t>23</w:t>
      </w:r>
      <w:r w:rsidR="00DB2E08">
        <w:t xml:space="preserve"> </w:t>
      </w:r>
      <w:r w:rsidR="00802628">
        <w:t>Eur</w:t>
      </w:r>
      <w:r w:rsidR="00426E8C">
        <w:t>.</w:t>
      </w:r>
    </w:p>
    <w:p w:rsidR="00E47B24" w:rsidRDefault="006E690A" w:rsidP="00AF5A0A">
      <w:pPr>
        <w:jc w:val="both"/>
      </w:pPr>
      <w:r>
        <w:tab/>
      </w:r>
      <w:r w:rsidR="0006128E">
        <w:t>2. M</w:t>
      </w:r>
      <w:r w:rsidR="00E47B24">
        <w:t>edikamentų (vienam asmeniui per parą)</w:t>
      </w:r>
      <w:r w:rsidR="00AF5A0A">
        <w:t xml:space="preserve"> </w:t>
      </w:r>
      <w:r w:rsidR="00E47B24">
        <w:t>0,</w:t>
      </w:r>
      <w:r w:rsidR="00842ED8">
        <w:t>30</w:t>
      </w:r>
      <w:r w:rsidR="00813BB8">
        <w:t xml:space="preserve"> </w:t>
      </w:r>
      <w:r w:rsidR="00630A06">
        <w:t>Eur</w:t>
      </w:r>
      <w:r w:rsidR="002701D1">
        <w:t>;</w:t>
      </w:r>
    </w:p>
    <w:p w:rsidR="00E47B24" w:rsidRDefault="0006128E" w:rsidP="00E47B24">
      <w:pPr>
        <w:ind w:left="709"/>
        <w:jc w:val="both"/>
      </w:pPr>
      <w:r>
        <w:t>3. P</w:t>
      </w:r>
      <w:r w:rsidR="00E47B24">
        <w:t xml:space="preserve">atalynės ir aprangos (vienam asmeniui per mėnesį) </w:t>
      </w:r>
      <w:r w:rsidR="00630A06">
        <w:t>18</w:t>
      </w:r>
      <w:r w:rsidR="00E47B24">
        <w:t xml:space="preserve">,00 </w:t>
      </w:r>
      <w:r w:rsidR="00630A06">
        <w:t>Eur</w:t>
      </w:r>
      <w:r w:rsidR="00E47B24">
        <w:t>.</w:t>
      </w:r>
    </w:p>
    <w:p w:rsidR="00E47B24" w:rsidRDefault="00E47B24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AF5A0A" w:rsidRDefault="00AF5A0A" w:rsidP="00E47B24">
      <w:pPr>
        <w:jc w:val="both"/>
      </w:pPr>
    </w:p>
    <w:p w:rsidR="00AF5A0A" w:rsidRDefault="00AF5A0A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86420F" w:rsidRDefault="0086420F" w:rsidP="00E47B24">
      <w:pPr>
        <w:jc w:val="both"/>
      </w:pPr>
    </w:p>
    <w:p w:rsidR="00E05F2C" w:rsidRDefault="00E05F2C" w:rsidP="00E47B24">
      <w:pPr>
        <w:jc w:val="both"/>
      </w:pPr>
    </w:p>
    <w:p w:rsidR="00E05F2C" w:rsidRDefault="00E05F2C" w:rsidP="00E47B24">
      <w:pPr>
        <w:jc w:val="both"/>
      </w:pPr>
    </w:p>
    <w:p w:rsidR="00E05F2C" w:rsidRDefault="00E05F2C" w:rsidP="00E47B24">
      <w:pPr>
        <w:jc w:val="both"/>
      </w:pPr>
    </w:p>
    <w:p w:rsidR="00DF49F6" w:rsidRDefault="00DF49F6" w:rsidP="00E47B24">
      <w:pPr>
        <w:jc w:val="both"/>
      </w:pPr>
    </w:p>
    <w:p w:rsidR="00E57002" w:rsidRDefault="00A75BD9" w:rsidP="00E47B24">
      <w:pPr>
        <w:jc w:val="both"/>
      </w:pPr>
      <w:r>
        <w:t>Virginija Savickienė</w:t>
      </w:r>
    </w:p>
    <w:p w:rsidR="00DF49F6" w:rsidRDefault="00E57002" w:rsidP="00E47B24">
      <w:pPr>
        <w:jc w:val="both"/>
      </w:pPr>
      <w:r>
        <w:t>201</w:t>
      </w:r>
      <w:r w:rsidR="00AF5A0A">
        <w:t>9</w:t>
      </w:r>
      <w:r>
        <w:t>-</w:t>
      </w:r>
      <w:r w:rsidR="00AF5A0A">
        <w:t>11</w:t>
      </w:r>
      <w:r>
        <w:t>-</w:t>
      </w:r>
      <w:r w:rsidR="00AF5A0A">
        <w:t>19</w:t>
      </w:r>
    </w:p>
    <w:p w:rsidR="00AF5A0A" w:rsidRDefault="00AF5A0A" w:rsidP="00E47B24">
      <w:pPr>
        <w:jc w:val="center"/>
        <w:rPr>
          <w:b/>
        </w:rPr>
      </w:pP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lastRenderedPageBreak/>
        <w:t>PANEVĖŽIO RAJONO SAVIVALDYBĖS ADMINISTRACIJOS</w:t>
      </w: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t>SOCIALINĖS PARAMOS SKYRIUS</w:t>
      </w:r>
    </w:p>
    <w:p w:rsidR="00E47B24" w:rsidRPr="00E25255" w:rsidRDefault="00E47B24" w:rsidP="00E47B24">
      <w:pPr>
        <w:jc w:val="both"/>
      </w:pPr>
    </w:p>
    <w:p w:rsidR="00E47B24" w:rsidRPr="00A34C61" w:rsidRDefault="00E47B24" w:rsidP="00E47B24">
      <w:pPr>
        <w:jc w:val="both"/>
      </w:pPr>
      <w:r w:rsidRPr="00A34C61">
        <w:t xml:space="preserve">Panevėžio rajono </w:t>
      </w:r>
      <w:r>
        <w:t>s</w:t>
      </w:r>
      <w:r w:rsidRPr="00A34C61">
        <w:t xml:space="preserve">avivaldybės </w:t>
      </w:r>
      <w:r>
        <w:t>t</w:t>
      </w:r>
      <w:r w:rsidRPr="00A34C61">
        <w:t>arybai</w:t>
      </w:r>
    </w:p>
    <w:p w:rsidR="00E47B24" w:rsidRPr="00E25255" w:rsidRDefault="00E47B24" w:rsidP="00E47B24">
      <w:pPr>
        <w:jc w:val="center"/>
      </w:pPr>
    </w:p>
    <w:p w:rsidR="00E47B24" w:rsidRPr="00B44AB0" w:rsidRDefault="00E47B24" w:rsidP="00E47B24">
      <w:pPr>
        <w:jc w:val="center"/>
        <w:rPr>
          <w:b/>
        </w:rPr>
      </w:pPr>
      <w:r w:rsidRPr="00A34C61">
        <w:rPr>
          <w:b/>
        </w:rPr>
        <w:t>AIŠKINAMASIS RAŠTAS</w:t>
      </w:r>
      <w:r w:rsidR="00671DD8">
        <w:rPr>
          <w:b/>
        </w:rPr>
        <w:t xml:space="preserve"> </w:t>
      </w:r>
      <w:r>
        <w:rPr>
          <w:b/>
        </w:rPr>
        <w:t xml:space="preserve">DĖL SPRENDIMO </w:t>
      </w:r>
      <w:r w:rsidRPr="00E578C8">
        <w:rPr>
          <w:b/>
        </w:rPr>
        <w:t>„</w:t>
      </w:r>
      <w:r>
        <w:rPr>
          <w:b/>
        </w:rPr>
        <w:t xml:space="preserve">DĖL MITYBOS, MEDIKAMENTŲ, PATALYNĖS IR APRANGOS IŠLAIDŲ FINANSINIŲ NORMATYVŲ </w:t>
      </w:r>
      <w:r w:rsidR="00723FED">
        <w:rPr>
          <w:b/>
        </w:rPr>
        <w:t>20</w:t>
      </w:r>
      <w:r w:rsidR="00AF5A0A">
        <w:rPr>
          <w:b/>
        </w:rPr>
        <w:t>20</w:t>
      </w:r>
      <w:r w:rsidR="00723FED">
        <w:rPr>
          <w:b/>
        </w:rPr>
        <w:t xml:space="preserve"> METAIS </w:t>
      </w:r>
      <w:r w:rsidR="00630A06">
        <w:rPr>
          <w:b/>
        </w:rPr>
        <w:t xml:space="preserve">PANEVĖŽIO </w:t>
      </w:r>
      <w:r>
        <w:rPr>
          <w:b/>
        </w:rPr>
        <w:t>RAJONO VAIKŲ GLOBOS NAMUOSE PATVIRTINIMO“ PROJEKTO</w:t>
      </w:r>
    </w:p>
    <w:p w:rsidR="00E47B24" w:rsidRPr="0006128E" w:rsidRDefault="00E47B24" w:rsidP="00E47B24">
      <w:pPr>
        <w:jc w:val="center"/>
      </w:pPr>
    </w:p>
    <w:p w:rsidR="00E47B24" w:rsidRDefault="00E47B24" w:rsidP="00E47B24">
      <w:pPr>
        <w:jc w:val="center"/>
      </w:pPr>
      <w:r>
        <w:t>201</w:t>
      </w:r>
      <w:r w:rsidR="00AF5A0A">
        <w:t>9</w:t>
      </w:r>
      <w:r>
        <w:t xml:space="preserve"> m. </w:t>
      </w:r>
      <w:r w:rsidR="00AF5A0A">
        <w:t>lapkričio 19</w:t>
      </w:r>
      <w:r w:rsidR="002754CA">
        <w:t xml:space="preserve"> </w:t>
      </w:r>
      <w:r w:rsidRPr="005F38BE">
        <w:t xml:space="preserve">d. </w:t>
      </w:r>
    </w:p>
    <w:p w:rsidR="00E47B24" w:rsidRDefault="00E47B24" w:rsidP="00E47B24">
      <w:pPr>
        <w:jc w:val="center"/>
      </w:pPr>
      <w:r>
        <w:t>Panevėžys</w:t>
      </w:r>
    </w:p>
    <w:p w:rsidR="00E47B24" w:rsidRDefault="00E47B24" w:rsidP="00E47B24">
      <w:pPr>
        <w:ind w:hanging="1701"/>
      </w:pPr>
      <w:r>
        <w:tab/>
      </w:r>
      <w:r>
        <w:tab/>
      </w:r>
    </w:p>
    <w:p w:rsidR="00E47B24" w:rsidRDefault="00E47B24" w:rsidP="00E47B24">
      <w:pPr>
        <w:ind w:hanging="1701"/>
        <w:rPr>
          <w:b/>
        </w:rPr>
      </w:pPr>
      <w:r>
        <w:tab/>
      </w:r>
      <w:r>
        <w:tab/>
      </w:r>
      <w:r w:rsidRPr="005F38BE">
        <w:rPr>
          <w:b/>
        </w:rPr>
        <w:t xml:space="preserve">Projekto </w:t>
      </w:r>
      <w:r>
        <w:rPr>
          <w:b/>
        </w:rPr>
        <w:t>rengimą paskatinusios priežastys.</w:t>
      </w:r>
    </w:p>
    <w:p w:rsidR="00E47B24" w:rsidRPr="00F21072" w:rsidRDefault="006865BE" w:rsidP="006865BE">
      <w:pPr>
        <w:ind w:hanging="1701"/>
        <w:jc w:val="both"/>
      </w:pPr>
      <w:r>
        <w:rPr>
          <w:b/>
        </w:rPr>
        <w:tab/>
      </w:r>
      <w:r>
        <w:rPr>
          <w:b/>
        </w:rPr>
        <w:tab/>
      </w:r>
      <w:r w:rsidRPr="006865BE">
        <w:t xml:space="preserve">Panevėžio rajono vaikų globos namų </w:t>
      </w:r>
      <w:r w:rsidR="00494335">
        <w:t>201</w:t>
      </w:r>
      <w:r w:rsidR="00AF5A0A">
        <w:t>9</w:t>
      </w:r>
      <w:r w:rsidR="00494335">
        <w:t>-</w:t>
      </w:r>
      <w:r w:rsidR="00AF5A0A">
        <w:t>11</w:t>
      </w:r>
      <w:r w:rsidR="00494335">
        <w:t>-</w:t>
      </w:r>
      <w:r w:rsidR="00AF5A0A">
        <w:t>12</w:t>
      </w:r>
      <w:r w:rsidR="00E25255">
        <w:t xml:space="preserve"> rašt</w:t>
      </w:r>
      <w:r>
        <w:t>as Nr</w:t>
      </w:r>
      <w:r w:rsidRPr="00A40D23">
        <w:t xml:space="preserve">. </w:t>
      </w:r>
      <w:r w:rsidR="00AF5A0A">
        <w:t>S1-183</w:t>
      </w:r>
      <w:r w:rsidR="002754CA" w:rsidRPr="00A40D23">
        <w:t xml:space="preserve"> </w:t>
      </w:r>
      <w:r>
        <w:t xml:space="preserve">„Dėl </w:t>
      </w:r>
      <w:r w:rsidR="00630A06">
        <w:t>mitybos,</w:t>
      </w:r>
      <w:r>
        <w:t xml:space="preserve"> medikamentų, patalynės ir aprangos finansinių normatyvų Panevėžio rajono vaikų globos namuose patvirtinimo“.</w:t>
      </w:r>
    </w:p>
    <w:p w:rsidR="00E47B24" w:rsidRDefault="00E47B24" w:rsidP="00E47B24">
      <w:pPr>
        <w:jc w:val="both"/>
        <w:rPr>
          <w:b/>
        </w:rPr>
      </w:pPr>
      <w:r>
        <w:rPr>
          <w:b/>
        </w:rPr>
        <w:tab/>
      </w:r>
      <w:r w:rsidR="00E15574">
        <w:rPr>
          <w:b/>
        </w:rPr>
        <w:t>P</w:t>
      </w:r>
      <w:r>
        <w:rPr>
          <w:b/>
        </w:rPr>
        <w:t xml:space="preserve">rojekto esmė ir </w:t>
      </w:r>
      <w:r w:rsidR="00E15574">
        <w:rPr>
          <w:b/>
        </w:rPr>
        <w:t>parengto projekto</w:t>
      </w:r>
      <w:r w:rsidR="00813BB8">
        <w:rPr>
          <w:b/>
        </w:rPr>
        <w:t xml:space="preserve"> </w:t>
      </w:r>
      <w:r>
        <w:rPr>
          <w:b/>
        </w:rPr>
        <w:t>tikslai.</w:t>
      </w:r>
    </w:p>
    <w:p w:rsidR="006865BE" w:rsidRPr="00655E5F" w:rsidRDefault="00E47B24" w:rsidP="006865BE">
      <w:pPr>
        <w:ind w:hanging="1701"/>
        <w:jc w:val="both"/>
      </w:pPr>
      <w:r>
        <w:rPr>
          <w:b/>
        </w:rPr>
        <w:tab/>
      </w:r>
      <w:r w:rsidR="006865BE">
        <w:rPr>
          <w:b/>
        </w:rPr>
        <w:tab/>
      </w:r>
      <w:r w:rsidR="006865BE" w:rsidRPr="00655E5F">
        <w:t xml:space="preserve">Socialinių paslaugų finansavimo </w:t>
      </w:r>
      <w:r w:rsidR="006865BE">
        <w:t>ir lėšų apskaičiavimo metodikos</w:t>
      </w:r>
      <w:r w:rsidR="00630A06">
        <w:t>, patvirtintos Lietuvos Respublikos Vyriausybės 2006 m. spalio 10 d. nutarimu Nr. 978,</w:t>
      </w:r>
      <w:r w:rsidR="00E25255">
        <w:t xml:space="preserve"> </w:t>
      </w:r>
      <w:r w:rsidR="006865BE" w:rsidRPr="00655E5F">
        <w:t>28 p</w:t>
      </w:r>
      <w:r w:rsidR="002701D1">
        <w:t>unkte</w:t>
      </w:r>
      <w:r w:rsidR="00A46B91">
        <w:t xml:space="preserve"> </w:t>
      </w:r>
      <w:r w:rsidR="0017658F">
        <w:t xml:space="preserve">nustatyta, kad </w:t>
      </w:r>
      <w:r w:rsidR="006865BE" w:rsidRPr="00655E5F">
        <w:t>maitinimo išlaidų, išlaidų medikamentams, patalynei ir aprangai finansiniai normatyvai</w:t>
      </w:r>
      <w:r w:rsidR="006865BE">
        <w:t xml:space="preserve"> globos įstaigose </w:t>
      </w:r>
      <w:r w:rsidR="006865BE" w:rsidRPr="00655E5F">
        <w:t xml:space="preserve">kasmet iš naujo svarstomi atsižvelgiant į Statistikos departamento prie Lietuvos Respublikos Vyriausybės skelbiamą informaciją apie vartojimo prekių ir paslaugų kainų pokyčius. </w:t>
      </w:r>
    </w:p>
    <w:p w:rsidR="006865BE" w:rsidRPr="00655E5F" w:rsidRDefault="006865BE" w:rsidP="006865BE">
      <w:pPr>
        <w:jc w:val="both"/>
      </w:pPr>
      <w:r w:rsidRPr="00655E5F">
        <w:tab/>
        <w:t>Finansiniai normatyvai</w:t>
      </w:r>
      <w:r>
        <w:t xml:space="preserve"> vaikų globos namuose nustatomi</w:t>
      </w:r>
      <w:r w:rsidR="002754CA">
        <w:t xml:space="preserve"> </w:t>
      </w:r>
      <w:r>
        <w:t>vadovaujantis Lietuvos higienos norma HN 124:20</w:t>
      </w:r>
      <w:r w:rsidR="00630A06">
        <w:t>14</w:t>
      </w:r>
      <w:r>
        <w:t xml:space="preserve"> „Vaikų socialinės globos įstaigos. Bendrieji sveikatos saugos reikalavimai“, patvirtinta Lietuvos Respublikos </w:t>
      </w:r>
      <w:r w:rsidR="00630A06">
        <w:t xml:space="preserve">sveikatos apsaugos ministro 2014 m. rugsėjo </w:t>
      </w:r>
      <w:r>
        <w:t>1</w:t>
      </w:r>
      <w:r w:rsidR="00630A06">
        <w:t xml:space="preserve"> d.</w:t>
      </w:r>
      <w:r>
        <w:t xml:space="preserve"> įsakymu </w:t>
      </w:r>
      <w:r w:rsidR="00630A06">
        <w:br/>
        <w:t>Nr. V-9</w:t>
      </w:r>
      <w:r>
        <w:t>14, Rekomenduojamomis maisto produktų paros normomis socialinę globą gaunantiems asmenims, patvirtintomis Lietuvos Respublikos sveikatos apsaugos ministro 2007</w:t>
      </w:r>
      <w:r w:rsidR="00630A06">
        <w:t xml:space="preserve"> m. gruodžio </w:t>
      </w:r>
      <w:r>
        <w:t>29</w:t>
      </w:r>
      <w:r w:rsidR="00630A06">
        <w:t xml:space="preserve"> d.</w:t>
      </w:r>
      <w:r>
        <w:t xml:space="preserve"> įsakymu Nr. V-1090. </w:t>
      </w:r>
    </w:p>
    <w:p w:rsidR="006865BE" w:rsidRDefault="006865BE" w:rsidP="006865BE">
      <w:pPr>
        <w:ind w:hanging="1701"/>
        <w:jc w:val="both"/>
      </w:pPr>
      <w:r w:rsidRPr="00655E5F">
        <w:tab/>
      </w:r>
      <w:r>
        <w:tab/>
        <w:t>Sprendimo pagrindinis tikslas – a</w:t>
      </w:r>
      <w:r w:rsidRPr="00655E5F">
        <w:t>tsižvelgiant į vartojimo prekių ir</w:t>
      </w:r>
      <w:r>
        <w:t xml:space="preserve"> paslaugų kainų pokyčius </w:t>
      </w:r>
      <w:r w:rsidRPr="00655E5F">
        <w:t>iš naujo patvirtinti maitinimo išlaidų, išlaidų medikamentams, patalynei ir aprangai finansinius normatyvus.</w:t>
      </w:r>
    </w:p>
    <w:p w:rsidR="00CA082F" w:rsidRDefault="00CA082F" w:rsidP="00CA082F">
      <w:pPr>
        <w:pStyle w:val="Betarp"/>
        <w:ind w:firstLine="709"/>
        <w:jc w:val="both"/>
      </w:pPr>
      <w:r>
        <w:rPr>
          <w:rFonts w:ascii="Times New Roman" w:hAnsi="Times New Roman"/>
          <w:sz w:val="24"/>
          <w:szCs w:val="24"/>
        </w:rPr>
        <w:t>M</w:t>
      </w:r>
      <w:r w:rsidRPr="00CA082F">
        <w:rPr>
          <w:rFonts w:ascii="Times New Roman" w:hAnsi="Times New Roman"/>
          <w:sz w:val="24"/>
          <w:szCs w:val="24"/>
        </w:rPr>
        <w:t>itybos, medikamentų, patalynės ir aprangos finansini</w:t>
      </w:r>
      <w:r>
        <w:rPr>
          <w:rFonts w:ascii="Times New Roman" w:hAnsi="Times New Roman"/>
          <w:sz w:val="24"/>
          <w:szCs w:val="24"/>
        </w:rPr>
        <w:t>ai</w:t>
      </w:r>
      <w:r w:rsidRPr="00CA082F">
        <w:rPr>
          <w:rFonts w:ascii="Times New Roman" w:hAnsi="Times New Roman"/>
          <w:sz w:val="24"/>
          <w:szCs w:val="24"/>
        </w:rPr>
        <w:t xml:space="preserve"> normatyv</w:t>
      </w:r>
      <w:r>
        <w:rPr>
          <w:rFonts w:ascii="Times New Roman" w:hAnsi="Times New Roman"/>
          <w:sz w:val="24"/>
          <w:szCs w:val="24"/>
        </w:rPr>
        <w:t>ai 20</w:t>
      </w:r>
      <w:r w:rsidR="00AF5A0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meta</w:t>
      </w:r>
      <w:r w:rsidR="0049433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s, lyginant su 201</w:t>
      </w:r>
      <w:r w:rsidR="00AF5A0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meta</w:t>
      </w:r>
      <w:r w:rsidR="0049433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patvirtintais normatyvais, nesikeičia</w:t>
      </w:r>
      <w:r w:rsidR="00D54B95">
        <w:rPr>
          <w:rFonts w:ascii="Times New Roman" w:hAnsi="Times New Roman"/>
          <w:sz w:val="24"/>
          <w:szCs w:val="24"/>
        </w:rPr>
        <w:t>.</w:t>
      </w:r>
    </w:p>
    <w:p w:rsidR="00DF49F6" w:rsidRPr="00F21072" w:rsidRDefault="00DF49F6" w:rsidP="006865BE">
      <w:pPr>
        <w:ind w:hanging="1701"/>
        <w:jc w:val="both"/>
      </w:pPr>
      <w:r>
        <w:tab/>
      </w:r>
      <w:r>
        <w:tab/>
      </w:r>
      <w:r w:rsidR="00494335">
        <w:t>V</w:t>
      </w:r>
      <w:r w:rsidRPr="00B51E70">
        <w:t>aikų globos namuose šiuo metu gyvena:</w:t>
      </w:r>
      <w:r w:rsidR="00813BB8">
        <w:t xml:space="preserve"> </w:t>
      </w:r>
      <w:r>
        <w:t>7–</w:t>
      </w:r>
      <w:r w:rsidRPr="00B51E70">
        <w:t>14 metų</w:t>
      </w:r>
      <w:r w:rsidR="00E25255">
        <w:t xml:space="preserve"> </w:t>
      </w:r>
      <w:r>
        <w:t>–</w:t>
      </w:r>
      <w:r w:rsidR="00C37199">
        <w:t xml:space="preserve"> </w:t>
      </w:r>
      <w:r w:rsidR="00D54B95">
        <w:t>šeši</w:t>
      </w:r>
      <w:r w:rsidR="00C37199">
        <w:t xml:space="preserve"> </w:t>
      </w:r>
      <w:r>
        <w:t>vaik</w:t>
      </w:r>
      <w:r w:rsidR="00AF5A0A">
        <w:t>ai</w:t>
      </w:r>
      <w:r>
        <w:t xml:space="preserve">, </w:t>
      </w:r>
      <w:r w:rsidRPr="00B51E70">
        <w:t>15</w:t>
      </w:r>
      <w:r>
        <w:t>–18 metų</w:t>
      </w:r>
      <w:r w:rsidR="00E25255">
        <w:t xml:space="preserve"> </w:t>
      </w:r>
      <w:r>
        <w:t>–</w:t>
      </w:r>
      <w:r w:rsidR="00C37199">
        <w:t xml:space="preserve"> </w:t>
      </w:r>
      <w:r w:rsidR="00D54B95">
        <w:t>devyni</w:t>
      </w:r>
      <w:r>
        <w:t xml:space="preserve"> vaik</w:t>
      </w:r>
      <w:r w:rsidR="00AF5A0A">
        <w:t>ai</w:t>
      </w:r>
      <w:r w:rsidR="00C37199">
        <w:t>.</w:t>
      </w:r>
      <w:r>
        <w:t xml:space="preserve"> </w:t>
      </w:r>
      <w:r w:rsidR="00C37199">
        <w:t>I</w:t>
      </w:r>
      <w:r>
        <w:t xml:space="preserve">š viso </w:t>
      </w:r>
      <w:r w:rsidR="00D54B95">
        <w:t>penkiolika</w:t>
      </w:r>
      <w:r>
        <w:t xml:space="preserve"> vaik</w:t>
      </w:r>
      <w:r w:rsidR="00AF5A0A">
        <w:t>ų</w:t>
      </w:r>
      <w:r>
        <w:t>.</w:t>
      </w:r>
      <w:r w:rsidR="002754CA">
        <w:t xml:space="preserve"> Jaunesnių nei </w:t>
      </w:r>
      <w:r w:rsidR="00DB2E08">
        <w:t>7</w:t>
      </w:r>
      <w:r w:rsidR="002754CA">
        <w:t xml:space="preserve"> metų vaikų šiuo metu nėra.</w:t>
      </w:r>
    </w:p>
    <w:p w:rsidR="00E47B24" w:rsidRDefault="00E47B24" w:rsidP="00E47B24">
      <w:pPr>
        <w:jc w:val="both"/>
      </w:pPr>
      <w:r>
        <w:tab/>
        <w:t>At</w:t>
      </w:r>
      <w:r w:rsidR="0017658F">
        <w:t>sižvelgia</w:t>
      </w:r>
      <w:r w:rsidR="002701D1">
        <w:t xml:space="preserve">nt į </w:t>
      </w:r>
      <w:r w:rsidR="00494335">
        <w:t>V</w:t>
      </w:r>
      <w:r w:rsidR="002701D1">
        <w:t xml:space="preserve">aikų globos namų </w:t>
      </w:r>
      <w:r w:rsidR="00E25255">
        <w:t>rašt</w:t>
      </w:r>
      <w:r w:rsidR="00630A06">
        <w:t>ą</w:t>
      </w:r>
      <w:r>
        <w:t>, sprendimo projekte s</w:t>
      </w:r>
      <w:r w:rsidRPr="001874B4">
        <w:t xml:space="preserve">iūloma </w:t>
      </w:r>
      <w:r w:rsidR="00494335">
        <w:t>V</w:t>
      </w:r>
      <w:r>
        <w:t xml:space="preserve">aikų globos namuose </w:t>
      </w:r>
      <w:r w:rsidR="00F52D92">
        <w:t>20</w:t>
      </w:r>
      <w:r w:rsidR="00AF5A0A">
        <w:t>20</w:t>
      </w:r>
      <w:r w:rsidR="00F52D92">
        <w:t xml:space="preserve"> metais </w:t>
      </w:r>
      <w:r w:rsidRPr="005F6FD7">
        <w:t>patvirtinti išlaidų finansinius normatyvus:</w:t>
      </w:r>
    </w:p>
    <w:p w:rsidR="00E47B24" w:rsidRDefault="00494335" w:rsidP="00AB242A">
      <w:pPr>
        <w:widowControl/>
        <w:suppressAutoHyphens w:val="0"/>
        <w:ind w:firstLine="709"/>
        <w:jc w:val="both"/>
      </w:pPr>
      <w:r>
        <w:t xml:space="preserve">1. </w:t>
      </w:r>
      <w:r w:rsidR="00E47B24" w:rsidRPr="005F6FD7">
        <w:t xml:space="preserve">Mitybos </w:t>
      </w:r>
      <w:r w:rsidR="002E0B4D">
        <w:t xml:space="preserve">išlaidų </w:t>
      </w:r>
      <w:r w:rsidR="00E47B24" w:rsidRPr="005F6FD7">
        <w:t>finansinius normatyvus</w:t>
      </w:r>
      <w:r w:rsidR="002754CA">
        <w:t xml:space="preserve"> </w:t>
      </w:r>
      <w:r w:rsidR="00E47B24">
        <w:t xml:space="preserve">patvirtinti pagal </w:t>
      </w:r>
      <w:r w:rsidR="008C7A70">
        <w:t>keturias</w:t>
      </w:r>
      <w:r w:rsidR="00E47B24" w:rsidRPr="00B51E70">
        <w:t xml:space="preserve"> amžiaus grupes</w:t>
      </w:r>
      <w:r w:rsidR="00E47B24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2403"/>
      </w:tblGrid>
      <w:tr w:rsidR="00693C39" w:rsidTr="00DB2E08">
        <w:trPr>
          <w:trHeight w:val="285"/>
        </w:trPr>
        <w:tc>
          <w:tcPr>
            <w:tcW w:w="4531" w:type="dxa"/>
            <w:vMerge w:val="restart"/>
          </w:tcPr>
          <w:p w:rsidR="00693C39" w:rsidRDefault="00693C39" w:rsidP="00693C39">
            <w:r>
              <w:t>Vaikai pagal amžiaus grupes</w:t>
            </w:r>
          </w:p>
        </w:tc>
        <w:tc>
          <w:tcPr>
            <w:tcW w:w="5097" w:type="dxa"/>
            <w:gridSpan w:val="2"/>
          </w:tcPr>
          <w:p w:rsidR="00693C39" w:rsidRDefault="00693C39" w:rsidP="00693C39">
            <w:pPr>
              <w:jc w:val="center"/>
            </w:pPr>
            <w:r>
              <w:t>Finansiniai normatyvai vienam asmeniui per parą</w:t>
            </w:r>
          </w:p>
        </w:tc>
      </w:tr>
      <w:tr w:rsidR="00842ED8" w:rsidTr="00DB2E08">
        <w:trPr>
          <w:trHeight w:val="281"/>
        </w:trPr>
        <w:tc>
          <w:tcPr>
            <w:tcW w:w="4531" w:type="dxa"/>
            <w:vMerge/>
          </w:tcPr>
          <w:p w:rsidR="00842ED8" w:rsidRDefault="00842ED8" w:rsidP="00693C39">
            <w:pPr>
              <w:jc w:val="both"/>
            </w:pPr>
          </w:p>
        </w:tc>
        <w:tc>
          <w:tcPr>
            <w:tcW w:w="2694" w:type="dxa"/>
          </w:tcPr>
          <w:p w:rsidR="00842ED8" w:rsidRDefault="00842ED8" w:rsidP="00DB2E08">
            <w:pPr>
              <w:jc w:val="center"/>
            </w:pPr>
            <w:r>
              <w:t>201</w:t>
            </w:r>
            <w:r w:rsidR="00AF5A0A">
              <w:t>9</w:t>
            </w:r>
            <w:r>
              <w:t xml:space="preserve"> m. </w:t>
            </w:r>
            <w:r w:rsidR="00DB2E08">
              <w:t xml:space="preserve"> </w:t>
            </w:r>
            <w:r>
              <w:t>Eur</w:t>
            </w:r>
          </w:p>
        </w:tc>
        <w:tc>
          <w:tcPr>
            <w:tcW w:w="2403" w:type="dxa"/>
          </w:tcPr>
          <w:p w:rsidR="00842ED8" w:rsidRDefault="00842ED8" w:rsidP="00DB2E08">
            <w:pPr>
              <w:jc w:val="center"/>
            </w:pPr>
            <w:r>
              <w:t>20</w:t>
            </w:r>
            <w:r w:rsidR="00AF5A0A">
              <w:t>20</w:t>
            </w:r>
            <w:r>
              <w:t xml:space="preserve"> m.</w:t>
            </w:r>
            <w:r w:rsidR="00DB2E08">
              <w:t xml:space="preserve"> </w:t>
            </w:r>
            <w:r>
              <w:t>Eur</w:t>
            </w:r>
          </w:p>
        </w:tc>
      </w:tr>
      <w:tr w:rsidR="00842ED8" w:rsidTr="00DB2E08">
        <w:trPr>
          <w:trHeight w:val="228"/>
        </w:trPr>
        <w:tc>
          <w:tcPr>
            <w:tcW w:w="4531" w:type="dxa"/>
          </w:tcPr>
          <w:p w:rsidR="00842ED8" w:rsidRDefault="00842ED8" w:rsidP="00693C39">
            <w:pPr>
              <w:jc w:val="both"/>
            </w:pPr>
            <w:r>
              <w:t>4–6 metų vaikai</w:t>
            </w:r>
          </w:p>
        </w:tc>
        <w:tc>
          <w:tcPr>
            <w:tcW w:w="2694" w:type="dxa"/>
          </w:tcPr>
          <w:p w:rsidR="00842ED8" w:rsidRDefault="00842ED8" w:rsidP="00BA36AE">
            <w:pPr>
              <w:jc w:val="center"/>
            </w:pPr>
            <w:r>
              <w:t>2,60</w:t>
            </w:r>
          </w:p>
        </w:tc>
        <w:tc>
          <w:tcPr>
            <w:tcW w:w="2403" w:type="dxa"/>
          </w:tcPr>
          <w:p w:rsidR="00842ED8" w:rsidRDefault="00842ED8" w:rsidP="00BA36AE">
            <w:pPr>
              <w:jc w:val="center"/>
            </w:pPr>
            <w:r>
              <w:t>2,60</w:t>
            </w:r>
          </w:p>
        </w:tc>
      </w:tr>
      <w:tr w:rsidR="00842ED8" w:rsidTr="00DB2E08">
        <w:tc>
          <w:tcPr>
            <w:tcW w:w="4531" w:type="dxa"/>
          </w:tcPr>
          <w:p w:rsidR="00842ED8" w:rsidRDefault="00842ED8" w:rsidP="002701D1">
            <w:pPr>
              <w:jc w:val="both"/>
            </w:pPr>
            <w:r>
              <w:t>7–14 metų vaikai</w:t>
            </w:r>
          </w:p>
        </w:tc>
        <w:tc>
          <w:tcPr>
            <w:tcW w:w="2694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  <w:tc>
          <w:tcPr>
            <w:tcW w:w="2403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</w:tr>
      <w:tr w:rsidR="00842ED8" w:rsidTr="00DB2E08">
        <w:trPr>
          <w:trHeight w:val="253"/>
        </w:trPr>
        <w:tc>
          <w:tcPr>
            <w:tcW w:w="4531" w:type="dxa"/>
          </w:tcPr>
          <w:p w:rsidR="00842ED8" w:rsidRDefault="00842ED8" w:rsidP="00693C39">
            <w:pPr>
              <w:jc w:val="both"/>
            </w:pPr>
            <w:r>
              <w:t>15–18 metų vaikai</w:t>
            </w:r>
          </w:p>
        </w:tc>
        <w:tc>
          <w:tcPr>
            <w:tcW w:w="2694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  <w:tc>
          <w:tcPr>
            <w:tcW w:w="2403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</w:tr>
      <w:tr w:rsidR="00842ED8" w:rsidTr="00DB2E08">
        <w:trPr>
          <w:trHeight w:val="244"/>
        </w:trPr>
        <w:tc>
          <w:tcPr>
            <w:tcW w:w="4531" w:type="dxa"/>
          </w:tcPr>
          <w:p w:rsidR="00842ED8" w:rsidRDefault="00842ED8" w:rsidP="002701D1">
            <w:r w:rsidRPr="00B51E70">
              <w:t>Sekmadieniais ir švenčių dienomis mitybos normatyv</w:t>
            </w:r>
            <w:r>
              <w:t>as</w:t>
            </w:r>
            <w:r w:rsidRPr="00B51E70">
              <w:t xml:space="preserve"> didin</w:t>
            </w:r>
            <w:r>
              <w:t>amas</w:t>
            </w:r>
          </w:p>
        </w:tc>
        <w:tc>
          <w:tcPr>
            <w:tcW w:w="2694" w:type="dxa"/>
          </w:tcPr>
          <w:p w:rsidR="00842ED8" w:rsidRDefault="00842ED8" w:rsidP="00BA36AE">
            <w:pPr>
              <w:jc w:val="center"/>
            </w:pPr>
            <w:r>
              <w:t>0,23</w:t>
            </w:r>
          </w:p>
        </w:tc>
        <w:tc>
          <w:tcPr>
            <w:tcW w:w="2403" w:type="dxa"/>
          </w:tcPr>
          <w:p w:rsidR="00842ED8" w:rsidRDefault="00842ED8" w:rsidP="00BA36AE">
            <w:pPr>
              <w:jc w:val="center"/>
            </w:pPr>
            <w:r>
              <w:t>0,23</w:t>
            </w:r>
          </w:p>
        </w:tc>
      </w:tr>
    </w:tbl>
    <w:p w:rsidR="00CA082F" w:rsidRDefault="00E47B24" w:rsidP="00DB2E08">
      <w:pPr>
        <w:jc w:val="both"/>
      </w:pPr>
      <w:r>
        <w:tab/>
      </w:r>
    </w:p>
    <w:p w:rsidR="00DF49F6" w:rsidRDefault="00E47B24" w:rsidP="00494335">
      <w:pPr>
        <w:pStyle w:val="Sraopastraipa"/>
        <w:numPr>
          <w:ilvl w:val="0"/>
          <w:numId w:val="1"/>
        </w:numPr>
        <w:jc w:val="both"/>
      </w:pPr>
      <w:r w:rsidRPr="005F6FD7">
        <w:t>Medikamentų išlaidų finansin</w:t>
      </w:r>
      <w:r w:rsidR="00DF49F6">
        <w:t>ius</w:t>
      </w:r>
      <w:r w:rsidRPr="005F6FD7">
        <w:t xml:space="preserve"> normatyv</w:t>
      </w:r>
      <w:r w:rsidR="00DF49F6">
        <w:t xml:space="preserve">us patvirtinti pagal </w:t>
      </w:r>
      <w:r w:rsidR="00AF5A0A">
        <w:t xml:space="preserve">vieną </w:t>
      </w:r>
      <w:r w:rsidR="00DF49F6">
        <w:t>amžiaus grup</w:t>
      </w:r>
      <w:r w:rsidR="00AF5A0A">
        <w:t>ę</w:t>
      </w:r>
      <w:r w:rsidR="00DF49F6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3623"/>
        <w:gridCol w:w="2324"/>
      </w:tblGrid>
      <w:tr w:rsidR="00DF49F6" w:rsidTr="00DB2E08">
        <w:trPr>
          <w:trHeight w:val="285"/>
        </w:trPr>
        <w:tc>
          <w:tcPr>
            <w:tcW w:w="3681" w:type="dxa"/>
            <w:vMerge w:val="restart"/>
          </w:tcPr>
          <w:p w:rsidR="00DF49F6" w:rsidRDefault="00DF49F6" w:rsidP="00BD1C3B">
            <w:r>
              <w:t>Vaikai pagal amžiaus grupes</w:t>
            </w:r>
          </w:p>
        </w:tc>
        <w:tc>
          <w:tcPr>
            <w:tcW w:w="5947" w:type="dxa"/>
            <w:gridSpan w:val="2"/>
          </w:tcPr>
          <w:p w:rsidR="00DF49F6" w:rsidRDefault="00DF49F6" w:rsidP="00BD1C3B">
            <w:pPr>
              <w:jc w:val="center"/>
            </w:pPr>
            <w:r>
              <w:t>Finansiniai normatyvai vienam asmeniui per parą</w:t>
            </w:r>
          </w:p>
        </w:tc>
      </w:tr>
      <w:tr w:rsidR="00DF49F6" w:rsidTr="00DB2E08">
        <w:trPr>
          <w:trHeight w:val="267"/>
        </w:trPr>
        <w:tc>
          <w:tcPr>
            <w:tcW w:w="3681" w:type="dxa"/>
            <w:vMerge/>
          </w:tcPr>
          <w:p w:rsidR="00DF49F6" w:rsidRDefault="00DF49F6" w:rsidP="00BD1C3B">
            <w:pPr>
              <w:jc w:val="both"/>
            </w:pPr>
          </w:p>
        </w:tc>
        <w:tc>
          <w:tcPr>
            <w:tcW w:w="3623" w:type="dxa"/>
          </w:tcPr>
          <w:p w:rsidR="00DF49F6" w:rsidRDefault="00DF49F6" w:rsidP="00DB2E08">
            <w:pPr>
              <w:jc w:val="center"/>
            </w:pPr>
            <w:r>
              <w:t>201</w:t>
            </w:r>
            <w:r w:rsidR="00AF5A0A">
              <w:t>9</w:t>
            </w:r>
            <w:r>
              <w:t xml:space="preserve"> m. Eur</w:t>
            </w:r>
          </w:p>
        </w:tc>
        <w:tc>
          <w:tcPr>
            <w:tcW w:w="2324" w:type="dxa"/>
          </w:tcPr>
          <w:p w:rsidR="00DF49F6" w:rsidRDefault="00DF49F6" w:rsidP="00DB2E08">
            <w:pPr>
              <w:jc w:val="center"/>
            </w:pPr>
            <w:r>
              <w:t>20</w:t>
            </w:r>
            <w:r w:rsidR="00AF5A0A">
              <w:t>20</w:t>
            </w:r>
            <w:r>
              <w:t xml:space="preserve"> m.</w:t>
            </w:r>
            <w:r w:rsidR="00DB2E08">
              <w:t xml:space="preserve"> </w:t>
            </w:r>
            <w:r>
              <w:t>Eur</w:t>
            </w:r>
          </w:p>
        </w:tc>
      </w:tr>
      <w:tr w:rsidR="00DF49F6" w:rsidTr="00DB2E08">
        <w:trPr>
          <w:trHeight w:val="234"/>
        </w:trPr>
        <w:tc>
          <w:tcPr>
            <w:tcW w:w="3681" w:type="dxa"/>
          </w:tcPr>
          <w:p w:rsidR="00DF49F6" w:rsidRDefault="00DF49F6" w:rsidP="00D67779">
            <w:pPr>
              <w:jc w:val="both"/>
            </w:pPr>
            <w:r>
              <w:t>0</w:t>
            </w:r>
            <w:r w:rsidR="00A47DB9">
              <w:t>–</w:t>
            </w:r>
            <w:r w:rsidR="00D67779">
              <w:t>5</w:t>
            </w:r>
            <w:r>
              <w:t xml:space="preserve"> metų vaikai</w:t>
            </w:r>
          </w:p>
        </w:tc>
        <w:tc>
          <w:tcPr>
            <w:tcW w:w="3623" w:type="dxa"/>
          </w:tcPr>
          <w:p w:rsidR="00DF49F6" w:rsidRDefault="00D67779" w:rsidP="00BD1C3B">
            <w:pPr>
              <w:jc w:val="center"/>
            </w:pPr>
            <w:r>
              <w:t>0,30</w:t>
            </w:r>
          </w:p>
        </w:tc>
        <w:tc>
          <w:tcPr>
            <w:tcW w:w="2324" w:type="dxa"/>
          </w:tcPr>
          <w:p w:rsidR="00DF49F6" w:rsidRDefault="00D54B95" w:rsidP="00BD1C3B">
            <w:pPr>
              <w:jc w:val="center"/>
            </w:pPr>
            <w:r>
              <w:t>–</w:t>
            </w:r>
            <w:bookmarkStart w:id="0" w:name="_GoBack"/>
            <w:bookmarkEnd w:id="0"/>
          </w:p>
        </w:tc>
      </w:tr>
      <w:tr w:rsidR="00DF49F6" w:rsidTr="00DB2E08">
        <w:trPr>
          <w:trHeight w:val="253"/>
        </w:trPr>
        <w:tc>
          <w:tcPr>
            <w:tcW w:w="3681" w:type="dxa"/>
          </w:tcPr>
          <w:p w:rsidR="00DF49F6" w:rsidRDefault="00D67779" w:rsidP="00BD1C3B">
            <w:pPr>
              <w:jc w:val="both"/>
            </w:pPr>
            <w:r>
              <w:t>6</w:t>
            </w:r>
            <w:r w:rsidR="00DF49F6">
              <w:t>–18 metų vaikai</w:t>
            </w:r>
          </w:p>
        </w:tc>
        <w:tc>
          <w:tcPr>
            <w:tcW w:w="3623" w:type="dxa"/>
          </w:tcPr>
          <w:p w:rsidR="00DF49F6" w:rsidRPr="002754CA" w:rsidRDefault="002754CA" w:rsidP="002754CA">
            <w:pPr>
              <w:jc w:val="center"/>
            </w:pPr>
            <w:r>
              <w:t>0,20</w:t>
            </w:r>
          </w:p>
        </w:tc>
        <w:tc>
          <w:tcPr>
            <w:tcW w:w="2324" w:type="dxa"/>
          </w:tcPr>
          <w:p w:rsidR="00DF49F6" w:rsidRDefault="00DF49F6" w:rsidP="00BD1C3B">
            <w:pPr>
              <w:jc w:val="center"/>
            </w:pPr>
            <w:r>
              <w:t>0,</w:t>
            </w:r>
            <w:r w:rsidR="00AF5A0A">
              <w:t>3</w:t>
            </w:r>
            <w:r w:rsidR="00D67779">
              <w:t>0</w:t>
            </w:r>
          </w:p>
        </w:tc>
      </w:tr>
    </w:tbl>
    <w:p w:rsidR="00AB242A" w:rsidRDefault="00AB242A" w:rsidP="00AB242A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E05F2C" w:rsidRPr="00E05F2C" w:rsidRDefault="00E47B24" w:rsidP="00AF5A0A">
      <w:pPr>
        <w:jc w:val="both"/>
        <w:rPr>
          <w:sz w:val="16"/>
          <w:szCs w:val="16"/>
        </w:rPr>
      </w:pPr>
      <w:r>
        <w:tab/>
      </w:r>
      <w:r w:rsidRPr="00687605">
        <w:t>Medikamentų išlaidoms priskiriama:</w:t>
      </w:r>
      <w:r w:rsidR="002754CA">
        <w:t xml:space="preserve"> </w:t>
      </w:r>
      <w:r>
        <w:t>b</w:t>
      </w:r>
      <w:r w:rsidRPr="00687605">
        <w:t>ūtinosios ir pirmosios pagalbos medikamentai ir priemonė</w:t>
      </w:r>
      <w:r>
        <w:t>s (vaistai, tvarsliava, vaistai</w:t>
      </w:r>
      <w:r w:rsidR="002754CA">
        <w:t xml:space="preserve"> </w:t>
      </w:r>
      <w:r w:rsidRPr="00687605">
        <w:t>pagal gydytojo receptus,</w:t>
      </w:r>
      <w:r>
        <w:t xml:space="preserve"> vitaminai,</w:t>
      </w:r>
      <w:r w:rsidR="002754CA">
        <w:t xml:space="preserve"> </w:t>
      </w:r>
      <w:r>
        <w:t xml:space="preserve">akiniai, </w:t>
      </w:r>
      <w:r w:rsidRPr="00687605">
        <w:t>ortopedinės priemonės)</w:t>
      </w:r>
      <w:r>
        <w:t>;</w:t>
      </w:r>
      <w:r w:rsidR="002754CA">
        <w:t xml:space="preserve"> </w:t>
      </w:r>
      <w:r>
        <w:t>s</w:t>
      </w:r>
      <w:r w:rsidRPr="00687605">
        <w:t>veikatos priežiūros priemonės (priem</w:t>
      </w:r>
      <w:r w:rsidR="0006128E">
        <w:t>onės pagal odontologo paskyrimą</w:t>
      </w:r>
      <w:r w:rsidRPr="00687605">
        <w:t>)</w:t>
      </w:r>
      <w:r>
        <w:t>;</w:t>
      </w:r>
      <w:r w:rsidR="002754CA">
        <w:t xml:space="preserve"> </w:t>
      </w:r>
      <w:r>
        <w:t>p</w:t>
      </w:r>
      <w:r w:rsidRPr="00687605">
        <w:t>riemonės</w:t>
      </w:r>
      <w:r w:rsidR="002754CA">
        <w:t xml:space="preserve"> </w:t>
      </w:r>
      <w:r w:rsidRPr="00687605">
        <w:t>funkciniams organizmo sutrikimams palengvinti</w:t>
      </w:r>
      <w:r w:rsidR="002754CA">
        <w:t xml:space="preserve"> </w:t>
      </w:r>
      <w:r w:rsidRPr="00687605">
        <w:t>(sauskelnės, įklotai nelaikantie</w:t>
      </w:r>
      <w:r w:rsidR="0006128E">
        <w:t>sie</w:t>
      </w:r>
      <w:r w:rsidRPr="00687605">
        <w:t>ms šlapimo</w:t>
      </w:r>
      <w:r w:rsidR="00CD7EE4">
        <w:t>,</w:t>
      </w:r>
      <w:r w:rsidR="00E05F2C">
        <w:br/>
      </w:r>
    </w:p>
    <w:p w:rsidR="00E05F2C" w:rsidRDefault="00E05F2C" w:rsidP="00E05F2C">
      <w:pPr>
        <w:jc w:val="center"/>
      </w:pPr>
      <w:r>
        <w:t>2</w:t>
      </w:r>
    </w:p>
    <w:p w:rsidR="00C066BC" w:rsidRPr="00687605" w:rsidRDefault="00CD7EE4" w:rsidP="00AF5A0A">
      <w:pPr>
        <w:jc w:val="both"/>
      </w:pPr>
      <w:r>
        <w:t>nepraleidžiantys drėgmės patiesalai</w:t>
      </w:r>
      <w:r w:rsidR="00E47B24" w:rsidRPr="00687605">
        <w:t>)</w:t>
      </w:r>
      <w:r w:rsidR="00E47B24">
        <w:t>;</w:t>
      </w:r>
      <w:r w:rsidR="002754CA">
        <w:t xml:space="preserve"> </w:t>
      </w:r>
      <w:r w:rsidR="00E47B24">
        <w:t>a</w:t>
      </w:r>
      <w:r w:rsidR="00E47B24" w:rsidRPr="00687605">
        <w:t>smens higienos priemonės (higieniniai paketai, įklotai, vienkartinės nosinaitės)</w:t>
      </w:r>
      <w:r w:rsidR="00C066BC">
        <w:t>.</w:t>
      </w:r>
    </w:p>
    <w:p w:rsidR="00E47B24" w:rsidRDefault="00E47B24" w:rsidP="00E47B24">
      <w:pPr>
        <w:ind w:firstLine="360"/>
        <w:jc w:val="both"/>
      </w:pPr>
      <w:r>
        <w:tab/>
        <w:t>I</w:t>
      </w:r>
      <w:r w:rsidRPr="00687605">
        <w:t xml:space="preserve">šlaidas medikamentams </w:t>
      </w:r>
      <w:r>
        <w:t>s</w:t>
      </w:r>
      <w:r w:rsidRPr="00687605">
        <w:t>unku</w:t>
      </w:r>
      <w:r>
        <w:t xml:space="preserve"> tiksliai</w:t>
      </w:r>
      <w:r w:rsidRPr="00687605">
        <w:t xml:space="preserve"> numatyti, kadangi </w:t>
      </w:r>
      <w:r>
        <w:t xml:space="preserve">globos namuose vyksta </w:t>
      </w:r>
      <w:r w:rsidRPr="00687605">
        <w:t>vaikų kait</w:t>
      </w:r>
      <w:r>
        <w:t>a, vaikų globos namuose nėra</w:t>
      </w:r>
      <w:r w:rsidRPr="00687605">
        <w:t xml:space="preserve"> vaikų sveikatą prižiūrinčio pediatro (vaikus prižiūri bendra tvarka V</w:t>
      </w:r>
      <w:r>
        <w:t xml:space="preserve">šĮ </w:t>
      </w:r>
      <w:r w:rsidRPr="00687605">
        <w:t>Krekenavos PSPC pediatr</w:t>
      </w:r>
      <w:r w:rsidR="002701D1">
        <w:t>as</w:t>
      </w:r>
      <w:r w:rsidRPr="00687605">
        <w:t>). Sergant</w:t>
      </w:r>
      <w:r w:rsidR="00301B5E">
        <w:t>ieji</w:t>
      </w:r>
      <w:r w:rsidRPr="00687605">
        <w:t xml:space="preserve"> vaikai dažniausiai stac</w:t>
      </w:r>
      <w:r w:rsidR="002701D1">
        <w:t>ionarizuojami, o nesant galimybės</w:t>
      </w:r>
      <w:r w:rsidRPr="00687605">
        <w:t xml:space="preserve"> stacionarizuoti, gydytoja skiri</w:t>
      </w:r>
      <w:r>
        <w:t>a receptinius vaistus susirgusiam vaikui</w:t>
      </w:r>
      <w:r w:rsidRPr="00687605">
        <w:t xml:space="preserve"> gydy</w:t>
      </w:r>
      <w:r>
        <w:t>ti</w:t>
      </w:r>
      <w:r w:rsidR="00BA36AE">
        <w:t xml:space="preserve">. </w:t>
      </w:r>
    </w:p>
    <w:p w:rsidR="00671FE2" w:rsidRDefault="00E47B24" w:rsidP="00671FE2">
      <w:pPr>
        <w:ind w:firstLine="720"/>
        <w:jc w:val="both"/>
      </w:pPr>
      <w:r>
        <w:t xml:space="preserve">Medikamentų finansinio normatyvo dydis apskaičiuotas remiantis </w:t>
      </w:r>
      <w:r w:rsidR="00BA36AE">
        <w:t>4</w:t>
      </w:r>
      <w:r>
        <w:t xml:space="preserve"> pastarųjų metų išlaidomis medikamentams vienam vai</w:t>
      </w:r>
      <w:r w:rsidR="00671FE2">
        <w:t>kui, gyvenančiam globos namuose</w:t>
      </w:r>
      <w:r w:rsidR="00E25255">
        <w:t>,</w:t>
      </w:r>
      <w:r>
        <w:t xml:space="preserve"> ir įvertinant medikamentų kain</w:t>
      </w:r>
      <w:r w:rsidR="002701D1">
        <w:t>as</w:t>
      </w:r>
      <w:r w:rsidR="00671FE2">
        <w:t xml:space="preserve"> </w:t>
      </w:r>
      <w:r w:rsidR="00E15574">
        <w:t>rinkoje</w:t>
      </w:r>
      <w:r>
        <w:t xml:space="preserve"> pastaraisiais metais</w:t>
      </w:r>
      <w:r w:rsidR="00671FE2">
        <w:t>, kartu atsižvelgiant į faktą, kad globos išmoka vaikui nesikeičia daug metų</w:t>
      </w:r>
      <w:r>
        <w:t xml:space="preserve">. </w:t>
      </w:r>
    </w:p>
    <w:p w:rsidR="00E47B24" w:rsidRDefault="00E47B24" w:rsidP="00671FE2">
      <w:pPr>
        <w:ind w:firstLine="720"/>
        <w:jc w:val="both"/>
      </w:pPr>
      <w:r w:rsidRPr="005F6FD7">
        <w:t>Patalynės ir</w:t>
      </w:r>
      <w:r w:rsidR="00671FE2">
        <w:t xml:space="preserve"> </w:t>
      </w:r>
      <w:r w:rsidR="00301B5E">
        <w:t xml:space="preserve">aprangos išlaidų finansinis </w:t>
      </w:r>
      <w:r w:rsidRPr="005F6FD7">
        <w:t>normatyv</w:t>
      </w:r>
      <w:r w:rsidR="00301B5E">
        <w:t>as</w:t>
      </w:r>
      <w:r w:rsidR="00E25255">
        <w:t xml:space="preserve"> </w:t>
      </w:r>
      <w:r w:rsidRPr="00E15574">
        <w:t xml:space="preserve">– </w:t>
      </w:r>
      <w:r w:rsidR="00E15574" w:rsidRPr="00E15574">
        <w:t>18</w:t>
      </w:r>
      <w:r w:rsidRPr="00E15574">
        <w:t>,</w:t>
      </w:r>
      <w:r w:rsidRPr="00521635">
        <w:t xml:space="preserve">00 </w:t>
      </w:r>
      <w:r w:rsidR="00E15574">
        <w:t>Eur</w:t>
      </w:r>
      <w:r w:rsidR="00671FE2">
        <w:t xml:space="preserve"> </w:t>
      </w:r>
      <w:r w:rsidRPr="00521635">
        <w:t>vienam</w:t>
      </w:r>
      <w:r w:rsidR="00671FE2">
        <w:t xml:space="preserve"> </w:t>
      </w:r>
      <w:r>
        <w:t>asmeniui per</w:t>
      </w:r>
      <w:r w:rsidR="00E15574">
        <w:t xml:space="preserve"> mėnesį.</w:t>
      </w:r>
    </w:p>
    <w:p w:rsidR="00E47B24" w:rsidRDefault="00E47B24" w:rsidP="00E25255">
      <w:pPr>
        <w:jc w:val="both"/>
      </w:pPr>
      <w:r>
        <w:tab/>
      </w:r>
      <w:r w:rsidRPr="00410C30">
        <w:t>Patalynės ir aprangos</w:t>
      </w:r>
      <w:r>
        <w:t xml:space="preserve"> finansinį normatyvą siūloma</w:t>
      </w:r>
      <w:r w:rsidRPr="00687605">
        <w:t xml:space="preserve"> patvirtinti</w:t>
      </w:r>
      <w:r w:rsidR="00E15574">
        <w:t xml:space="preserve"> v</w:t>
      </w:r>
      <w:r w:rsidRPr="00687605">
        <w:t>ienam</w:t>
      </w:r>
      <w:r w:rsidR="00671FE2">
        <w:t xml:space="preserve"> </w:t>
      </w:r>
      <w:r w:rsidRPr="00687605">
        <w:t>vaik</w:t>
      </w:r>
      <w:r>
        <w:t>ų globos namų auklėtiniui per</w:t>
      </w:r>
      <w:r w:rsidRPr="00687605">
        <w:t xml:space="preserve"> mėnes</w:t>
      </w:r>
      <w:r>
        <w:t>į</w:t>
      </w:r>
      <w:r w:rsidRPr="00687605">
        <w:t>, atsižvelgiant į vidutinį metinį lėšų panaudojimą patalynei ir aprangai</w:t>
      </w:r>
      <w:r w:rsidR="00671FE2">
        <w:t>.</w:t>
      </w:r>
      <w:r w:rsidRPr="00687605">
        <w:t xml:space="preserve"> Didžiausią lėšų dalį globos namai išleidžia aprangai</w:t>
      </w:r>
      <w:r w:rsidR="00CD7EE4">
        <w:t>, ypač avalynei</w:t>
      </w:r>
      <w:r w:rsidRPr="00687605">
        <w:t xml:space="preserve">. Vaikų globos namų auklėtiniai turi kasdienius ir šventinius </w:t>
      </w:r>
      <w:r w:rsidR="00CD7EE4">
        <w:t xml:space="preserve">(išeiginius) </w:t>
      </w:r>
      <w:r>
        <w:t>drabužius.</w:t>
      </w:r>
      <w:r w:rsidR="00E25255">
        <w:t xml:space="preserve"> </w:t>
      </w:r>
      <w:r>
        <w:t>Patalynei priskiriami</w:t>
      </w:r>
      <w:r w:rsidRPr="00915628">
        <w:t xml:space="preserve"> patalynės komplektai, rankšluosčiai, antklodės, pagalvės</w:t>
      </w:r>
      <w:r>
        <w:t>.</w:t>
      </w:r>
    </w:p>
    <w:p w:rsidR="002E0B4D" w:rsidRDefault="002E0B4D" w:rsidP="00E25255">
      <w:pPr>
        <w:ind w:firstLine="709"/>
        <w:jc w:val="both"/>
      </w:pPr>
      <w:r>
        <w:t>Patalynės ir aprangos finansinis normatyvas nesikeičia.</w:t>
      </w:r>
    </w:p>
    <w:p w:rsidR="00E47B24" w:rsidRDefault="00E47B24" w:rsidP="00E47B24">
      <w:pPr>
        <w:jc w:val="both"/>
      </w:pPr>
      <w:r>
        <w:tab/>
      </w:r>
      <w:r w:rsidR="00E15574">
        <w:rPr>
          <w:b/>
        </w:rPr>
        <w:t xml:space="preserve">Sprendimo priėmimo būtinybė ir laukiami </w:t>
      </w:r>
      <w:r>
        <w:rPr>
          <w:b/>
        </w:rPr>
        <w:t>pozityv</w:t>
      </w:r>
      <w:r w:rsidR="00E15574">
        <w:rPr>
          <w:b/>
        </w:rPr>
        <w:t>ūs</w:t>
      </w:r>
      <w:r>
        <w:rPr>
          <w:b/>
        </w:rPr>
        <w:t xml:space="preserve"> rezultata</w:t>
      </w:r>
      <w:r w:rsidR="00E15574">
        <w:rPr>
          <w:b/>
        </w:rPr>
        <w:t>i</w:t>
      </w:r>
      <w:r>
        <w:rPr>
          <w:b/>
        </w:rPr>
        <w:t>.</w:t>
      </w:r>
      <w:r>
        <w:tab/>
      </w:r>
    </w:p>
    <w:p w:rsidR="00E47B24" w:rsidRPr="00C273DD" w:rsidRDefault="00E47B24" w:rsidP="00E47B24">
      <w:pPr>
        <w:jc w:val="both"/>
      </w:pPr>
      <w:r>
        <w:tab/>
      </w:r>
      <w:r w:rsidR="00301B5E">
        <w:t>B</w:t>
      </w:r>
      <w:r>
        <w:t xml:space="preserve">us patvirtinti finansiniai normatyvai atsižvelgiant į </w:t>
      </w:r>
      <w:r w:rsidRPr="00655E5F">
        <w:t>vartojimo prekių ir</w:t>
      </w:r>
      <w:r>
        <w:t xml:space="preserve"> paslaugų kainų pokyčius. </w:t>
      </w:r>
    </w:p>
    <w:p w:rsidR="00E47B24" w:rsidRDefault="00E47B24" w:rsidP="00E47B24">
      <w:pPr>
        <w:jc w:val="both"/>
        <w:rPr>
          <w:b/>
        </w:rPr>
      </w:pPr>
      <w: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E47B24" w:rsidRDefault="00E47B24" w:rsidP="00E47B24">
      <w:pPr>
        <w:jc w:val="both"/>
      </w:pPr>
      <w:r>
        <w:rPr>
          <w:b/>
        </w:rPr>
        <w:tab/>
      </w:r>
      <w:r>
        <w:t>Neigiamų pasekmių nenumatoma.</w:t>
      </w:r>
    </w:p>
    <w:p w:rsidR="00E47B24" w:rsidRDefault="00E47B24" w:rsidP="00E47B24">
      <w:pPr>
        <w:jc w:val="both"/>
        <w:rPr>
          <w:b/>
        </w:rPr>
      </w:pPr>
      <w:r>
        <w:tab/>
      </w:r>
      <w:r w:rsidR="00E15574" w:rsidRPr="00F52D92">
        <w:rPr>
          <w:b/>
        </w:rPr>
        <w:t>G</w:t>
      </w:r>
      <w:r w:rsidRPr="00F52D92">
        <w:rPr>
          <w:b/>
        </w:rPr>
        <w:t>a</w:t>
      </w:r>
      <w:r>
        <w:rPr>
          <w:b/>
        </w:rPr>
        <w:t>liojan</w:t>
      </w:r>
      <w:r w:rsidR="00E15574">
        <w:rPr>
          <w:b/>
        </w:rPr>
        <w:t>tys</w:t>
      </w:r>
      <w:r>
        <w:rPr>
          <w:b/>
        </w:rPr>
        <w:t xml:space="preserve"> teisės akt</w:t>
      </w:r>
      <w:r w:rsidR="00E15574">
        <w:rPr>
          <w:b/>
        </w:rPr>
        <w:t>ai, kuriuos</w:t>
      </w:r>
      <w:r>
        <w:rPr>
          <w:b/>
        </w:rPr>
        <w:t xml:space="preserve"> būtina pakeisti priėmus teikiamą projektą.</w:t>
      </w:r>
    </w:p>
    <w:p w:rsidR="00E47B24" w:rsidRPr="00E47C43" w:rsidRDefault="00E47B24" w:rsidP="00E47B24">
      <w:pPr>
        <w:jc w:val="both"/>
      </w:pPr>
      <w:r>
        <w:rPr>
          <w:b/>
        </w:rPr>
        <w:tab/>
      </w:r>
      <w:r w:rsidRPr="000542BE">
        <w:t>N</w:t>
      </w:r>
      <w:r w:rsidRPr="00E47C43">
        <w:t>ėra</w:t>
      </w:r>
      <w:r>
        <w:t>.</w:t>
      </w:r>
    </w:p>
    <w:p w:rsidR="00E47B24" w:rsidRDefault="00E47B24" w:rsidP="00E47B24">
      <w:pPr>
        <w:jc w:val="both"/>
        <w:rPr>
          <w:b/>
        </w:rPr>
      </w:pPr>
      <w:r>
        <w:tab/>
      </w:r>
      <w:r w:rsidRPr="006A4761">
        <w:rPr>
          <w:b/>
        </w:rPr>
        <w:t xml:space="preserve">Reikiami </w:t>
      </w:r>
      <w:r>
        <w:rPr>
          <w:b/>
        </w:rPr>
        <w:t>paskaičiavimai, išlaidų sąmatos bei finansavimo šaltiniai, reikalingi sprendimui įgyvendinti.</w:t>
      </w:r>
    </w:p>
    <w:p w:rsidR="00E15574" w:rsidRDefault="00E47B24" w:rsidP="00E47B24">
      <w:pPr>
        <w:jc w:val="both"/>
      </w:pPr>
      <w:r>
        <w:rPr>
          <w:b/>
        </w:rPr>
        <w:tab/>
      </w:r>
      <w:r w:rsidRPr="0041276F">
        <w:t>Vaikų globos</w:t>
      </w:r>
      <w:r>
        <w:t xml:space="preserve"> namų išlaikymas finansuojamas iš rajono savivaldybės ir valstybės biudžeto </w:t>
      </w:r>
      <w:r w:rsidR="00671FE2">
        <w:t xml:space="preserve">(vaiko globos išmoka, našlaičio pensija) </w:t>
      </w:r>
      <w:r>
        <w:t>lėšų.</w:t>
      </w:r>
    </w:p>
    <w:p w:rsidR="00E47B24" w:rsidRDefault="00E47B24" w:rsidP="00E47B24">
      <w:pPr>
        <w:jc w:val="both"/>
      </w:pPr>
      <w:r>
        <w:rPr>
          <w:b/>
        </w:rPr>
        <w:tab/>
      </w:r>
      <w:r w:rsidRPr="001C4E2F">
        <w:t xml:space="preserve">Patvirtinus </w:t>
      </w:r>
      <w:r>
        <w:t>projekte siūlomus finansinius normatyvus, vaikų globos nam</w:t>
      </w:r>
      <w:r w:rsidR="00F52D92">
        <w:t>uose susidarys tokios išlaidos:</w:t>
      </w:r>
    </w:p>
    <w:p w:rsidR="00E47B24" w:rsidRDefault="00E47B24" w:rsidP="00E47B24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5B9B">
        <w:rPr>
          <w:rFonts w:ascii="Times New Roman" w:hAnsi="Times New Roman"/>
          <w:sz w:val="24"/>
          <w:szCs w:val="24"/>
        </w:rPr>
        <w:t>Mityb</w:t>
      </w:r>
      <w:r w:rsidR="00AB242A">
        <w:rPr>
          <w:rFonts w:ascii="Times New Roman" w:hAnsi="Times New Roman"/>
          <w:sz w:val="24"/>
          <w:szCs w:val="24"/>
        </w:rPr>
        <w:t>ai skiriamas finansavimas</w:t>
      </w:r>
      <w:r w:rsidR="009A7A34">
        <w:rPr>
          <w:rFonts w:ascii="Times New Roman" w:hAnsi="Times New Roman"/>
          <w:sz w:val="24"/>
          <w:szCs w:val="24"/>
        </w:rPr>
        <w:t xml:space="preserve"> per mėnesį</w:t>
      </w:r>
      <w:r w:rsidRPr="00425B9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1955"/>
        <w:gridCol w:w="2076"/>
        <w:gridCol w:w="1902"/>
      </w:tblGrid>
      <w:tr w:rsidR="00E47B24" w:rsidRPr="00425B9B" w:rsidTr="00494335">
        <w:tc>
          <w:tcPr>
            <w:tcW w:w="3695" w:type="dxa"/>
          </w:tcPr>
          <w:p w:rsidR="00E47B24" w:rsidRPr="002D68FB" w:rsidRDefault="00E47B2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Vaikų amžius</w:t>
            </w:r>
            <w:r w:rsidR="00E2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/</w:t>
            </w:r>
            <w:r w:rsidR="00E2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1955" w:type="dxa"/>
          </w:tcPr>
          <w:p w:rsidR="00E47B24" w:rsidRPr="002D68FB" w:rsidRDefault="00E47B24" w:rsidP="003466A9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1 paros finansinis normatyvas</w:t>
            </w:r>
            <w:r w:rsidR="00813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66A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2076" w:type="dxa"/>
          </w:tcPr>
          <w:p w:rsidR="00E47B24" w:rsidRPr="002D68FB" w:rsidRDefault="00E25255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Dien</w:t>
            </w:r>
            <w:r w:rsidR="00301B5E">
              <w:rPr>
                <w:rFonts w:ascii="Times New Roman" w:hAnsi="Times New Roman"/>
                <w:sz w:val="24"/>
                <w:szCs w:val="24"/>
              </w:rPr>
              <w:t>ų skaičius per mėnesį</w:t>
            </w:r>
          </w:p>
        </w:tc>
        <w:tc>
          <w:tcPr>
            <w:tcW w:w="1902" w:type="dxa"/>
          </w:tcPr>
          <w:p w:rsidR="00E47B24" w:rsidRDefault="00E47B2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Suma per mėnesį</w:t>
            </w:r>
          </w:p>
          <w:p w:rsidR="00E47B24" w:rsidRPr="002D68FB" w:rsidRDefault="00E1557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CD7EE4" w:rsidRPr="00425B9B" w:rsidTr="00494335">
        <w:trPr>
          <w:trHeight w:val="245"/>
        </w:trPr>
        <w:tc>
          <w:tcPr>
            <w:tcW w:w="3695" w:type="dxa"/>
            <w:tcBorders>
              <w:top w:val="single" w:sz="4" w:space="0" w:color="auto"/>
            </w:tcBorders>
          </w:tcPr>
          <w:p w:rsidR="00CD7EE4" w:rsidRDefault="00CD7EE4" w:rsidP="00671FE2">
            <w:pPr>
              <w:pStyle w:val="Betarp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6</w:t>
            </w:r>
            <w:r w:rsidR="00671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 w:rsidR="00E2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6BC">
              <w:rPr>
                <w:rFonts w:ascii="Times New Roman" w:hAnsi="Times New Roman"/>
                <w:sz w:val="24"/>
                <w:szCs w:val="24"/>
              </w:rPr>
              <w:t>–</w:t>
            </w:r>
            <w:r w:rsidR="00671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24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CD7EE4" w:rsidRDefault="00CD7EE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CD7EE4" w:rsidRDefault="00CD7EE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CD7EE4" w:rsidRDefault="00AB242A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6B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47B24" w:rsidRPr="00425B9B" w:rsidTr="00494335">
        <w:tc>
          <w:tcPr>
            <w:tcW w:w="3695" w:type="dxa"/>
          </w:tcPr>
          <w:p w:rsidR="00E47B24" w:rsidRPr="002D68FB" w:rsidRDefault="00E47B24" w:rsidP="00C37199">
            <w:pPr>
              <w:pStyle w:val="Betarp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14</w:t>
            </w:r>
            <w:r w:rsidR="00671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 w:rsidR="00E2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C5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F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2076" w:type="dxa"/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02" w:type="dxa"/>
          </w:tcPr>
          <w:p w:rsidR="00E47B24" w:rsidRPr="002D68FB" w:rsidRDefault="00E05F2C" w:rsidP="00C37199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  <w:r w:rsidR="00CD7EE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47B24" w:rsidRPr="00425B9B" w:rsidTr="00494335">
        <w:trPr>
          <w:trHeight w:val="345"/>
        </w:trPr>
        <w:tc>
          <w:tcPr>
            <w:tcW w:w="3695" w:type="dxa"/>
            <w:tcBorders>
              <w:bottom w:val="single" w:sz="4" w:space="0" w:color="auto"/>
            </w:tcBorders>
          </w:tcPr>
          <w:p w:rsidR="00E47B24" w:rsidRPr="002D68FB" w:rsidRDefault="00E47B24" w:rsidP="00C37199">
            <w:pPr>
              <w:pStyle w:val="Betarp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18</w:t>
            </w:r>
            <w:r w:rsidR="00671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 w:rsidR="00E2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05F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E47B24" w:rsidRPr="002D68FB" w:rsidRDefault="00E05F2C" w:rsidP="00C37199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</w:t>
            </w:r>
            <w:r w:rsidR="00CD7EE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47B24" w:rsidRPr="00425B9B" w:rsidTr="00494335">
        <w:trPr>
          <w:trHeight w:val="210"/>
        </w:trPr>
        <w:tc>
          <w:tcPr>
            <w:tcW w:w="3695" w:type="dxa"/>
            <w:tcBorders>
              <w:top w:val="single" w:sz="4" w:space="0" w:color="auto"/>
            </w:tcBorders>
          </w:tcPr>
          <w:p w:rsidR="00E47B24" w:rsidRPr="002D68FB" w:rsidRDefault="0006128E" w:rsidP="00623EA9">
            <w:pPr>
              <w:pStyle w:val="Betarp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Sekmadieniais</w:t>
            </w:r>
            <w:r w:rsidR="00E47B24">
              <w:rPr>
                <w:rFonts w:ascii="Times New Roman" w:hAnsi="Times New Roman"/>
                <w:sz w:val="24"/>
                <w:szCs w:val="24"/>
              </w:rPr>
              <w:t xml:space="preserve"> ir švenčių dienomis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E47B24" w:rsidRDefault="00E05F2C" w:rsidP="00C37199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</w:tr>
      <w:tr w:rsidR="00E47B24" w:rsidRPr="00425B9B" w:rsidTr="00494335">
        <w:tc>
          <w:tcPr>
            <w:tcW w:w="3695" w:type="dxa"/>
          </w:tcPr>
          <w:p w:rsidR="00E47B24" w:rsidRPr="002D68FB" w:rsidRDefault="00E47B24" w:rsidP="00C55BDC">
            <w:pPr>
              <w:pStyle w:val="Betarp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</w:t>
            </w:r>
            <w:r w:rsidR="00C5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F2C">
              <w:rPr>
                <w:rFonts w:ascii="Times New Roman" w:hAnsi="Times New Roman"/>
                <w:sz w:val="24"/>
                <w:szCs w:val="24"/>
              </w:rPr>
              <w:t>15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 xml:space="preserve"> vaik</w:t>
            </w:r>
            <w:r w:rsidR="00E05F2C">
              <w:rPr>
                <w:rFonts w:ascii="Times New Roman" w:hAnsi="Times New Roman"/>
                <w:sz w:val="24"/>
                <w:szCs w:val="24"/>
              </w:rPr>
              <w:t>ų</w:t>
            </w:r>
          </w:p>
        </w:tc>
        <w:tc>
          <w:tcPr>
            <w:tcW w:w="1955" w:type="dxa"/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76" w:type="dxa"/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02" w:type="dxa"/>
          </w:tcPr>
          <w:p w:rsidR="00E47B24" w:rsidRPr="002D68FB" w:rsidRDefault="00E05F2C" w:rsidP="00C37199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1 409,00</w:t>
            </w:r>
          </w:p>
        </w:tc>
      </w:tr>
    </w:tbl>
    <w:p w:rsidR="006E7B70" w:rsidRDefault="006E7B70" w:rsidP="00C066BC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FB788C" w:rsidRPr="002E110D" w:rsidRDefault="00FB788C" w:rsidP="00E25255">
      <w:pPr>
        <w:ind w:firstLine="709"/>
        <w:jc w:val="both"/>
      </w:pPr>
      <w:r w:rsidRPr="001E79D8">
        <w:t>Medikamentų išlaidų finansin</w:t>
      </w:r>
      <w:r w:rsidR="00301B5E">
        <w:t>is</w:t>
      </w:r>
      <w:r w:rsidRPr="001E79D8">
        <w:t xml:space="preserve"> normatyv</w:t>
      </w:r>
      <w:r w:rsidR="00301B5E">
        <w:t>as</w:t>
      </w:r>
      <w:r w:rsidR="002E110D">
        <w:t>:</w:t>
      </w:r>
      <w:r w:rsidR="00813BB8">
        <w:t xml:space="preserve"> </w:t>
      </w:r>
      <w:r w:rsidRPr="001E79D8">
        <w:rPr>
          <w:lang w:val="pt-BR"/>
        </w:rPr>
        <w:t>0,</w:t>
      </w:r>
      <w:r w:rsidR="002E110D">
        <w:rPr>
          <w:lang w:val="pt-BR"/>
        </w:rPr>
        <w:t>30</w:t>
      </w:r>
      <w:r w:rsidRPr="001E79D8">
        <w:rPr>
          <w:lang w:val="pt-BR"/>
        </w:rPr>
        <w:t xml:space="preserve"> Eur </w:t>
      </w:r>
      <w:r w:rsidR="002E110D">
        <w:t>vaikui</w:t>
      </w:r>
      <w:r w:rsidRPr="001E79D8">
        <w:t xml:space="preserve"> per parą</w:t>
      </w:r>
      <w:r w:rsidR="00E25255">
        <w:t xml:space="preserve"> </w:t>
      </w:r>
      <w:r w:rsidR="00301B5E">
        <w:t>(</w:t>
      </w:r>
      <w:r w:rsidR="0006128E">
        <w:t>9,00 Eur per mėnesį)</w:t>
      </w:r>
      <w:r w:rsidRPr="001E79D8">
        <w:t>.</w:t>
      </w:r>
    </w:p>
    <w:p w:rsidR="00FB788C" w:rsidRDefault="00FB788C" w:rsidP="00FB788C">
      <w:pPr>
        <w:ind w:firstLine="709"/>
        <w:jc w:val="both"/>
      </w:pPr>
      <w:r w:rsidRPr="001E79D8">
        <w:t>Patalynės ir aprangos</w:t>
      </w:r>
      <w:r w:rsidR="00813BB8">
        <w:t xml:space="preserve"> </w:t>
      </w:r>
      <w:r w:rsidRPr="001E79D8">
        <w:t>išlaid</w:t>
      </w:r>
      <w:r w:rsidR="002E110D">
        <w:t>ų finansin</w:t>
      </w:r>
      <w:r w:rsidR="00301B5E">
        <w:t xml:space="preserve">is normatyvas </w:t>
      </w:r>
      <w:r w:rsidR="002E110D">
        <w:t xml:space="preserve">– 18 Eur </w:t>
      </w:r>
      <w:r w:rsidRPr="001E79D8">
        <w:t>vienam asmeniui per mėnesį (tai sudaro 216</w:t>
      </w:r>
      <w:r w:rsidR="001E79D8" w:rsidRPr="001E79D8">
        <w:t>,00</w:t>
      </w:r>
      <w:r w:rsidRPr="001E79D8">
        <w:t xml:space="preserve"> Eur per metus vienam vaikui).</w:t>
      </w:r>
    </w:p>
    <w:p w:rsidR="009A7A34" w:rsidRDefault="00FB788C" w:rsidP="009A7A34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 xml:space="preserve">Maitinimui, medikamentams, patalynei ir aprangai lėšos skiriamos iš vaiko globos išmokos. </w:t>
      </w:r>
    </w:p>
    <w:p w:rsidR="00FB788C" w:rsidRDefault="00FB788C" w:rsidP="009A7A34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Vaiko globos išmoka 152</w:t>
      </w:r>
      <w:r w:rsidR="001E79D8" w:rsidRPr="001E79D8">
        <w:rPr>
          <w:rFonts w:ascii="Times New Roman" w:hAnsi="Times New Roman"/>
          <w:sz w:val="24"/>
          <w:szCs w:val="24"/>
        </w:rPr>
        <w:t>,00</w:t>
      </w:r>
      <w:r w:rsidRPr="001E79D8">
        <w:rPr>
          <w:rFonts w:ascii="Times New Roman" w:hAnsi="Times New Roman"/>
          <w:sz w:val="24"/>
          <w:szCs w:val="24"/>
        </w:rPr>
        <w:t xml:space="preserve"> Eur panaudojama taip:</w:t>
      </w:r>
      <w:r w:rsidR="005B4FB7">
        <w:rPr>
          <w:rFonts w:ascii="Times New Roman" w:hAnsi="Times New Roman"/>
          <w:sz w:val="24"/>
          <w:szCs w:val="24"/>
        </w:rPr>
        <w:t xml:space="preserve"> </w:t>
      </w:r>
      <w:r w:rsidR="001E79D8" w:rsidRPr="001E79D8">
        <w:rPr>
          <w:rFonts w:ascii="Times New Roman" w:hAnsi="Times New Roman"/>
          <w:sz w:val="24"/>
          <w:szCs w:val="24"/>
        </w:rPr>
        <w:t>m</w:t>
      </w:r>
      <w:r w:rsidRPr="001E79D8">
        <w:rPr>
          <w:rFonts w:ascii="Times New Roman" w:hAnsi="Times New Roman"/>
          <w:sz w:val="24"/>
          <w:szCs w:val="24"/>
        </w:rPr>
        <w:t xml:space="preserve">aitinimui – </w:t>
      </w:r>
      <w:r w:rsidR="00D104E1">
        <w:rPr>
          <w:rFonts w:ascii="Times New Roman" w:hAnsi="Times New Roman"/>
          <w:sz w:val="24"/>
          <w:szCs w:val="24"/>
        </w:rPr>
        <w:t>93,92</w:t>
      </w:r>
      <w:r w:rsidRPr="001E79D8">
        <w:rPr>
          <w:rFonts w:ascii="Times New Roman" w:hAnsi="Times New Roman"/>
          <w:sz w:val="24"/>
          <w:szCs w:val="24"/>
        </w:rPr>
        <w:t xml:space="preserve"> Eur, tai sudaro </w:t>
      </w:r>
      <w:r w:rsidR="009A7A34">
        <w:rPr>
          <w:rFonts w:ascii="Times New Roman" w:hAnsi="Times New Roman"/>
          <w:sz w:val="24"/>
          <w:szCs w:val="24"/>
        </w:rPr>
        <w:br/>
      </w:r>
      <w:r w:rsidRPr="001E79D8">
        <w:rPr>
          <w:rFonts w:ascii="Times New Roman" w:hAnsi="Times New Roman"/>
          <w:sz w:val="24"/>
          <w:szCs w:val="24"/>
        </w:rPr>
        <w:t>63,6 proc. vaiko globos išmokos lėšų per mėn.</w:t>
      </w:r>
      <w:r w:rsidR="001E79D8" w:rsidRPr="001E79D8">
        <w:rPr>
          <w:rFonts w:ascii="Times New Roman" w:hAnsi="Times New Roman"/>
          <w:sz w:val="24"/>
          <w:szCs w:val="24"/>
        </w:rPr>
        <w:t>;</w:t>
      </w:r>
      <w:r w:rsidR="005B4FB7">
        <w:rPr>
          <w:rFonts w:ascii="Times New Roman" w:hAnsi="Times New Roman"/>
          <w:sz w:val="24"/>
          <w:szCs w:val="24"/>
        </w:rPr>
        <w:t xml:space="preserve"> </w:t>
      </w:r>
      <w:r w:rsidR="001E79D8" w:rsidRPr="001E79D8">
        <w:rPr>
          <w:rFonts w:ascii="Times New Roman" w:hAnsi="Times New Roman"/>
          <w:sz w:val="24"/>
          <w:szCs w:val="24"/>
        </w:rPr>
        <w:t>m</w:t>
      </w:r>
      <w:r w:rsidRPr="001E79D8">
        <w:rPr>
          <w:rFonts w:ascii="Times New Roman" w:hAnsi="Times New Roman"/>
          <w:sz w:val="24"/>
          <w:szCs w:val="24"/>
        </w:rPr>
        <w:t xml:space="preserve">edikamentams – </w:t>
      </w:r>
      <w:r w:rsidR="00E05F2C">
        <w:rPr>
          <w:rFonts w:ascii="Times New Roman" w:hAnsi="Times New Roman"/>
          <w:sz w:val="24"/>
          <w:szCs w:val="24"/>
        </w:rPr>
        <w:t>9</w:t>
      </w:r>
      <w:r w:rsidR="00C55BDC">
        <w:rPr>
          <w:rFonts w:ascii="Times New Roman" w:hAnsi="Times New Roman"/>
          <w:sz w:val="24"/>
          <w:szCs w:val="24"/>
        </w:rPr>
        <w:t>,</w:t>
      </w:r>
      <w:r w:rsidR="001E79D8" w:rsidRPr="001E79D8">
        <w:rPr>
          <w:rFonts w:ascii="Times New Roman" w:hAnsi="Times New Roman"/>
          <w:sz w:val="24"/>
          <w:szCs w:val="24"/>
        </w:rPr>
        <w:t>0</w:t>
      </w:r>
      <w:r w:rsidR="009A7A34">
        <w:rPr>
          <w:rFonts w:ascii="Times New Roman" w:hAnsi="Times New Roman"/>
          <w:sz w:val="24"/>
          <w:szCs w:val="24"/>
        </w:rPr>
        <w:t>0</w:t>
      </w:r>
      <w:r w:rsidRPr="001E79D8">
        <w:rPr>
          <w:rFonts w:ascii="Times New Roman" w:hAnsi="Times New Roman"/>
          <w:sz w:val="24"/>
          <w:szCs w:val="24"/>
        </w:rPr>
        <w:t xml:space="preserve"> Eur (</w:t>
      </w:r>
      <w:r w:rsidR="00E05F2C">
        <w:rPr>
          <w:rFonts w:ascii="Times New Roman" w:hAnsi="Times New Roman"/>
          <w:sz w:val="24"/>
          <w:szCs w:val="24"/>
        </w:rPr>
        <w:t>5,9</w:t>
      </w:r>
      <w:r w:rsidRPr="001E79D8">
        <w:rPr>
          <w:rFonts w:ascii="Times New Roman" w:hAnsi="Times New Roman"/>
          <w:sz w:val="24"/>
          <w:szCs w:val="24"/>
        </w:rPr>
        <w:t xml:space="preserve"> proc. vaiko gl</w:t>
      </w:r>
      <w:r w:rsidR="001E79D8" w:rsidRPr="001E79D8">
        <w:rPr>
          <w:rFonts w:ascii="Times New Roman" w:hAnsi="Times New Roman"/>
          <w:sz w:val="24"/>
          <w:szCs w:val="24"/>
        </w:rPr>
        <w:t>obos išmokos lėšų per mėn.);</w:t>
      </w:r>
      <w:r w:rsidR="005B4FB7">
        <w:rPr>
          <w:rFonts w:ascii="Times New Roman" w:hAnsi="Times New Roman"/>
          <w:sz w:val="24"/>
          <w:szCs w:val="24"/>
        </w:rPr>
        <w:t xml:space="preserve"> </w:t>
      </w:r>
      <w:r w:rsidR="001E79D8" w:rsidRPr="001E79D8">
        <w:rPr>
          <w:rFonts w:ascii="Times New Roman" w:hAnsi="Times New Roman"/>
          <w:sz w:val="24"/>
          <w:szCs w:val="24"/>
        </w:rPr>
        <w:t>p</w:t>
      </w:r>
      <w:r w:rsidRPr="001E79D8">
        <w:rPr>
          <w:rFonts w:ascii="Times New Roman" w:hAnsi="Times New Roman"/>
          <w:sz w:val="24"/>
          <w:szCs w:val="24"/>
        </w:rPr>
        <w:t>atalynei ir aprangai – 18</w:t>
      </w:r>
      <w:r w:rsidR="001E79D8" w:rsidRPr="001E79D8">
        <w:rPr>
          <w:rFonts w:ascii="Times New Roman" w:hAnsi="Times New Roman"/>
          <w:sz w:val="24"/>
          <w:szCs w:val="24"/>
        </w:rPr>
        <w:t>,00</w:t>
      </w:r>
      <w:r w:rsidRPr="001E79D8">
        <w:rPr>
          <w:rFonts w:ascii="Times New Roman" w:hAnsi="Times New Roman"/>
          <w:sz w:val="24"/>
          <w:szCs w:val="24"/>
        </w:rPr>
        <w:t xml:space="preserve"> Eur (11,8 proc. vaiko</w:t>
      </w:r>
      <w:r w:rsidR="001E79D8" w:rsidRPr="001E79D8">
        <w:rPr>
          <w:rFonts w:ascii="Times New Roman" w:hAnsi="Times New Roman"/>
          <w:sz w:val="24"/>
          <w:szCs w:val="24"/>
        </w:rPr>
        <w:t xml:space="preserve"> globos išmokos lėšų per mėn.);</w:t>
      </w:r>
      <w:r w:rsidR="005B4FB7">
        <w:rPr>
          <w:rFonts w:ascii="Times New Roman" w:hAnsi="Times New Roman"/>
          <w:sz w:val="24"/>
          <w:szCs w:val="24"/>
        </w:rPr>
        <w:t xml:space="preserve"> </w:t>
      </w:r>
      <w:r w:rsidR="001E79D8" w:rsidRPr="001E79D8">
        <w:rPr>
          <w:rFonts w:ascii="Times New Roman" w:hAnsi="Times New Roman"/>
          <w:sz w:val="24"/>
          <w:szCs w:val="24"/>
        </w:rPr>
        <w:t>k</w:t>
      </w:r>
      <w:r w:rsidRPr="001E79D8">
        <w:rPr>
          <w:rFonts w:ascii="Times New Roman" w:hAnsi="Times New Roman"/>
          <w:sz w:val="24"/>
          <w:szCs w:val="24"/>
        </w:rPr>
        <w:t xml:space="preserve">itos išlaidos – </w:t>
      </w:r>
      <w:r w:rsidR="00E05F2C">
        <w:rPr>
          <w:rFonts w:ascii="Times New Roman" w:hAnsi="Times New Roman"/>
          <w:sz w:val="24"/>
          <w:szCs w:val="24"/>
        </w:rPr>
        <w:t>31,08</w:t>
      </w:r>
      <w:r w:rsidR="002E110D">
        <w:rPr>
          <w:rFonts w:ascii="Times New Roman" w:hAnsi="Times New Roman"/>
          <w:sz w:val="24"/>
          <w:szCs w:val="24"/>
        </w:rPr>
        <w:t xml:space="preserve"> Eur </w:t>
      </w:r>
      <w:r w:rsidRPr="001E79D8">
        <w:rPr>
          <w:rFonts w:ascii="Times New Roman" w:hAnsi="Times New Roman"/>
          <w:sz w:val="24"/>
          <w:szCs w:val="24"/>
        </w:rPr>
        <w:t>(2</w:t>
      </w:r>
      <w:r w:rsidR="00E05F2C">
        <w:rPr>
          <w:rFonts w:ascii="Times New Roman" w:hAnsi="Times New Roman"/>
          <w:sz w:val="24"/>
          <w:szCs w:val="24"/>
        </w:rPr>
        <w:t>0</w:t>
      </w:r>
      <w:r w:rsidRPr="001E79D8">
        <w:rPr>
          <w:rFonts w:ascii="Times New Roman" w:hAnsi="Times New Roman"/>
          <w:sz w:val="24"/>
          <w:szCs w:val="24"/>
        </w:rPr>
        <w:t>,</w:t>
      </w:r>
      <w:r w:rsidR="00E05F2C">
        <w:rPr>
          <w:rFonts w:ascii="Times New Roman" w:hAnsi="Times New Roman"/>
          <w:sz w:val="24"/>
          <w:szCs w:val="24"/>
        </w:rPr>
        <w:t>9</w:t>
      </w:r>
      <w:r w:rsidRPr="001E79D8">
        <w:rPr>
          <w:rFonts w:ascii="Times New Roman" w:hAnsi="Times New Roman"/>
          <w:sz w:val="24"/>
          <w:szCs w:val="24"/>
        </w:rPr>
        <w:t xml:space="preserve"> proc. vaiko globos išmokos lėšų per mėn.).</w:t>
      </w:r>
    </w:p>
    <w:p w:rsidR="00FB788C" w:rsidRDefault="001E79D8" w:rsidP="00E47B24">
      <w:pPr>
        <w:pStyle w:val="Betarp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ab/>
        <w:t>Sprendimo projektui nereikalingas antikorupcinis vertinimas.</w:t>
      </w:r>
    </w:p>
    <w:p w:rsidR="00813BB8" w:rsidRDefault="00813BB8" w:rsidP="00E47B24">
      <w:pPr>
        <w:pStyle w:val="Betarp"/>
        <w:rPr>
          <w:rFonts w:ascii="Times New Roman" w:hAnsi="Times New Roman"/>
          <w:sz w:val="24"/>
          <w:szCs w:val="24"/>
        </w:rPr>
      </w:pPr>
    </w:p>
    <w:p w:rsidR="00813BB8" w:rsidRDefault="00813BB8" w:rsidP="00E47B24">
      <w:pPr>
        <w:pStyle w:val="Betarp"/>
        <w:rPr>
          <w:rFonts w:ascii="Times New Roman" w:hAnsi="Times New Roman"/>
          <w:sz w:val="24"/>
          <w:szCs w:val="24"/>
        </w:rPr>
      </w:pPr>
    </w:p>
    <w:p w:rsidR="00813BB8" w:rsidRPr="001E79D8" w:rsidRDefault="005B4FB7" w:rsidP="00E47B24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Skyriaus vedėja</w:t>
      </w:r>
      <w:r w:rsidR="00813BB8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</w:r>
      <w:r w:rsidR="009A7A34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</w:r>
      <w:r w:rsidR="009A7A34">
        <w:rPr>
          <w:rFonts w:ascii="Times New Roman" w:hAnsi="Times New Roman"/>
          <w:sz w:val="24"/>
          <w:szCs w:val="24"/>
        </w:rPr>
        <w:t>Virginija Savickienė</w:t>
      </w:r>
    </w:p>
    <w:p w:rsidR="00A46B91" w:rsidRPr="001E79D8" w:rsidRDefault="00A46B91" w:rsidP="00E47B24">
      <w:pPr>
        <w:pStyle w:val="Betarp"/>
        <w:rPr>
          <w:rFonts w:ascii="Times New Roman" w:hAnsi="Times New Roman"/>
          <w:sz w:val="24"/>
          <w:szCs w:val="24"/>
        </w:rPr>
      </w:pPr>
    </w:p>
    <w:sectPr w:rsidR="00A46B91" w:rsidRPr="001E79D8" w:rsidSect="00E05F2C">
      <w:headerReference w:type="default" r:id="rId7"/>
      <w:headerReference w:type="first" r:id="rId8"/>
      <w:pgSz w:w="11906" w:h="16838" w:code="9"/>
      <w:pgMar w:top="567" w:right="567" w:bottom="284" w:left="1701" w:header="567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2FC" w:rsidRDefault="00BF42FC" w:rsidP="00B53A01">
      <w:r>
        <w:separator/>
      </w:r>
    </w:p>
  </w:endnote>
  <w:endnote w:type="continuationSeparator" w:id="0">
    <w:p w:rsidR="00BF42FC" w:rsidRDefault="00BF42FC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2FC" w:rsidRDefault="00BF42FC" w:rsidP="00B53A01">
      <w:r>
        <w:separator/>
      </w:r>
    </w:p>
  </w:footnote>
  <w:footnote w:type="continuationSeparator" w:id="0">
    <w:p w:rsidR="00BF42FC" w:rsidRDefault="00BF42FC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F2C" w:rsidRPr="00B673ED" w:rsidRDefault="00AD7136" w:rsidP="00B53A01">
    <w:pPr>
      <w:pStyle w:val="Antrats"/>
      <w:jc w:val="center"/>
      <w:rPr>
        <w:kern w:val="2"/>
      </w:rPr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35675406" r:id="rId2"/>
      </w:object>
    </w:r>
  </w:p>
  <w:p w:rsidR="00FB788C" w:rsidRPr="00C11CA4" w:rsidRDefault="00FB788C" w:rsidP="00C11CA4">
    <w:pPr>
      <w:pStyle w:val="Antrats"/>
      <w:jc w:val="right"/>
      <w:rPr>
        <w:b/>
      </w:rPr>
    </w:pPr>
    <w:r>
      <w:rPr>
        <w:b/>
      </w:rPr>
      <w:t xml:space="preserve">Projektas </w:t>
    </w:r>
  </w:p>
  <w:p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Antrats"/>
      <w:jc w:val="center"/>
      <w:rPr>
        <w:b/>
        <w:sz w:val="28"/>
      </w:rPr>
    </w:pPr>
  </w:p>
  <w:p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542D"/>
    <w:rsid w:val="00013EE6"/>
    <w:rsid w:val="00023067"/>
    <w:rsid w:val="000515CB"/>
    <w:rsid w:val="0006128E"/>
    <w:rsid w:val="0007381B"/>
    <w:rsid w:val="000D1DFB"/>
    <w:rsid w:val="000D1F34"/>
    <w:rsid w:val="000F60A6"/>
    <w:rsid w:val="00106986"/>
    <w:rsid w:val="00116775"/>
    <w:rsid w:val="0016257F"/>
    <w:rsid w:val="00175F1F"/>
    <w:rsid w:val="0017658F"/>
    <w:rsid w:val="001D4492"/>
    <w:rsid w:val="001D66A8"/>
    <w:rsid w:val="001E35C4"/>
    <w:rsid w:val="001E79D8"/>
    <w:rsid w:val="001F5AFF"/>
    <w:rsid w:val="002451C5"/>
    <w:rsid w:val="002523FD"/>
    <w:rsid w:val="002701D1"/>
    <w:rsid w:val="002754CA"/>
    <w:rsid w:val="002845CC"/>
    <w:rsid w:val="00296399"/>
    <w:rsid w:val="002A26E0"/>
    <w:rsid w:val="002A70E2"/>
    <w:rsid w:val="002E0B4D"/>
    <w:rsid w:val="002E110D"/>
    <w:rsid w:val="002F7DB0"/>
    <w:rsid w:val="00301B5E"/>
    <w:rsid w:val="003121C7"/>
    <w:rsid w:val="003426AB"/>
    <w:rsid w:val="003466A9"/>
    <w:rsid w:val="003731F2"/>
    <w:rsid w:val="00392DEA"/>
    <w:rsid w:val="003A3161"/>
    <w:rsid w:val="003B14C4"/>
    <w:rsid w:val="003C461D"/>
    <w:rsid w:val="003C62DB"/>
    <w:rsid w:val="003E0BD0"/>
    <w:rsid w:val="00410B9D"/>
    <w:rsid w:val="00423427"/>
    <w:rsid w:val="00426E8C"/>
    <w:rsid w:val="00494335"/>
    <w:rsid w:val="004B0568"/>
    <w:rsid w:val="004C3407"/>
    <w:rsid w:val="004D069E"/>
    <w:rsid w:val="004E4642"/>
    <w:rsid w:val="0050685F"/>
    <w:rsid w:val="00514EFA"/>
    <w:rsid w:val="005B4FB7"/>
    <w:rsid w:val="00600C9A"/>
    <w:rsid w:val="00623EA9"/>
    <w:rsid w:val="00630A06"/>
    <w:rsid w:val="006426F4"/>
    <w:rsid w:val="006636FA"/>
    <w:rsid w:val="00671DD8"/>
    <w:rsid w:val="00671FE2"/>
    <w:rsid w:val="00673D39"/>
    <w:rsid w:val="00681011"/>
    <w:rsid w:val="006865BE"/>
    <w:rsid w:val="00693C39"/>
    <w:rsid w:val="00694A5B"/>
    <w:rsid w:val="006E690A"/>
    <w:rsid w:val="006E7B70"/>
    <w:rsid w:val="00723FED"/>
    <w:rsid w:val="00737B2F"/>
    <w:rsid w:val="00746FB6"/>
    <w:rsid w:val="007478F0"/>
    <w:rsid w:val="00787FE2"/>
    <w:rsid w:val="00802628"/>
    <w:rsid w:val="00805082"/>
    <w:rsid w:val="00813BB8"/>
    <w:rsid w:val="00834BBC"/>
    <w:rsid w:val="00842ED8"/>
    <w:rsid w:val="0086420F"/>
    <w:rsid w:val="00870F51"/>
    <w:rsid w:val="008821A6"/>
    <w:rsid w:val="008B5F60"/>
    <w:rsid w:val="008C7A70"/>
    <w:rsid w:val="008D4425"/>
    <w:rsid w:val="008E300C"/>
    <w:rsid w:val="008E60B6"/>
    <w:rsid w:val="009028B0"/>
    <w:rsid w:val="00934C17"/>
    <w:rsid w:val="009704DE"/>
    <w:rsid w:val="00987E0D"/>
    <w:rsid w:val="009A7A34"/>
    <w:rsid w:val="009C4AB9"/>
    <w:rsid w:val="009F4FA8"/>
    <w:rsid w:val="00A267E5"/>
    <w:rsid w:val="00A35270"/>
    <w:rsid w:val="00A40D23"/>
    <w:rsid w:val="00A44A21"/>
    <w:rsid w:val="00A46B91"/>
    <w:rsid w:val="00A47DB9"/>
    <w:rsid w:val="00A72BA1"/>
    <w:rsid w:val="00A75BD9"/>
    <w:rsid w:val="00A83223"/>
    <w:rsid w:val="00A86BCF"/>
    <w:rsid w:val="00A873B1"/>
    <w:rsid w:val="00AB242A"/>
    <w:rsid w:val="00AB4BE0"/>
    <w:rsid w:val="00AD7136"/>
    <w:rsid w:val="00AF5A0A"/>
    <w:rsid w:val="00AF7F7A"/>
    <w:rsid w:val="00B53A01"/>
    <w:rsid w:val="00B673ED"/>
    <w:rsid w:val="00B81899"/>
    <w:rsid w:val="00BA36AE"/>
    <w:rsid w:val="00BD37A9"/>
    <w:rsid w:val="00BF42FC"/>
    <w:rsid w:val="00C066BC"/>
    <w:rsid w:val="00C11CA4"/>
    <w:rsid w:val="00C33E38"/>
    <w:rsid w:val="00C37199"/>
    <w:rsid w:val="00C45C02"/>
    <w:rsid w:val="00C55BDC"/>
    <w:rsid w:val="00C602CA"/>
    <w:rsid w:val="00C6670A"/>
    <w:rsid w:val="00C75182"/>
    <w:rsid w:val="00CA082F"/>
    <w:rsid w:val="00CA348E"/>
    <w:rsid w:val="00CD7EE4"/>
    <w:rsid w:val="00CE054C"/>
    <w:rsid w:val="00D104E1"/>
    <w:rsid w:val="00D17EFA"/>
    <w:rsid w:val="00D31777"/>
    <w:rsid w:val="00D51B9F"/>
    <w:rsid w:val="00D54B95"/>
    <w:rsid w:val="00D652F0"/>
    <w:rsid w:val="00D67779"/>
    <w:rsid w:val="00D74A88"/>
    <w:rsid w:val="00D75257"/>
    <w:rsid w:val="00D86B17"/>
    <w:rsid w:val="00D901D0"/>
    <w:rsid w:val="00D91160"/>
    <w:rsid w:val="00DB2E08"/>
    <w:rsid w:val="00DC52F1"/>
    <w:rsid w:val="00DD37A5"/>
    <w:rsid w:val="00DF115F"/>
    <w:rsid w:val="00DF1E84"/>
    <w:rsid w:val="00DF49F6"/>
    <w:rsid w:val="00E05F2C"/>
    <w:rsid w:val="00E15574"/>
    <w:rsid w:val="00E25255"/>
    <w:rsid w:val="00E47B24"/>
    <w:rsid w:val="00E57002"/>
    <w:rsid w:val="00F36E5E"/>
    <w:rsid w:val="00F52D92"/>
    <w:rsid w:val="00F611D1"/>
    <w:rsid w:val="00F67A9D"/>
    <w:rsid w:val="00F86817"/>
    <w:rsid w:val="00F86F0B"/>
    <w:rsid w:val="00F92258"/>
    <w:rsid w:val="00FA7952"/>
    <w:rsid w:val="00FB09AF"/>
    <w:rsid w:val="00FB4A13"/>
    <w:rsid w:val="00FB788C"/>
    <w:rsid w:val="00FD047D"/>
    <w:rsid w:val="00FD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C35E61"/>
  <w15:docId w15:val="{DDB84548-A209-449B-8547-265E55F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1FE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754C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55BD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754C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71FE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55BDC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5307</Words>
  <Characters>3025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Virginija Savickiene</cp:lastModifiedBy>
  <cp:revision>6</cp:revision>
  <cp:lastPrinted>2019-11-19T11:27:00Z</cp:lastPrinted>
  <dcterms:created xsi:type="dcterms:W3CDTF">2019-11-18T11:12:00Z</dcterms:created>
  <dcterms:modified xsi:type="dcterms:W3CDTF">2019-11-19T11:30:00Z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