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AEA" w:rsidRDefault="00484AEA" w:rsidP="00484AEA">
      <w:pPr>
        <w:spacing w:after="0" w:line="240" w:lineRule="auto"/>
        <w:rPr>
          <w:rFonts w:ascii="Times New Roman" w:hAnsi="Times New Roman" w:cs="Times New Roman"/>
          <w:b/>
          <w:bCs/>
          <w:sz w:val="24"/>
          <w:szCs w:val="24"/>
        </w:rPr>
      </w:pPr>
      <w:bookmarkStart w:id="0" w:name="_GoBack"/>
      <w:bookmarkEnd w:id="0"/>
    </w:p>
    <w:p w:rsidR="00484AEA" w:rsidRPr="00DA066F" w:rsidRDefault="00484AEA" w:rsidP="00484AEA">
      <w:pPr>
        <w:spacing w:after="0" w:line="240" w:lineRule="auto"/>
        <w:ind w:left="9072"/>
        <w:rPr>
          <w:rFonts w:ascii="Times New Roman" w:hAnsi="Times New Roman" w:cs="Times New Roman"/>
          <w:sz w:val="24"/>
          <w:szCs w:val="24"/>
        </w:rPr>
      </w:pPr>
      <w:r w:rsidRPr="00DA066F">
        <w:rPr>
          <w:rFonts w:ascii="Times New Roman" w:hAnsi="Times New Roman" w:cs="Times New Roman"/>
          <w:sz w:val="24"/>
          <w:szCs w:val="24"/>
        </w:rPr>
        <w:t>Teisės aktų projektų antikorupcinio vertinimo taisyklių priedas</w:t>
      </w:r>
    </w:p>
    <w:p w:rsidR="00484AEA" w:rsidRDefault="00484AEA" w:rsidP="00484AEA">
      <w:pPr>
        <w:spacing w:after="0" w:line="240" w:lineRule="auto"/>
        <w:jc w:val="center"/>
        <w:rPr>
          <w:rFonts w:ascii="Times New Roman" w:hAnsi="Times New Roman" w:cs="Times New Roman"/>
          <w:b/>
          <w:bCs/>
          <w:sz w:val="24"/>
          <w:szCs w:val="24"/>
        </w:rPr>
      </w:pPr>
      <w:r w:rsidRPr="00DA066F">
        <w:rPr>
          <w:rFonts w:ascii="Times New Roman" w:hAnsi="Times New Roman" w:cs="Times New Roman"/>
          <w:b/>
          <w:bCs/>
          <w:sz w:val="24"/>
          <w:szCs w:val="24"/>
        </w:rPr>
        <w:t>(Pažymos forma) TEISĖS AKTŲ PROJEKTŲ ANTIKORUPCINIO</w:t>
      </w:r>
    </w:p>
    <w:p w:rsidR="00484AEA" w:rsidRPr="00DA066F" w:rsidRDefault="00484AEA" w:rsidP="00484AEA">
      <w:pPr>
        <w:spacing w:after="0" w:line="240" w:lineRule="auto"/>
        <w:jc w:val="center"/>
        <w:rPr>
          <w:rFonts w:ascii="Times New Roman" w:hAnsi="Times New Roman" w:cs="Times New Roman"/>
          <w:sz w:val="24"/>
          <w:szCs w:val="24"/>
        </w:rPr>
      </w:pPr>
      <w:r w:rsidRPr="00DA066F">
        <w:rPr>
          <w:rFonts w:ascii="Times New Roman" w:hAnsi="Times New Roman" w:cs="Times New Roman"/>
          <w:b/>
          <w:bCs/>
          <w:sz w:val="24"/>
          <w:szCs w:val="24"/>
        </w:rPr>
        <w:t>VERTINIMO PAŽYMA</w:t>
      </w:r>
      <w:r>
        <w:rPr>
          <w:rFonts w:ascii="Times New Roman" w:hAnsi="Times New Roman" w:cs="Times New Roman"/>
          <w:b/>
          <w:bCs/>
          <w:sz w:val="24"/>
          <w:szCs w:val="24"/>
        </w:rPr>
        <w:t xml:space="preserve"> NR. TA-</w:t>
      </w:r>
      <w:r w:rsidR="00756FF5">
        <w:rPr>
          <w:rFonts w:ascii="Times New Roman" w:hAnsi="Times New Roman" w:cs="Times New Roman"/>
          <w:b/>
          <w:bCs/>
          <w:sz w:val="24"/>
          <w:szCs w:val="24"/>
        </w:rPr>
        <w:t>2</w:t>
      </w:r>
      <w:r w:rsidR="004C79E5">
        <w:rPr>
          <w:rFonts w:ascii="Times New Roman" w:hAnsi="Times New Roman" w:cs="Times New Roman"/>
          <w:b/>
          <w:bCs/>
          <w:sz w:val="24"/>
          <w:szCs w:val="24"/>
        </w:rPr>
        <w:t>4</w:t>
      </w:r>
    </w:p>
    <w:p w:rsidR="00484AEA" w:rsidRDefault="00484AEA" w:rsidP="00484AEA">
      <w:pPr>
        <w:spacing w:after="0" w:line="240" w:lineRule="auto"/>
        <w:jc w:val="both"/>
        <w:rPr>
          <w:rFonts w:ascii="Times New Roman" w:hAnsi="Times New Roman" w:cs="Times New Roman"/>
          <w:sz w:val="24"/>
          <w:szCs w:val="24"/>
        </w:rPr>
      </w:pPr>
    </w:p>
    <w:p w:rsidR="00484AEA" w:rsidRPr="00DA066F" w:rsidRDefault="00484AEA" w:rsidP="00484AEA">
      <w:pPr>
        <w:spacing w:after="0" w:line="240" w:lineRule="auto"/>
        <w:jc w:val="both"/>
        <w:rPr>
          <w:rFonts w:ascii="Times New Roman" w:hAnsi="Times New Roman" w:cs="Times New Roman"/>
          <w:b/>
          <w:sz w:val="24"/>
          <w:szCs w:val="24"/>
        </w:rPr>
      </w:pPr>
      <w:r w:rsidRPr="00DA066F">
        <w:rPr>
          <w:rFonts w:ascii="Times New Roman" w:hAnsi="Times New Roman" w:cs="Times New Roman"/>
          <w:sz w:val="24"/>
          <w:szCs w:val="24"/>
        </w:rPr>
        <w:t xml:space="preserve">Teisės akto projekto pavadinimas: </w:t>
      </w:r>
      <w:r>
        <w:rPr>
          <w:rFonts w:ascii="Times New Roman" w:hAnsi="Times New Roman" w:cs="Times New Roman"/>
          <w:b/>
          <w:sz w:val="24"/>
          <w:szCs w:val="24"/>
        </w:rPr>
        <w:t>DĖL PANEVĖŽIO RAJONO SAVIVALDYBĖS BIUDŽETINIŲ ĮSTAIGŲ VADOVŲ DARBO APMOKĖJIMO SISTEMOS PATVIRTINIMO</w:t>
      </w:r>
    </w:p>
    <w:p w:rsidR="00484AEA" w:rsidRPr="00DA066F" w:rsidRDefault="00484AEA" w:rsidP="00484AEA">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xml:space="preserve">Teisės akto projekto tiesioginis rengėjas: </w:t>
      </w:r>
      <w:r w:rsidR="004C79E5">
        <w:rPr>
          <w:rFonts w:ascii="Times New Roman" w:hAnsi="Times New Roman" w:cs="Times New Roman"/>
          <w:sz w:val="24"/>
          <w:szCs w:val="24"/>
        </w:rPr>
        <w:t xml:space="preserve">Panevėžio rajono savivaldybės administracijos </w:t>
      </w:r>
      <w:r>
        <w:rPr>
          <w:rFonts w:ascii="Times New Roman" w:hAnsi="Times New Roman" w:cs="Times New Roman"/>
          <w:sz w:val="24"/>
          <w:szCs w:val="24"/>
        </w:rPr>
        <w:t>Personalo administravimo skyriaus vedėja Stas</w:t>
      </w:r>
      <w:r w:rsidR="00BB34E9">
        <w:rPr>
          <w:rFonts w:ascii="Times New Roman" w:hAnsi="Times New Roman" w:cs="Times New Roman"/>
          <w:sz w:val="24"/>
          <w:szCs w:val="24"/>
        </w:rPr>
        <w:t xml:space="preserve">ė </w:t>
      </w:r>
      <w:proofErr w:type="spellStart"/>
      <w:r w:rsidR="00BB34E9">
        <w:rPr>
          <w:rFonts w:ascii="Times New Roman" w:hAnsi="Times New Roman" w:cs="Times New Roman"/>
          <w:sz w:val="24"/>
          <w:szCs w:val="24"/>
        </w:rPr>
        <w:t>Venslavičienė</w:t>
      </w:r>
      <w:proofErr w:type="spellEnd"/>
    </w:p>
    <w:p w:rsidR="00484AEA" w:rsidRPr="00DA066F" w:rsidRDefault="00484AEA" w:rsidP="00484AEA">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xml:space="preserve">Antikorupciniu požiūriu rizikingos teisės akto projekto nuostatos </w:t>
      </w:r>
      <w:r w:rsidRPr="00DA066F">
        <w:rPr>
          <w:rFonts w:ascii="Times New Roman" w:hAnsi="Times New Roman" w:cs="Times New Roman"/>
          <w:i/>
          <w:iCs/>
          <w:sz w:val="24"/>
          <w:szCs w:val="24"/>
        </w:rPr>
        <w:t>(nurodyti kriterijaus numerį, kurį taikant nustatytai korupcijos rizikai šalinti ar valdyti</w:t>
      </w:r>
      <w:r w:rsidR="00D0636D">
        <w:rPr>
          <w:rFonts w:ascii="Times New Roman" w:hAnsi="Times New Roman" w:cs="Times New Roman"/>
          <w:i/>
          <w:iCs/>
          <w:sz w:val="24"/>
          <w:szCs w:val="24"/>
        </w:rPr>
        <w:t xml:space="preserve"> </w:t>
      </w:r>
      <w:r w:rsidRPr="00DA066F">
        <w:rPr>
          <w:rFonts w:ascii="Times New Roman" w:hAnsi="Times New Roman" w:cs="Times New Roman"/>
          <w:i/>
          <w:iCs/>
          <w:sz w:val="24"/>
          <w:szCs w:val="24"/>
        </w:rPr>
        <w:t xml:space="preserve">teisės akto projekte nenumatyta priemonių) </w:t>
      </w:r>
      <w:r w:rsidRPr="00DA066F">
        <w:rPr>
          <w:rFonts w:ascii="Times New Roman" w:hAnsi="Times New Roman" w:cs="Times New Roman"/>
          <w:sz w:val="24"/>
          <w:szCs w:val="24"/>
        </w:rPr>
        <w:t>:-</w:t>
      </w:r>
    </w:p>
    <w:p w:rsidR="00484AEA" w:rsidRPr="00DA066F" w:rsidRDefault="00484AEA" w:rsidP="00484AEA">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xml:space="preserve">Antikorupciniu požiūriu rizikingos teisės akto projekto nuostatos, nustatytos atliekant antikorupcinį vertinimą po </w:t>
      </w:r>
      <w:proofErr w:type="spellStart"/>
      <w:r w:rsidRPr="00DA066F">
        <w:rPr>
          <w:rFonts w:ascii="Times New Roman" w:hAnsi="Times New Roman" w:cs="Times New Roman"/>
          <w:sz w:val="24"/>
          <w:szCs w:val="24"/>
        </w:rPr>
        <w:t>tarpinstitucinio</w:t>
      </w:r>
      <w:proofErr w:type="spellEnd"/>
      <w:r w:rsidRPr="00DA066F">
        <w:rPr>
          <w:rFonts w:ascii="Times New Roman" w:hAnsi="Times New Roman" w:cs="Times New Roman"/>
          <w:sz w:val="24"/>
          <w:szCs w:val="24"/>
        </w:rPr>
        <w:t xml:space="preserve"> derinimo </w:t>
      </w:r>
      <w:r w:rsidRPr="00DA066F">
        <w:rPr>
          <w:rFonts w:ascii="Times New Roman" w:hAnsi="Times New Roman" w:cs="Times New Roman"/>
          <w:i/>
          <w:iCs/>
          <w:sz w:val="24"/>
          <w:szCs w:val="24"/>
        </w:rPr>
        <w:t>(nurodyti</w:t>
      </w:r>
    </w:p>
    <w:p w:rsidR="00484AEA" w:rsidRPr="00DA066F" w:rsidRDefault="00484AEA" w:rsidP="00484AEA">
      <w:pPr>
        <w:spacing w:after="0" w:line="240" w:lineRule="auto"/>
        <w:rPr>
          <w:rFonts w:ascii="Times New Roman" w:hAnsi="Times New Roman" w:cs="Times New Roman"/>
          <w:sz w:val="24"/>
          <w:szCs w:val="24"/>
        </w:rPr>
      </w:pPr>
      <w:r w:rsidRPr="00DA066F">
        <w:rPr>
          <w:rFonts w:ascii="Times New Roman" w:hAnsi="Times New Roman" w:cs="Times New Roman"/>
          <w:i/>
          <w:iCs/>
          <w:sz w:val="24"/>
          <w:szCs w:val="24"/>
        </w:rPr>
        <w:t xml:space="preserve">kriterijaus numerį, kurį taikant nustatytai korupcijos rizikai šalinti ar valdyti teisės akto projekte nenumatyta priemonių) </w:t>
      </w:r>
      <w:r w:rsidRPr="00DA066F">
        <w:rPr>
          <w:rFonts w:ascii="Times New Roman" w:hAnsi="Times New Roman" w:cs="Times New Roman"/>
          <w:sz w:val="24"/>
          <w:szCs w:val="24"/>
        </w:rPr>
        <w:t>:-</w:t>
      </w:r>
    </w:p>
    <w:p w:rsidR="00484AEA" w:rsidRPr="00DA066F" w:rsidRDefault="00484AEA" w:rsidP="00484AEA">
      <w:pPr>
        <w:spacing w:after="0" w:line="240" w:lineRule="auto"/>
        <w:rPr>
          <w:rFonts w:ascii="Times New Roman" w:hAnsi="Times New Roman" w:cs="Times New Roman"/>
          <w:sz w:val="24"/>
          <w:szCs w:val="24"/>
        </w:rPr>
      </w:pPr>
    </w:p>
    <w:tbl>
      <w:tblPr>
        <w:tblW w:w="14978" w:type="dxa"/>
        <w:tblInd w:w="40" w:type="dxa"/>
        <w:tblLayout w:type="fixed"/>
        <w:tblCellMar>
          <w:left w:w="40" w:type="dxa"/>
          <w:right w:w="40" w:type="dxa"/>
        </w:tblCellMar>
        <w:tblLook w:val="0000" w:firstRow="0" w:lastRow="0" w:firstColumn="0" w:lastColumn="0" w:noHBand="0" w:noVBand="0"/>
      </w:tblPr>
      <w:tblGrid>
        <w:gridCol w:w="715"/>
        <w:gridCol w:w="3403"/>
        <w:gridCol w:w="6182"/>
        <w:gridCol w:w="2835"/>
        <w:gridCol w:w="1843"/>
      </w:tblGrid>
      <w:tr w:rsidR="00484AEA" w:rsidRPr="00DA066F" w:rsidTr="009F1BA5">
        <w:trPr>
          <w:trHeight w:hRule="exact" w:val="168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Eil.</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Kriterijus</w:t>
            </w:r>
          </w:p>
        </w:tc>
        <w:tc>
          <w:tcPr>
            <w:tcW w:w="6182"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Pagrindimas (nurodomos konkrečios</w:t>
            </w:r>
            <w:r w:rsidR="009F1BA5">
              <w:rPr>
                <w:rFonts w:ascii="Times New Roman" w:hAnsi="Times New Roman" w:cs="Times New Roman"/>
                <w:sz w:val="24"/>
                <w:szCs w:val="24"/>
              </w:rPr>
              <w:t xml:space="preserve"> </w:t>
            </w:r>
            <w:r w:rsidRPr="00DA066F">
              <w:rPr>
                <w:rFonts w:ascii="Times New Roman" w:hAnsi="Times New Roman" w:cs="Times New Roman"/>
                <w:sz w:val="24"/>
                <w:szCs w:val="24"/>
              </w:rPr>
              <w:t>teisės akto projekto ar kitų teisės aktų</w:t>
            </w:r>
            <w:r w:rsidR="009F1BA5">
              <w:rPr>
                <w:rFonts w:ascii="Times New Roman" w:hAnsi="Times New Roman" w:cs="Times New Roman"/>
                <w:sz w:val="24"/>
                <w:szCs w:val="24"/>
              </w:rPr>
              <w:t xml:space="preserve"> </w:t>
            </w:r>
            <w:r w:rsidRPr="00DA066F">
              <w:rPr>
                <w:rFonts w:ascii="Times New Roman" w:hAnsi="Times New Roman" w:cs="Times New Roman"/>
                <w:sz w:val="24"/>
                <w:szCs w:val="24"/>
              </w:rPr>
              <w:t>nuostatos, pagrindžiančios teigiamą</w:t>
            </w:r>
            <w:r w:rsidR="009F1BA5">
              <w:rPr>
                <w:rFonts w:ascii="Times New Roman" w:hAnsi="Times New Roman" w:cs="Times New Roman"/>
                <w:sz w:val="24"/>
                <w:szCs w:val="24"/>
              </w:rPr>
              <w:t xml:space="preserve"> </w:t>
            </w:r>
            <w:r w:rsidRPr="00DA066F">
              <w:rPr>
                <w:rFonts w:ascii="Times New Roman" w:hAnsi="Times New Roman" w:cs="Times New Roman"/>
                <w:sz w:val="24"/>
                <w:szCs w:val="24"/>
              </w:rPr>
              <w:t>atsakymą, arba pateikiamos antikorupcinį</w:t>
            </w:r>
            <w:r w:rsidR="009F1BA5">
              <w:rPr>
                <w:rFonts w:ascii="Times New Roman" w:hAnsi="Times New Roman" w:cs="Times New Roman"/>
                <w:sz w:val="24"/>
                <w:szCs w:val="24"/>
              </w:rPr>
              <w:t xml:space="preserve"> </w:t>
            </w:r>
            <w:r w:rsidRPr="00DA066F">
              <w:rPr>
                <w:rFonts w:ascii="Times New Roman" w:hAnsi="Times New Roman" w:cs="Times New Roman"/>
                <w:sz w:val="24"/>
                <w:szCs w:val="24"/>
              </w:rPr>
              <w:t>teisės akto projekto vertinimą atliekančio</w:t>
            </w:r>
            <w:r w:rsidR="009F1BA5">
              <w:rPr>
                <w:rFonts w:ascii="Times New Roman" w:hAnsi="Times New Roman" w:cs="Times New Roman"/>
                <w:sz w:val="24"/>
                <w:szCs w:val="24"/>
              </w:rPr>
              <w:t xml:space="preserve"> </w:t>
            </w:r>
            <w:r w:rsidRPr="00DA066F">
              <w:rPr>
                <w:rFonts w:ascii="Times New Roman" w:hAnsi="Times New Roman" w:cs="Times New Roman"/>
                <w:sz w:val="24"/>
                <w:szCs w:val="24"/>
              </w:rPr>
              <w:t>specialisto pastabos ir pasiūlymai dėl</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korupcijos rizikos mažinimo)</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9F1BA5">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Teisės akto projekto pakeitimas,</w:t>
            </w:r>
            <w:r w:rsidR="009F1BA5">
              <w:rPr>
                <w:rFonts w:ascii="Times New Roman" w:hAnsi="Times New Roman" w:cs="Times New Roman"/>
                <w:sz w:val="24"/>
                <w:szCs w:val="24"/>
              </w:rPr>
              <w:t xml:space="preserve"> </w:t>
            </w:r>
            <w:r w:rsidRPr="00DA066F">
              <w:rPr>
                <w:rFonts w:ascii="Times New Roman" w:hAnsi="Times New Roman" w:cs="Times New Roman"/>
                <w:sz w:val="24"/>
                <w:szCs w:val="24"/>
              </w:rPr>
              <w:t>mažinantis korupcijos riziką, arba teisės</w:t>
            </w:r>
            <w:r w:rsidR="009F1BA5">
              <w:rPr>
                <w:rFonts w:ascii="Times New Roman" w:hAnsi="Times New Roman" w:cs="Times New Roman"/>
                <w:sz w:val="24"/>
                <w:szCs w:val="24"/>
              </w:rPr>
              <w:t xml:space="preserve"> </w:t>
            </w:r>
            <w:r w:rsidRPr="00DA066F">
              <w:rPr>
                <w:rFonts w:ascii="Times New Roman" w:hAnsi="Times New Roman" w:cs="Times New Roman"/>
                <w:sz w:val="24"/>
                <w:szCs w:val="24"/>
              </w:rPr>
              <w:t>akto projekto tiesioginio rengėjo</w:t>
            </w:r>
            <w:r w:rsidR="009F1BA5">
              <w:rPr>
                <w:rFonts w:ascii="Times New Roman" w:hAnsi="Times New Roman" w:cs="Times New Roman"/>
                <w:sz w:val="24"/>
                <w:szCs w:val="24"/>
              </w:rPr>
              <w:t xml:space="preserve"> </w:t>
            </w:r>
            <w:r w:rsidRPr="00DA066F">
              <w:rPr>
                <w:rFonts w:ascii="Times New Roman" w:hAnsi="Times New Roman" w:cs="Times New Roman"/>
                <w:sz w:val="24"/>
                <w:szCs w:val="24"/>
              </w:rPr>
              <w:t>argumentai, kodėl neatsižvelgta į</w:t>
            </w:r>
            <w:r w:rsidR="009F1BA5">
              <w:rPr>
                <w:rFonts w:ascii="Times New Roman" w:hAnsi="Times New Roman" w:cs="Times New Roman"/>
                <w:sz w:val="24"/>
                <w:szCs w:val="24"/>
              </w:rPr>
              <w:t xml:space="preserve"> </w:t>
            </w:r>
            <w:r w:rsidRPr="00DA066F">
              <w:rPr>
                <w:rFonts w:ascii="Times New Roman" w:hAnsi="Times New Roman" w:cs="Times New Roman"/>
                <w:sz w:val="24"/>
                <w:szCs w:val="24"/>
              </w:rPr>
              <w:t>pastabą</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Išvada dėl teisės akto projekto pakeitimų arba</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argumentų, kodėl neatsižvelgta į pastabą</w:t>
            </w:r>
          </w:p>
        </w:tc>
      </w:tr>
      <w:tr w:rsidR="00484AEA" w:rsidRPr="00DA066F" w:rsidTr="004D7EC1">
        <w:trPr>
          <w:trHeight w:hRule="exact" w:val="847"/>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p>
        </w:tc>
        <w:tc>
          <w:tcPr>
            <w:tcW w:w="6182"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i/>
                <w:iCs/>
                <w:sz w:val="24"/>
                <w:szCs w:val="24"/>
              </w:rPr>
              <w:t>pildo teisės akto projekto vertintojas</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i/>
                <w:iCs/>
                <w:sz w:val="24"/>
                <w:szCs w:val="24"/>
              </w:rPr>
              <w:t>pildo teisės akto projekto tiesioginis rengėjas</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4D7EC1">
            <w:pPr>
              <w:spacing w:after="0" w:line="240" w:lineRule="auto"/>
              <w:rPr>
                <w:rFonts w:ascii="Times New Roman" w:hAnsi="Times New Roman" w:cs="Times New Roman"/>
                <w:sz w:val="24"/>
                <w:szCs w:val="24"/>
              </w:rPr>
            </w:pPr>
            <w:r w:rsidRPr="00DA066F">
              <w:rPr>
                <w:rFonts w:ascii="Times New Roman" w:hAnsi="Times New Roman" w:cs="Times New Roman"/>
                <w:i/>
                <w:iCs/>
                <w:sz w:val="24"/>
                <w:szCs w:val="24"/>
              </w:rPr>
              <w:t>pildo teisės akto projekto vertintojas</w:t>
            </w:r>
          </w:p>
        </w:tc>
      </w:tr>
      <w:tr w:rsidR="00484AEA" w:rsidRPr="00DA066F" w:rsidTr="005D0B46">
        <w:trPr>
          <w:trHeight w:hRule="exact" w:val="3247"/>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1.</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291A19">
            <w:pPr>
              <w:spacing w:after="0" w:line="240" w:lineRule="auto"/>
              <w:jc w:val="both"/>
              <w:rPr>
                <w:rFonts w:ascii="Times New Roman" w:hAnsi="Times New Roman" w:cs="Times New Roman"/>
                <w:sz w:val="24"/>
                <w:szCs w:val="24"/>
              </w:rPr>
            </w:pPr>
            <w:r w:rsidRPr="00DA066F">
              <w:rPr>
                <w:rFonts w:ascii="Times New Roman" w:hAnsi="Times New Roman" w:cs="Times New Roman"/>
                <w:sz w:val="24"/>
                <w:szCs w:val="24"/>
              </w:rPr>
              <w:t>Teisės akto projektas nesudaro išskirtinių ar nevienodų sąlygų subjektams, su kuriais susijęs teisės akto įgyvendinimas</w:t>
            </w:r>
          </w:p>
        </w:tc>
        <w:tc>
          <w:tcPr>
            <w:tcW w:w="6182" w:type="dxa"/>
            <w:tcBorders>
              <w:top w:val="single" w:sz="6" w:space="0" w:color="auto"/>
              <w:left w:val="single" w:sz="6" w:space="0" w:color="auto"/>
              <w:bottom w:val="single" w:sz="6" w:space="0" w:color="auto"/>
              <w:right w:val="single" w:sz="6" w:space="0" w:color="auto"/>
            </w:tcBorders>
            <w:shd w:val="clear" w:color="auto" w:fill="FFFFFF"/>
          </w:tcPr>
          <w:p w:rsidR="00484AEA" w:rsidRPr="003D55CE" w:rsidRDefault="00484AEA" w:rsidP="004413B0">
            <w:pPr>
              <w:spacing w:after="0" w:line="240" w:lineRule="auto"/>
              <w:jc w:val="both"/>
              <w:rPr>
                <w:rFonts w:ascii="Times New Roman" w:hAnsi="Times New Roman" w:cs="Times New Roman"/>
                <w:sz w:val="20"/>
                <w:szCs w:val="20"/>
              </w:rPr>
            </w:pPr>
            <w:r w:rsidRPr="003D55CE">
              <w:rPr>
                <w:rFonts w:ascii="Times New Roman" w:hAnsi="Times New Roman" w:cs="Times New Roman"/>
                <w:sz w:val="20"/>
                <w:szCs w:val="20"/>
              </w:rPr>
              <w:t xml:space="preserve">Teisės akto projektas nesudaro išskirtinių </w:t>
            </w:r>
            <w:r w:rsidR="00D35739">
              <w:rPr>
                <w:rFonts w:ascii="Times New Roman" w:hAnsi="Times New Roman" w:cs="Times New Roman"/>
                <w:sz w:val="20"/>
                <w:szCs w:val="20"/>
              </w:rPr>
              <w:t>a</w:t>
            </w:r>
            <w:r w:rsidRPr="003D55CE">
              <w:rPr>
                <w:rFonts w:ascii="Times New Roman" w:hAnsi="Times New Roman" w:cs="Times New Roman"/>
                <w:sz w:val="20"/>
                <w:szCs w:val="20"/>
              </w:rPr>
              <w:t>r nevienodų sąlygų subjektams, su kuriais susijęs teisės akto įgyven</w:t>
            </w:r>
            <w:r w:rsidR="00D35739">
              <w:rPr>
                <w:rFonts w:ascii="Times New Roman" w:hAnsi="Times New Roman" w:cs="Times New Roman"/>
                <w:sz w:val="20"/>
                <w:szCs w:val="20"/>
              </w:rPr>
              <w:t>dinimas,</w:t>
            </w:r>
            <w:r w:rsidRPr="003D55CE">
              <w:rPr>
                <w:rFonts w:ascii="Times New Roman" w:hAnsi="Times New Roman" w:cs="Times New Roman"/>
                <w:sz w:val="20"/>
                <w:szCs w:val="20"/>
              </w:rPr>
              <w:t xml:space="preserve"> – </w:t>
            </w:r>
            <w:r w:rsidR="00BB34E9" w:rsidRPr="003D55CE">
              <w:rPr>
                <w:rFonts w:ascii="Times New Roman" w:hAnsi="Times New Roman" w:cs="Times New Roman"/>
                <w:sz w:val="20"/>
                <w:szCs w:val="20"/>
              </w:rPr>
              <w:t xml:space="preserve">teisės aktas taikomas visiems Panevėžio rajono savivaldybės biudžetinių įstaigų vadovams, skirtingos sąlygos taikomos </w:t>
            </w:r>
            <w:r w:rsidR="00E24A4A">
              <w:rPr>
                <w:rFonts w:ascii="Times New Roman" w:hAnsi="Times New Roman" w:cs="Times New Roman"/>
                <w:sz w:val="20"/>
                <w:szCs w:val="20"/>
              </w:rPr>
              <w:t xml:space="preserve">tik </w:t>
            </w:r>
            <w:r w:rsidR="00BB34E9" w:rsidRPr="003D55CE">
              <w:rPr>
                <w:rFonts w:ascii="Times New Roman" w:hAnsi="Times New Roman" w:cs="Times New Roman"/>
                <w:sz w:val="20"/>
                <w:szCs w:val="20"/>
              </w:rPr>
              <w:t>atsižvelgiant į objektyvius nustatytus kriterijus, pavyzdžiui</w:t>
            </w:r>
            <w:r w:rsidR="003D55CE" w:rsidRPr="003D55CE">
              <w:rPr>
                <w:rFonts w:ascii="Times New Roman" w:hAnsi="Times New Roman" w:cs="Times New Roman"/>
                <w:sz w:val="20"/>
                <w:szCs w:val="20"/>
              </w:rPr>
              <w:t xml:space="preserve">, </w:t>
            </w:r>
            <w:r w:rsidR="00D35739">
              <w:rPr>
                <w:rFonts w:ascii="Times New Roman" w:hAnsi="Times New Roman" w:cs="Times New Roman"/>
                <w:sz w:val="20"/>
                <w:szCs w:val="20"/>
              </w:rPr>
              <w:t>mokyklų vadovų darbo apmokėjimo sistemos 2 priedas – nustatant pareiginės algos pastoviosios dalies koeficientus atsižvelgiama į mok</w:t>
            </w:r>
            <w:r w:rsidR="005D0B46">
              <w:rPr>
                <w:rFonts w:ascii="Times New Roman" w:hAnsi="Times New Roman" w:cs="Times New Roman"/>
                <w:sz w:val="20"/>
                <w:szCs w:val="20"/>
              </w:rPr>
              <w:t xml:space="preserve">ykloje ugdomų mokinių skaičių, </w:t>
            </w:r>
            <w:r w:rsidR="00D35739">
              <w:rPr>
                <w:rFonts w:ascii="Times New Roman" w:hAnsi="Times New Roman" w:cs="Times New Roman"/>
                <w:sz w:val="20"/>
                <w:szCs w:val="20"/>
              </w:rPr>
              <w:t>pedagoginio darbo stažą</w:t>
            </w:r>
            <w:r w:rsidR="005D0B46">
              <w:rPr>
                <w:rFonts w:ascii="Times New Roman" w:hAnsi="Times New Roman" w:cs="Times New Roman"/>
                <w:sz w:val="20"/>
                <w:szCs w:val="20"/>
              </w:rPr>
              <w:t xml:space="preserve"> </w:t>
            </w:r>
            <w:r w:rsidR="00705B7D">
              <w:rPr>
                <w:rFonts w:ascii="Times New Roman" w:hAnsi="Times New Roman" w:cs="Times New Roman"/>
                <w:sz w:val="20"/>
                <w:szCs w:val="20"/>
              </w:rPr>
              <w:t>bei į</w:t>
            </w:r>
            <w:r w:rsidR="005D0B46">
              <w:rPr>
                <w:rFonts w:ascii="Times New Roman" w:hAnsi="Times New Roman" w:cs="Times New Roman"/>
                <w:sz w:val="20"/>
                <w:szCs w:val="20"/>
              </w:rPr>
              <w:t xml:space="preserve"> veiklos sudėtingumą, kit</w:t>
            </w:r>
            <w:r w:rsidR="00E5717F">
              <w:rPr>
                <w:rFonts w:ascii="Times New Roman" w:hAnsi="Times New Roman" w:cs="Times New Roman"/>
                <w:sz w:val="20"/>
                <w:szCs w:val="20"/>
              </w:rPr>
              <w:t>ų</w:t>
            </w:r>
            <w:r w:rsidR="005D0B46">
              <w:rPr>
                <w:rFonts w:ascii="Times New Roman" w:hAnsi="Times New Roman" w:cs="Times New Roman"/>
                <w:sz w:val="20"/>
                <w:szCs w:val="20"/>
              </w:rPr>
              <w:t xml:space="preserve"> </w:t>
            </w:r>
            <w:r w:rsidR="003D55CE" w:rsidRPr="003D55CE">
              <w:rPr>
                <w:rFonts w:ascii="Times New Roman" w:hAnsi="Times New Roman" w:cs="Times New Roman"/>
                <w:sz w:val="20"/>
                <w:szCs w:val="20"/>
              </w:rPr>
              <w:t>Panevėžio rajono savivaldybės biudžetinių įstaigų vadovų darbo apmokėjimo sistemos</w:t>
            </w:r>
            <w:r w:rsidR="00EF0FE4">
              <w:rPr>
                <w:rFonts w:ascii="Times New Roman" w:hAnsi="Times New Roman" w:cs="Times New Roman"/>
                <w:sz w:val="20"/>
                <w:szCs w:val="20"/>
              </w:rPr>
              <w:t xml:space="preserve"> </w:t>
            </w:r>
            <w:r w:rsidR="00705B7D">
              <w:rPr>
                <w:rFonts w:ascii="Times New Roman" w:hAnsi="Times New Roman" w:cs="Times New Roman"/>
                <w:sz w:val="20"/>
                <w:szCs w:val="20"/>
              </w:rPr>
              <w:t>1</w:t>
            </w:r>
            <w:r w:rsidR="003D55CE" w:rsidRPr="003D55CE">
              <w:rPr>
                <w:rFonts w:ascii="Times New Roman" w:hAnsi="Times New Roman" w:cs="Times New Roman"/>
                <w:sz w:val="20"/>
                <w:szCs w:val="20"/>
              </w:rPr>
              <w:t xml:space="preserve"> </w:t>
            </w:r>
            <w:r w:rsidR="005D0B46">
              <w:rPr>
                <w:rFonts w:ascii="Times New Roman" w:hAnsi="Times New Roman" w:cs="Times New Roman"/>
                <w:sz w:val="20"/>
                <w:szCs w:val="20"/>
              </w:rPr>
              <w:t>priedas</w:t>
            </w:r>
            <w:r w:rsidR="003D55CE" w:rsidRPr="003D55CE">
              <w:rPr>
                <w:rFonts w:ascii="Times New Roman" w:hAnsi="Times New Roman" w:cs="Times New Roman"/>
                <w:sz w:val="20"/>
                <w:szCs w:val="20"/>
              </w:rPr>
              <w:t xml:space="preserve"> </w:t>
            </w:r>
            <w:r w:rsidR="00E24A4A">
              <w:rPr>
                <w:rFonts w:ascii="Times New Roman" w:hAnsi="Times New Roman" w:cs="Times New Roman"/>
                <w:sz w:val="20"/>
                <w:szCs w:val="20"/>
              </w:rPr>
              <w:t xml:space="preserve">– </w:t>
            </w:r>
            <w:r w:rsidR="003D55CE" w:rsidRPr="003D55CE">
              <w:rPr>
                <w:rFonts w:ascii="Times New Roman" w:hAnsi="Times New Roman" w:cs="Times New Roman"/>
                <w:sz w:val="20"/>
                <w:szCs w:val="20"/>
              </w:rPr>
              <w:t xml:space="preserve">nustatant pastoviosios </w:t>
            </w:r>
            <w:r w:rsidR="003D55CE">
              <w:rPr>
                <w:rFonts w:ascii="Times New Roman" w:hAnsi="Times New Roman" w:cs="Times New Roman"/>
                <w:sz w:val="20"/>
                <w:szCs w:val="20"/>
              </w:rPr>
              <w:t>dalies koefi</w:t>
            </w:r>
            <w:r w:rsidR="003D55CE" w:rsidRPr="003D55CE">
              <w:rPr>
                <w:rFonts w:ascii="Times New Roman" w:hAnsi="Times New Roman" w:cs="Times New Roman"/>
                <w:sz w:val="20"/>
                <w:szCs w:val="20"/>
              </w:rPr>
              <w:t>cientus atsižvelgiama į įstaigos grupę (pareigybių skaičių), vadovaujamo darbo patirtį</w:t>
            </w:r>
            <w:r w:rsidR="00705B7D">
              <w:rPr>
                <w:rFonts w:ascii="Times New Roman" w:hAnsi="Times New Roman" w:cs="Times New Roman"/>
                <w:sz w:val="20"/>
                <w:szCs w:val="20"/>
              </w:rPr>
              <w:t xml:space="preserve"> bei į veiklos sudėtingumą, </w:t>
            </w:r>
            <w:r w:rsidR="00E5717F">
              <w:rPr>
                <w:rFonts w:ascii="Times New Roman" w:hAnsi="Times New Roman" w:cs="Times New Roman"/>
                <w:sz w:val="20"/>
                <w:szCs w:val="20"/>
              </w:rPr>
              <w:t xml:space="preserve">visiems įstaigų vadovams </w:t>
            </w:r>
            <w:r w:rsidR="00B35146">
              <w:rPr>
                <w:rFonts w:ascii="Times New Roman" w:hAnsi="Times New Roman" w:cs="Times New Roman"/>
                <w:sz w:val="20"/>
                <w:szCs w:val="20"/>
              </w:rPr>
              <w:t>8.8 punkte numatyti</w:t>
            </w:r>
            <w:r w:rsidR="00EF0FE4">
              <w:rPr>
                <w:rFonts w:ascii="Times New Roman" w:hAnsi="Times New Roman" w:cs="Times New Roman"/>
                <w:sz w:val="20"/>
                <w:szCs w:val="20"/>
              </w:rPr>
              <w:t xml:space="preserve"> konkretūs</w:t>
            </w:r>
            <w:r w:rsidR="00E24A4A">
              <w:rPr>
                <w:rFonts w:ascii="Times New Roman" w:hAnsi="Times New Roman" w:cs="Times New Roman"/>
                <w:sz w:val="20"/>
                <w:szCs w:val="20"/>
              </w:rPr>
              <w:t xml:space="preserve"> objektyvūs </w:t>
            </w:r>
            <w:r w:rsidR="00B35146">
              <w:rPr>
                <w:rFonts w:ascii="Times New Roman" w:hAnsi="Times New Roman" w:cs="Times New Roman"/>
                <w:sz w:val="20"/>
                <w:szCs w:val="20"/>
              </w:rPr>
              <w:t>atvejai, kai</w:t>
            </w:r>
            <w:r w:rsidR="005D0B46">
              <w:rPr>
                <w:rFonts w:ascii="Times New Roman" w:hAnsi="Times New Roman" w:cs="Times New Roman"/>
                <w:sz w:val="20"/>
                <w:szCs w:val="20"/>
              </w:rPr>
              <w:t xml:space="preserve"> </w:t>
            </w:r>
            <w:r w:rsidR="00054BFC">
              <w:rPr>
                <w:rFonts w:ascii="Times New Roman" w:hAnsi="Times New Roman" w:cs="Times New Roman"/>
                <w:sz w:val="20"/>
                <w:szCs w:val="20"/>
              </w:rPr>
              <w:t>keičiama pare</w:t>
            </w:r>
            <w:r w:rsidR="00EF0FE4">
              <w:rPr>
                <w:rFonts w:ascii="Times New Roman" w:hAnsi="Times New Roman" w:cs="Times New Roman"/>
                <w:sz w:val="20"/>
                <w:szCs w:val="20"/>
              </w:rPr>
              <w:t>iginės algos pastovioji dalis, 1</w:t>
            </w:r>
            <w:r w:rsidR="00E5717F">
              <w:rPr>
                <w:rFonts w:ascii="Times New Roman" w:hAnsi="Times New Roman" w:cs="Times New Roman"/>
                <w:sz w:val="20"/>
                <w:szCs w:val="20"/>
              </w:rPr>
              <w:t>2</w:t>
            </w:r>
            <w:r w:rsidR="00EF0FE4">
              <w:rPr>
                <w:rFonts w:ascii="Times New Roman" w:hAnsi="Times New Roman" w:cs="Times New Roman"/>
                <w:sz w:val="20"/>
                <w:szCs w:val="20"/>
              </w:rPr>
              <w:t xml:space="preserve"> punkte – konkretūs premijos skyrimo atvejai</w:t>
            </w:r>
            <w:r w:rsidR="00E24A4A">
              <w:rPr>
                <w:rFonts w:ascii="Times New Roman" w:hAnsi="Times New Roman" w:cs="Times New Roman"/>
                <w:sz w:val="20"/>
                <w:szCs w:val="20"/>
              </w:rPr>
              <w:t>, 2</w:t>
            </w:r>
            <w:r w:rsidR="00E5717F">
              <w:rPr>
                <w:rFonts w:ascii="Times New Roman" w:hAnsi="Times New Roman" w:cs="Times New Roman"/>
                <w:sz w:val="20"/>
                <w:szCs w:val="20"/>
              </w:rPr>
              <w:t>3</w:t>
            </w:r>
            <w:r w:rsidR="00E24A4A">
              <w:rPr>
                <w:rFonts w:ascii="Times New Roman" w:hAnsi="Times New Roman" w:cs="Times New Roman"/>
                <w:sz w:val="20"/>
                <w:szCs w:val="20"/>
              </w:rPr>
              <w:t xml:space="preserve"> p</w:t>
            </w:r>
            <w:r w:rsidR="004413B0">
              <w:rPr>
                <w:rFonts w:ascii="Times New Roman" w:hAnsi="Times New Roman" w:cs="Times New Roman"/>
                <w:sz w:val="20"/>
                <w:szCs w:val="20"/>
              </w:rPr>
              <w:t>unkte</w:t>
            </w:r>
            <w:r w:rsidR="00E24A4A">
              <w:rPr>
                <w:rFonts w:ascii="Times New Roman" w:hAnsi="Times New Roman" w:cs="Times New Roman"/>
                <w:sz w:val="20"/>
                <w:szCs w:val="20"/>
              </w:rPr>
              <w:t xml:space="preserve"> – veiklos vertinimo atvejai</w:t>
            </w:r>
            <w:r w:rsidR="00EF0FE4">
              <w:rPr>
                <w:rFonts w:ascii="Times New Roman" w:hAnsi="Times New Roman" w:cs="Times New Roman"/>
                <w:sz w:val="20"/>
                <w:szCs w:val="20"/>
              </w:rPr>
              <w:t xml:space="preserve"> ir kt.</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484AEA" w:rsidRPr="003D55CE" w:rsidRDefault="00484AEA" w:rsidP="00C44749">
            <w:pPr>
              <w:spacing w:after="0" w:line="240" w:lineRule="auto"/>
              <w:rPr>
                <w:rFonts w:ascii="Times New Roman" w:hAnsi="Times New Roman" w:cs="Times New Roman"/>
                <w:sz w:val="20"/>
                <w:szCs w:val="20"/>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xml:space="preserve">X tenkina </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netenkina</w:t>
            </w:r>
          </w:p>
          <w:p w:rsidR="00484AEA" w:rsidRPr="00DA066F" w:rsidRDefault="00484AEA" w:rsidP="00C44749">
            <w:pPr>
              <w:spacing w:after="0" w:line="240" w:lineRule="auto"/>
              <w:rPr>
                <w:rFonts w:ascii="Times New Roman" w:hAnsi="Times New Roman" w:cs="Times New Roman"/>
                <w:sz w:val="24"/>
                <w:szCs w:val="24"/>
              </w:rPr>
            </w:pPr>
          </w:p>
        </w:tc>
      </w:tr>
    </w:tbl>
    <w:p w:rsidR="00484AEA" w:rsidRPr="00DA066F" w:rsidRDefault="00484AEA" w:rsidP="00484AEA">
      <w:pPr>
        <w:spacing w:after="0" w:line="240" w:lineRule="auto"/>
        <w:rPr>
          <w:rFonts w:ascii="Times New Roman" w:hAnsi="Times New Roman" w:cs="Times New Roman"/>
          <w:sz w:val="24"/>
          <w:szCs w:val="24"/>
        </w:rPr>
      </w:pPr>
      <w:r w:rsidRPr="00DA066F">
        <w:rPr>
          <w:rFonts w:ascii="Times New Roman" w:hAnsi="Times New Roman" w:cs="Times New Roman"/>
          <w:sz w:val="24"/>
          <w:szCs w:val="24"/>
          <w:vertAlign w:val="superscript"/>
        </w:rPr>
        <w:t>1</w:t>
      </w:r>
      <w:r w:rsidRPr="00DA066F">
        <w:rPr>
          <w:rFonts w:ascii="Times New Roman" w:hAnsi="Times New Roman" w:cs="Times New Roman"/>
          <w:sz w:val="24"/>
          <w:szCs w:val="24"/>
        </w:rPr>
        <w:tab/>
        <w:t>Jeigu tas pats kriterijus taikomas kelioms teisės akto projekto nuostatoms, nurodyti ir konkrečias teisės akto projekto nuostatas, dėl kurių galima korupcijos rizika nepašalinta ar</w:t>
      </w:r>
      <w:r w:rsidR="00E7264E">
        <w:rPr>
          <w:rFonts w:ascii="Times New Roman" w:hAnsi="Times New Roman" w:cs="Times New Roman"/>
          <w:sz w:val="24"/>
          <w:szCs w:val="24"/>
        </w:rPr>
        <w:t xml:space="preserve"> </w:t>
      </w:r>
      <w:r w:rsidRPr="00DA066F">
        <w:rPr>
          <w:rFonts w:ascii="Times New Roman" w:hAnsi="Times New Roman" w:cs="Times New Roman"/>
          <w:sz w:val="24"/>
          <w:szCs w:val="24"/>
        </w:rPr>
        <w:t>kuriai valdyti teisės akto projekte nenumatyta priemonių.</w:t>
      </w:r>
    </w:p>
    <w:p w:rsidR="00484AEA" w:rsidRPr="00DA066F" w:rsidRDefault="00484AEA" w:rsidP="00484AEA">
      <w:pPr>
        <w:spacing w:after="0" w:line="240" w:lineRule="auto"/>
        <w:rPr>
          <w:rFonts w:ascii="Times New Roman" w:hAnsi="Times New Roman" w:cs="Times New Roman"/>
          <w:sz w:val="24"/>
          <w:szCs w:val="24"/>
        </w:rPr>
      </w:pPr>
      <w:r w:rsidRPr="00DA066F">
        <w:rPr>
          <w:rFonts w:ascii="Times New Roman" w:hAnsi="Times New Roman" w:cs="Times New Roman"/>
          <w:sz w:val="24"/>
          <w:szCs w:val="24"/>
          <w:vertAlign w:val="superscript"/>
        </w:rPr>
        <w:t>2</w:t>
      </w:r>
      <w:r w:rsidRPr="00DA066F">
        <w:rPr>
          <w:rFonts w:ascii="Times New Roman" w:hAnsi="Times New Roman" w:cs="Times New Roman"/>
          <w:sz w:val="24"/>
          <w:szCs w:val="24"/>
        </w:rPr>
        <w:tab/>
        <w:t>Tas pat.</w:t>
      </w:r>
    </w:p>
    <w:tbl>
      <w:tblPr>
        <w:tblW w:w="14553" w:type="dxa"/>
        <w:tblInd w:w="40" w:type="dxa"/>
        <w:tblLayout w:type="fixed"/>
        <w:tblCellMar>
          <w:left w:w="40" w:type="dxa"/>
          <w:right w:w="40" w:type="dxa"/>
        </w:tblCellMar>
        <w:tblLook w:val="0000" w:firstRow="0" w:lastRow="0" w:firstColumn="0" w:lastColumn="0" w:noHBand="0" w:noVBand="0"/>
      </w:tblPr>
      <w:tblGrid>
        <w:gridCol w:w="715"/>
        <w:gridCol w:w="3065"/>
        <w:gridCol w:w="6520"/>
        <w:gridCol w:w="2835"/>
        <w:gridCol w:w="1418"/>
      </w:tblGrid>
      <w:tr w:rsidR="00484AEA" w:rsidRPr="00DA066F" w:rsidTr="00EF0FE4">
        <w:trPr>
          <w:trHeight w:hRule="exact" w:val="129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lastRenderedPageBreak/>
              <w:t>2.</w:t>
            </w:r>
          </w:p>
        </w:tc>
        <w:tc>
          <w:tcPr>
            <w:tcW w:w="306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291A19">
            <w:pPr>
              <w:spacing w:after="0" w:line="240" w:lineRule="auto"/>
              <w:jc w:val="both"/>
              <w:rPr>
                <w:rFonts w:ascii="Times New Roman" w:hAnsi="Times New Roman" w:cs="Times New Roman"/>
                <w:sz w:val="24"/>
                <w:szCs w:val="24"/>
              </w:rPr>
            </w:pPr>
            <w:r w:rsidRPr="00DA066F">
              <w:rPr>
                <w:rFonts w:ascii="Times New Roman" w:hAnsi="Times New Roman" w:cs="Times New Roman"/>
                <w:sz w:val="24"/>
                <w:szCs w:val="24"/>
              </w:rPr>
              <w:t>Teisės akto projekte nėra spragų ar nuostatų, leisiančių dviprasmiškai aiškinti ir taikyti teisės aktą</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rsidR="00484AEA" w:rsidRPr="00EF0FE4" w:rsidRDefault="00484AEA" w:rsidP="00291A19">
            <w:pPr>
              <w:spacing w:after="0" w:line="240" w:lineRule="auto"/>
              <w:jc w:val="both"/>
              <w:rPr>
                <w:rFonts w:ascii="Times New Roman" w:hAnsi="Times New Roman" w:cs="Times New Roman"/>
                <w:sz w:val="20"/>
                <w:szCs w:val="20"/>
              </w:rPr>
            </w:pPr>
            <w:r w:rsidRPr="00EF0FE4">
              <w:rPr>
                <w:rFonts w:ascii="Times New Roman" w:hAnsi="Times New Roman" w:cs="Times New Roman"/>
                <w:sz w:val="20"/>
                <w:szCs w:val="20"/>
              </w:rPr>
              <w:t xml:space="preserve">Teisės akto projekto nuostatos suformuotos aiškiai, nedviprasmiškai ir atitinka Lietuvos </w:t>
            </w:r>
            <w:r w:rsidR="00BB34E9" w:rsidRPr="00EF0FE4">
              <w:rPr>
                <w:rFonts w:ascii="Times New Roman" w:hAnsi="Times New Roman" w:cs="Times New Roman"/>
                <w:sz w:val="20"/>
                <w:szCs w:val="20"/>
              </w:rPr>
              <w:t>Respublikos valstybės ir savivaldybių įstaigų darb</w:t>
            </w:r>
            <w:r w:rsidR="003D55CE" w:rsidRPr="00EF0FE4">
              <w:rPr>
                <w:rFonts w:ascii="Times New Roman" w:hAnsi="Times New Roman" w:cs="Times New Roman"/>
                <w:sz w:val="20"/>
                <w:szCs w:val="20"/>
              </w:rPr>
              <w:t xml:space="preserve">uotojų darbo apmokėjimo </w:t>
            </w:r>
            <w:r w:rsidR="00291A19">
              <w:rPr>
                <w:rFonts w:ascii="Times New Roman" w:hAnsi="Times New Roman" w:cs="Times New Roman"/>
                <w:sz w:val="20"/>
                <w:szCs w:val="20"/>
              </w:rPr>
              <w:t xml:space="preserve">ir komisijų narių atlygio už darbą </w:t>
            </w:r>
            <w:r w:rsidR="003D55CE" w:rsidRPr="00EF0FE4">
              <w:rPr>
                <w:rFonts w:ascii="Times New Roman" w:hAnsi="Times New Roman" w:cs="Times New Roman"/>
                <w:sz w:val="20"/>
                <w:szCs w:val="20"/>
              </w:rPr>
              <w:t>įstatymo nuostatas.</w:t>
            </w:r>
            <w:r w:rsidR="00BB34E9" w:rsidRPr="00EF0FE4">
              <w:rPr>
                <w:rFonts w:ascii="Times New Roman" w:hAnsi="Times New Roman" w:cs="Times New Roman"/>
                <w:sz w:val="20"/>
                <w:szCs w:val="20"/>
              </w:rPr>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xml:space="preserve">X tenkina </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netenkina</w:t>
            </w:r>
          </w:p>
        </w:tc>
      </w:tr>
      <w:tr w:rsidR="00484AEA" w:rsidRPr="00DA066F" w:rsidTr="00EF0FE4">
        <w:trPr>
          <w:trHeight w:hRule="exact" w:val="2560"/>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3.</w:t>
            </w:r>
          </w:p>
        </w:tc>
        <w:tc>
          <w:tcPr>
            <w:tcW w:w="306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291A19">
            <w:pPr>
              <w:spacing w:after="0" w:line="240" w:lineRule="auto"/>
              <w:jc w:val="both"/>
              <w:rPr>
                <w:rFonts w:ascii="Times New Roman" w:hAnsi="Times New Roman" w:cs="Times New Roman"/>
                <w:sz w:val="24"/>
                <w:szCs w:val="24"/>
              </w:rPr>
            </w:pPr>
            <w:r w:rsidRPr="00DA066F">
              <w:rPr>
                <w:rFonts w:ascii="Times New Roman" w:hAnsi="Times New Roman" w:cs="Times New Roman"/>
                <w:sz w:val="24"/>
                <w:szCs w:val="24"/>
              </w:rPr>
              <w:t>Teisės akto projekte nustatyta, kad sprendimą dėl teisių suteikimo, apribojimų nustatymo, sankcijų taikymo ir panašiai priimantis subjektas atskirtas nuo šių sprendimų teisėtumą ir Įgyvendinimą kontroliuojančio (prižiūrinčio) subjekto</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rsidR="00EF0FE4" w:rsidRPr="00EF0FE4" w:rsidRDefault="00BF30A9" w:rsidP="00983F5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Teisės akto projekte nustatyta</w:t>
            </w:r>
            <w:r w:rsidR="00EF0FE4" w:rsidRPr="00EF0FE4">
              <w:rPr>
                <w:rFonts w:ascii="Times New Roman" w:hAnsi="Times New Roman" w:cs="Times New Roman"/>
                <w:sz w:val="20"/>
                <w:szCs w:val="20"/>
              </w:rPr>
              <w:t>, kad sprendimus dėl pastoviosios, kintamosios algos dalies nustatymo, dėl priemokų, premijų, materialinių pašalpų skyrimo</w:t>
            </w:r>
            <w:r>
              <w:rPr>
                <w:rFonts w:ascii="Times New Roman" w:hAnsi="Times New Roman" w:cs="Times New Roman"/>
                <w:sz w:val="20"/>
                <w:szCs w:val="20"/>
              </w:rPr>
              <w:t xml:space="preserve">, komandiravimo, pavadavimo </w:t>
            </w:r>
            <w:r w:rsidR="00983F56">
              <w:rPr>
                <w:rFonts w:ascii="Times New Roman" w:hAnsi="Times New Roman" w:cs="Times New Roman"/>
                <w:sz w:val="20"/>
                <w:szCs w:val="20"/>
              </w:rPr>
              <w:t>ir kt.</w:t>
            </w:r>
            <w:r>
              <w:rPr>
                <w:rFonts w:ascii="Times New Roman" w:hAnsi="Times New Roman" w:cs="Times New Roman"/>
                <w:sz w:val="20"/>
                <w:szCs w:val="20"/>
              </w:rPr>
              <w:t xml:space="preserve">, taip pat atleidimo iš pareigų, jei biudžetinės įstaigos vadovo metinė veikla įvertinama nepatenkinamai 2 metus iš eilės, išskyrus švietimo įstaigos vadovą, kurį </w:t>
            </w:r>
            <w:r w:rsidR="008D6036">
              <w:rPr>
                <w:rFonts w:ascii="Times New Roman" w:hAnsi="Times New Roman" w:cs="Times New Roman"/>
                <w:sz w:val="20"/>
                <w:szCs w:val="20"/>
              </w:rPr>
              <w:t xml:space="preserve">esant tokiai situacijai </w:t>
            </w:r>
            <w:r w:rsidR="007B7604">
              <w:rPr>
                <w:rFonts w:ascii="Times New Roman" w:hAnsi="Times New Roman" w:cs="Times New Roman"/>
                <w:sz w:val="20"/>
                <w:szCs w:val="20"/>
              </w:rPr>
              <w:t>i</w:t>
            </w:r>
            <w:r>
              <w:rPr>
                <w:rFonts w:ascii="Times New Roman" w:hAnsi="Times New Roman" w:cs="Times New Roman"/>
                <w:sz w:val="20"/>
                <w:szCs w:val="20"/>
              </w:rPr>
              <w:t xml:space="preserve">š pareigų atleidžia Savivaldybės taryba (24 p.), </w:t>
            </w:r>
            <w:r w:rsidR="00EF0FE4" w:rsidRPr="00EF0FE4">
              <w:rPr>
                <w:rFonts w:ascii="Times New Roman" w:hAnsi="Times New Roman" w:cs="Times New Roman"/>
                <w:sz w:val="20"/>
                <w:szCs w:val="20"/>
              </w:rPr>
              <w:t>priima Savivaldybės meras</w:t>
            </w:r>
            <w:r>
              <w:rPr>
                <w:rFonts w:ascii="Times New Roman" w:hAnsi="Times New Roman" w:cs="Times New Roman"/>
                <w:sz w:val="20"/>
                <w:szCs w:val="20"/>
              </w:rPr>
              <w:t xml:space="preserve"> (</w:t>
            </w:r>
            <w:r w:rsidR="00EF0FE4" w:rsidRPr="00EF0FE4">
              <w:rPr>
                <w:rFonts w:ascii="Times New Roman" w:hAnsi="Times New Roman" w:cs="Times New Roman"/>
                <w:sz w:val="20"/>
                <w:szCs w:val="20"/>
              </w:rPr>
              <w:t>8.</w:t>
            </w:r>
            <w:r w:rsidR="00281B3C">
              <w:rPr>
                <w:rFonts w:ascii="Times New Roman" w:hAnsi="Times New Roman" w:cs="Times New Roman"/>
                <w:sz w:val="20"/>
                <w:szCs w:val="20"/>
              </w:rPr>
              <w:t>10; 9.</w:t>
            </w:r>
            <w:r w:rsidR="00291A19">
              <w:rPr>
                <w:rFonts w:ascii="Times New Roman" w:hAnsi="Times New Roman" w:cs="Times New Roman"/>
                <w:sz w:val="20"/>
                <w:szCs w:val="20"/>
              </w:rPr>
              <w:t>5</w:t>
            </w:r>
            <w:r w:rsidR="00281B3C">
              <w:rPr>
                <w:rFonts w:ascii="Times New Roman" w:hAnsi="Times New Roman" w:cs="Times New Roman"/>
                <w:sz w:val="20"/>
                <w:szCs w:val="20"/>
              </w:rPr>
              <w:t>; 1</w:t>
            </w:r>
            <w:r w:rsidR="00EF0FE4" w:rsidRPr="00EF0FE4">
              <w:rPr>
                <w:rFonts w:ascii="Times New Roman" w:hAnsi="Times New Roman" w:cs="Times New Roman"/>
                <w:sz w:val="20"/>
                <w:szCs w:val="20"/>
              </w:rPr>
              <w:t>0.4, 1</w:t>
            </w:r>
            <w:r w:rsidR="00281B3C">
              <w:rPr>
                <w:rFonts w:ascii="Times New Roman" w:hAnsi="Times New Roman" w:cs="Times New Roman"/>
                <w:sz w:val="20"/>
                <w:szCs w:val="20"/>
              </w:rPr>
              <w:t>2.4; 13.3</w:t>
            </w:r>
            <w:r w:rsidR="007C752C">
              <w:rPr>
                <w:rFonts w:ascii="Times New Roman" w:hAnsi="Times New Roman" w:cs="Times New Roman"/>
                <w:sz w:val="20"/>
                <w:szCs w:val="20"/>
              </w:rPr>
              <w:t xml:space="preserve">, </w:t>
            </w:r>
            <w:r>
              <w:rPr>
                <w:rFonts w:ascii="Times New Roman" w:hAnsi="Times New Roman" w:cs="Times New Roman"/>
                <w:sz w:val="20"/>
                <w:szCs w:val="20"/>
              </w:rPr>
              <w:t xml:space="preserve">24, </w:t>
            </w:r>
            <w:r w:rsidR="007C752C">
              <w:rPr>
                <w:rFonts w:ascii="Times New Roman" w:hAnsi="Times New Roman" w:cs="Times New Roman"/>
                <w:sz w:val="20"/>
                <w:szCs w:val="20"/>
              </w:rPr>
              <w:t xml:space="preserve">31, 34, </w:t>
            </w:r>
            <w:r w:rsidR="008D6036">
              <w:rPr>
                <w:rFonts w:ascii="Times New Roman" w:hAnsi="Times New Roman" w:cs="Times New Roman"/>
                <w:sz w:val="20"/>
                <w:szCs w:val="20"/>
              </w:rPr>
              <w:t xml:space="preserve">36, </w:t>
            </w:r>
            <w:r w:rsidR="007C752C">
              <w:rPr>
                <w:rFonts w:ascii="Times New Roman" w:hAnsi="Times New Roman" w:cs="Times New Roman"/>
                <w:sz w:val="20"/>
                <w:szCs w:val="20"/>
              </w:rPr>
              <w:t>37</w:t>
            </w:r>
            <w:r w:rsidR="008D6036">
              <w:rPr>
                <w:rFonts w:ascii="Times New Roman" w:hAnsi="Times New Roman" w:cs="Times New Roman"/>
                <w:sz w:val="20"/>
                <w:szCs w:val="20"/>
              </w:rPr>
              <w:t xml:space="preserve"> </w:t>
            </w:r>
            <w:r w:rsidR="00EF0FE4" w:rsidRPr="00EF0FE4">
              <w:rPr>
                <w:rFonts w:ascii="Times New Roman" w:hAnsi="Times New Roman" w:cs="Times New Roman"/>
                <w:sz w:val="20"/>
                <w:szCs w:val="20"/>
              </w:rPr>
              <w:t>p</w:t>
            </w:r>
            <w:r w:rsidR="00DA3CB3">
              <w:rPr>
                <w:rFonts w:ascii="Times New Roman" w:hAnsi="Times New Roman" w:cs="Times New Roman"/>
                <w:sz w:val="20"/>
                <w:szCs w:val="20"/>
              </w:rPr>
              <w:t>.</w:t>
            </w:r>
            <w:r>
              <w:rPr>
                <w:rFonts w:ascii="Times New Roman" w:hAnsi="Times New Roman" w:cs="Times New Roman"/>
                <w:sz w:val="20"/>
                <w:szCs w:val="20"/>
              </w:rPr>
              <w:t>)</w:t>
            </w:r>
            <w:r w:rsidR="00EF0FE4" w:rsidRPr="00EF0FE4">
              <w:rPr>
                <w:rFonts w:ascii="Times New Roman" w:hAnsi="Times New Roman" w:cs="Times New Roman"/>
                <w:sz w:val="20"/>
                <w:szCs w:val="20"/>
              </w:rPr>
              <w:t>.</w:t>
            </w:r>
            <w:r w:rsidR="00EF0FE4">
              <w:rPr>
                <w:rFonts w:ascii="Times New Roman" w:hAnsi="Times New Roman" w:cs="Times New Roman"/>
                <w:sz w:val="20"/>
                <w:szCs w:val="20"/>
              </w:rPr>
              <w:t xml:space="preserve"> </w:t>
            </w:r>
            <w:r w:rsidR="00EF0FE4" w:rsidRPr="00EF0FE4">
              <w:rPr>
                <w:rFonts w:ascii="Times New Roman" w:hAnsi="Times New Roman" w:cs="Times New Roman"/>
                <w:sz w:val="20"/>
                <w:szCs w:val="20"/>
              </w:rPr>
              <w:t>Kontroliuojantis (prižiūrintis) subjektas</w:t>
            </w:r>
            <w:r w:rsidR="00EF0FE4">
              <w:rPr>
                <w:rFonts w:ascii="Times New Roman" w:hAnsi="Times New Roman" w:cs="Times New Roman"/>
                <w:sz w:val="20"/>
                <w:szCs w:val="20"/>
              </w:rPr>
              <w:t xml:space="preserve"> </w:t>
            </w:r>
            <w:r w:rsidR="008D6036">
              <w:rPr>
                <w:rFonts w:ascii="Times New Roman" w:hAnsi="Times New Roman" w:cs="Times New Roman"/>
                <w:sz w:val="20"/>
                <w:szCs w:val="20"/>
              </w:rPr>
              <w:t xml:space="preserve">teisės akto projekte </w:t>
            </w:r>
            <w:r w:rsidR="00EF0FE4">
              <w:rPr>
                <w:rFonts w:ascii="Times New Roman" w:hAnsi="Times New Roman" w:cs="Times New Roman"/>
                <w:sz w:val="20"/>
                <w:szCs w:val="20"/>
              </w:rPr>
              <w:t>nėra nustatytas,</w:t>
            </w:r>
            <w:r w:rsidR="00EF0FE4" w:rsidRPr="00EF0FE4">
              <w:rPr>
                <w:rFonts w:ascii="Times New Roman" w:hAnsi="Times New Roman" w:cs="Times New Roman"/>
                <w:sz w:val="20"/>
                <w:szCs w:val="20"/>
              </w:rPr>
              <w:t xml:space="preserve"> tačiau kontrolę pagal Lietuvos Respublikos vietos savivaldos įstatymą ir kitus teisės aktus atlieka </w:t>
            </w:r>
            <w:r w:rsidR="00EF0FE4">
              <w:rPr>
                <w:rFonts w:ascii="Times New Roman" w:hAnsi="Times New Roman" w:cs="Times New Roman"/>
                <w:sz w:val="20"/>
                <w:szCs w:val="20"/>
              </w:rPr>
              <w:t>Savivaldybės kontrolės ir audit</w:t>
            </w:r>
            <w:r w:rsidR="00EF0FE4" w:rsidRPr="00EF0FE4">
              <w:rPr>
                <w:rFonts w:ascii="Times New Roman" w:hAnsi="Times New Roman" w:cs="Times New Roman"/>
                <w:sz w:val="20"/>
                <w:szCs w:val="20"/>
              </w:rPr>
              <w:t>o tarnyba</w:t>
            </w:r>
            <w:r w:rsidR="00EF0FE4">
              <w:rPr>
                <w:rFonts w:ascii="Times New Roman" w:hAnsi="Times New Roman" w:cs="Times New Roman"/>
                <w:sz w:val="20"/>
                <w:szCs w:val="20"/>
              </w:rPr>
              <w:t>.</w:t>
            </w:r>
          </w:p>
          <w:p w:rsidR="00484AEA" w:rsidRPr="00DA066F" w:rsidRDefault="00484AEA" w:rsidP="00C44749">
            <w:pPr>
              <w:spacing w:after="0" w:line="240" w:lineRule="auto"/>
              <w:rPr>
                <w:rFonts w:ascii="Times New Roman" w:hAnsi="Times New Roman" w:cs="Times New Roman"/>
                <w:sz w:val="24"/>
                <w:szCs w:val="24"/>
              </w:rP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xml:space="preserve">X tenkina </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netenkina</w:t>
            </w:r>
          </w:p>
        </w:tc>
      </w:tr>
      <w:tr w:rsidR="00484AEA" w:rsidRPr="00DA066F" w:rsidTr="00805A49">
        <w:trPr>
          <w:trHeight w:hRule="exact" w:val="112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4.</w:t>
            </w:r>
          </w:p>
        </w:tc>
        <w:tc>
          <w:tcPr>
            <w:tcW w:w="306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Teisės akto projekte nustatyti subjekto įgaliojimai (teisės) atitinka subjekto atliekamas funkcijas (pareigas)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7B7604" w:rsidP="007B7604">
            <w:pPr>
              <w:spacing w:after="0" w:line="240" w:lineRule="auto"/>
              <w:jc w:val="both"/>
              <w:rPr>
                <w:rFonts w:ascii="Times New Roman" w:hAnsi="Times New Roman" w:cs="Times New Roman"/>
                <w:sz w:val="24"/>
                <w:szCs w:val="24"/>
              </w:rPr>
            </w:pPr>
            <w:r>
              <w:rPr>
                <w:rFonts w:ascii="Times New Roman" w:hAnsi="Times New Roman" w:cs="Times New Roman"/>
                <w:sz w:val="20"/>
                <w:szCs w:val="20"/>
              </w:rPr>
              <w:t xml:space="preserve">Atitinka.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xml:space="preserve">X tenkina </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netenkina</w:t>
            </w:r>
          </w:p>
        </w:tc>
      </w:tr>
      <w:tr w:rsidR="00484AEA" w:rsidRPr="00DA066F" w:rsidTr="00B04249">
        <w:trPr>
          <w:trHeight w:hRule="exact" w:val="1277"/>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5.</w:t>
            </w:r>
          </w:p>
        </w:tc>
        <w:tc>
          <w:tcPr>
            <w:tcW w:w="306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3566F3">
            <w:pPr>
              <w:spacing w:after="0" w:line="240" w:lineRule="auto"/>
              <w:jc w:val="both"/>
              <w:rPr>
                <w:rFonts w:ascii="Times New Roman" w:hAnsi="Times New Roman" w:cs="Times New Roman"/>
                <w:sz w:val="24"/>
                <w:szCs w:val="24"/>
              </w:rPr>
            </w:pPr>
            <w:r w:rsidRPr="00DA066F">
              <w:rPr>
                <w:rFonts w:ascii="Times New Roman" w:hAnsi="Times New Roman" w:cs="Times New Roman"/>
                <w:sz w:val="24"/>
                <w:szCs w:val="24"/>
              </w:rPr>
              <w:t>Teisės akto projekte nustatytas baigtinis sprendimo priėmimo kriterijų (atvejų) sąrašas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rsidR="00484AEA" w:rsidRPr="00805A49" w:rsidRDefault="00484AEA" w:rsidP="00D45156">
            <w:pPr>
              <w:spacing w:after="0" w:line="240" w:lineRule="auto"/>
              <w:jc w:val="both"/>
              <w:rPr>
                <w:rFonts w:ascii="Times New Roman" w:hAnsi="Times New Roman" w:cs="Times New Roman"/>
                <w:sz w:val="20"/>
                <w:szCs w:val="20"/>
              </w:rPr>
            </w:pPr>
            <w:r w:rsidRPr="00805A49">
              <w:rPr>
                <w:rFonts w:ascii="Times New Roman" w:hAnsi="Times New Roman" w:cs="Times New Roman"/>
                <w:sz w:val="20"/>
                <w:szCs w:val="20"/>
              </w:rPr>
              <w:t>Taip</w:t>
            </w:r>
            <w:r w:rsidR="00D0636D">
              <w:rPr>
                <w:rFonts w:ascii="Times New Roman" w:hAnsi="Times New Roman" w:cs="Times New Roman"/>
                <w:sz w:val="20"/>
                <w:szCs w:val="20"/>
              </w:rPr>
              <w:t>, n</w:t>
            </w:r>
            <w:r w:rsidRPr="00805A49">
              <w:rPr>
                <w:rFonts w:ascii="Times New Roman" w:hAnsi="Times New Roman" w:cs="Times New Roman"/>
                <w:sz w:val="20"/>
                <w:szCs w:val="20"/>
              </w:rPr>
              <w:t>ustatyt</w:t>
            </w:r>
            <w:r w:rsidR="00E24A4A">
              <w:rPr>
                <w:rFonts w:ascii="Times New Roman" w:hAnsi="Times New Roman" w:cs="Times New Roman"/>
                <w:sz w:val="20"/>
                <w:szCs w:val="20"/>
              </w:rPr>
              <w:t>as</w:t>
            </w:r>
            <w:r w:rsidRPr="00805A49">
              <w:rPr>
                <w:rFonts w:ascii="Times New Roman" w:hAnsi="Times New Roman" w:cs="Times New Roman"/>
                <w:sz w:val="20"/>
                <w:szCs w:val="20"/>
              </w:rPr>
              <w:t xml:space="preserve"> baigtinis sąrašas atvejų</w:t>
            </w:r>
            <w:r w:rsidR="00291A19">
              <w:rPr>
                <w:rFonts w:ascii="Times New Roman" w:hAnsi="Times New Roman" w:cs="Times New Roman"/>
                <w:sz w:val="20"/>
                <w:szCs w:val="20"/>
              </w:rPr>
              <w:t xml:space="preserve">, kada įstaigos vadovams gali būti mokamos priemokos </w:t>
            </w:r>
            <w:r w:rsidR="00805A49" w:rsidRPr="00805A49">
              <w:rPr>
                <w:rFonts w:ascii="Times New Roman" w:hAnsi="Times New Roman" w:cs="Times New Roman"/>
                <w:sz w:val="20"/>
                <w:szCs w:val="20"/>
              </w:rPr>
              <w:t>(1</w:t>
            </w:r>
            <w:r w:rsidR="00281B3C">
              <w:rPr>
                <w:rFonts w:ascii="Times New Roman" w:hAnsi="Times New Roman" w:cs="Times New Roman"/>
                <w:sz w:val="20"/>
                <w:szCs w:val="20"/>
              </w:rPr>
              <w:t>0</w:t>
            </w:r>
            <w:r w:rsidR="00805A49" w:rsidRPr="00805A49">
              <w:rPr>
                <w:rFonts w:ascii="Times New Roman" w:hAnsi="Times New Roman" w:cs="Times New Roman"/>
                <w:sz w:val="20"/>
                <w:szCs w:val="20"/>
              </w:rPr>
              <w:t xml:space="preserve"> p.),</w:t>
            </w:r>
            <w:r w:rsidR="00291A19">
              <w:rPr>
                <w:rFonts w:ascii="Times New Roman" w:hAnsi="Times New Roman" w:cs="Times New Roman"/>
                <w:sz w:val="20"/>
                <w:szCs w:val="20"/>
              </w:rPr>
              <w:t xml:space="preserve"> </w:t>
            </w:r>
            <w:r w:rsidR="00D45156">
              <w:rPr>
                <w:rFonts w:ascii="Times New Roman" w:hAnsi="Times New Roman" w:cs="Times New Roman"/>
                <w:sz w:val="20"/>
                <w:szCs w:val="20"/>
              </w:rPr>
              <w:t xml:space="preserve">skiriamos premijos </w:t>
            </w:r>
            <w:r w:rsidR="00805A49" w:rsidRPr="00805A49">
              <w:rPr>
                <w:rFonts w:ascii="Times New Roman" w:hAnsi="Times New Roman" w:cs="Times New Roman"/>
                <w:sz w:val="20"/>
                <w:szCs w:val="20"/>
              </w:rPr>
              <w:t>(1</w:t>
            </w:r>
            <w:r w:rsidR="00281B3C">
              <w:rPr>
                <w:rFonts w:ascii="Times New Roman" w:hAnsi="Times New Roman" w:cs="Times New Roman"/>
                <w:sz w:val="20"/>
                <w:szCs w:val="20"/>
              </w:rPr>
              <w:t>2</w:t>
            </w:r>
            <w:r w:rsidR="00D45156">
              <w:rPr>
                <w:rFonts w:ascii="Times New Roman" w:hAnsi="Times New Roman" w:cs="Times New Roman"/>
                <w:sz w:val="20"/>
                <w:szCs w:val="20"/>
              </w:rPr>
              <w:t xml:space="preserve"> </w:t>
            </w:r>
            <w:r w:rsidR="00805A49" w:rsidRPr="00805A49">
              <w:rPr>
                <w:rFonts w:ascii="Times New Roman" w:hAnsi="Times New Roman" w:cs="Times New Roman"/>
                <w:sz w:val="20"/>
                <w:szCs w:val="20"/>
              </w:rPr>
              <w:t>p.), materialin</w:t>
            </w:r>
            <w:r w:rsidR="00D45156">
              <w:rPr>
                <w:rFonts w:ascii="Times New Roman" w:hAnsi="Times New Roman" w:cs="Times New Roman"/>
                <w:sz w:val="20"/>
                <w:szCs w:val="20"/>
              </w:rPr>
              <w:t>ės</w:t>
            </w:r>
            <w:r w:rsidR="00805A49" w:rsidRPr="00805A49">
              <w:rPr>
                <w:rFonts w:ascii="Times New Roman" w:hAnsi="Times New Roman" w:cs="Times New Roman"/>
                <w:sz w:val="20"/>
                <w:szCs w:val="20"/>
              </w:rPr>
              <w:t xml:space="preserve"> pašalp</w:t>
            </w:r>
            <w:r w:rsidR="00D45156">
              <w:rPr>
                <w:rFonts w:ascii="Times New Roman" w:hAnsi="Times New Roman" w:cs="Times New Roman"/>
                <w:sz w:val="20"/>
                <w:szCs w:val="20"/>
              </w:rPr>
              <w:t xml:space="preserve">os </w:t>
            </w:r>
            <w:r w:rsidR="00805A49" w:rsidRPr="00805A49">
              <w:rPr>
                <w:rFonts w:ascii="Times New Roman" w:hAnsi="Times New Roman" w:cs="Times New Roman"/>
                <w:sz w:val="20"/>
                <w:szCs w:val="20"/>
              </w:rPr>
              <w:t>(1</w:t>
            </w:r>
            <w:r w:rsidR="00281B3C">
              <w:rPr>
                <w:rFonts w:ascii="Times New Roman" w:hAnsi="Times New Roman" w:cs="Times New Roman"/>
                <w:sz w:val="20"/>
                <w:szCs w:val="20"/>
              </w:rPr>
              <w:t>3</w:t>
            </w:r>
            <w:r w:rsidR="00805A49" w:rsidRPr="00805A49">
              <w:rPr>
                <w:rFonts w:ascii="Times New Roman" w:hAnsi="Times New Roman" w:cs="Times New Roman"/>
                <w:sz w:val="20"/>
                <w:szCs w:val="20"/>
              </w:rPr>
              <w:t xml:space="preserve"> p.).</w:t>
            </w:r>
            <w:r w:rsidRPr="00805A49">
              <w:rPr>
                <w:rFonts w:ascii="Times New Roman" w:hAnsi="Times New Roman" w:cs="Times New Roman"/>
                <w:sz w:val="20"/>
                <w:szCs w:val="20"/>
              </w:rPr>
              <w:t xml:space="preserve"> </w:t>
            </w:r>
            <w:r w:rsidR="00D45156">
              <w:rPr>
                <w:rFonts w:ascii="Times New Roman" w:hAnsi="Times New Roman" w:cs="Times New Roman"/>
                <w:sz w:val="20"/>
                <w:szCs w:val="20"/>
              </w:rPr>
              <w:t xml:space="preserve">Taip pat numatytas baigtinis sąrašas atvejų, kaip gali būti vertinama biudžetinės įstaigos vadovo praėjusių metų veikla </w:t>
            </w:r>
            <w:r w:rsidR="00B04249">
              <w:rPr>
                <w:rFonts w:ascii="Times New Roman" w:hAnsi="Times New Roman" w:cs="Times New Roman"/>
                <w:sz w:val="20"/>
                <w:szCs w:val="20"/>
              </w:rPr>
              <w:t xml:space="preserve">(labai gerai, gerai, patenkinamai ir nepatenkinamai) </w:t>
            </w:r>
            <w:r w:rsidR="00D45156">
              <w:rPr>
                <w:rFonts w:ascii="Times New Roman" w:hAnsi="Times New Roman" w:cs="Times New Roman"/>
                <w:sz w:val="20"/>
                <w:szCs w:val="20"/>
              </w:rPr>
              <w:t xml:space="preserve">(22 p.).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xml:space="preserve">X tenkina </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netenkina</w:t>
            </w:r>
          </w:p>
        </w:tc>
      </w:tr>
      <w:tr w:rsidR="00484AEA" w:rsidRPr="00DA066F" w:rsidTr="00983F56">
        <w:trPr>
          <w:trHeight w:hRule="exact" w:val="112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6.</w:t>
            </w:r>
          </w:p>
        </w:tc>
        <w:tc>
          <w:tcPr>
            <w:tcW w:w="306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3566F3">
            <w:pPr>
              <w:spacing w:after="0" w:line="240" w:lineRule="auto"/>
              <w:jc w:val="both"/>
              <w:rPr>
                <w:rFonts w:ascii="Times New Roman" w:hAnsi="Times New Roman" w:cs="Times New Roman"/>
                <w:sz w:val="24"/>
                <w:szCs w:val="24"/>
              </w:rPr>
            </w:pPr>
            <w:r w:rsidRPr="00DA066F">
              <w:rPr>
                <w:rFonts w:ascii="Times New Roman" w:hAnsi="Times New Roman" w:cs="Times New Roman"/>
                <w:sz w:val="24"/>
                <w:szCs w:val="24"/>
              </w:rPr>
              <w:t>Teisės akto projekte nustatytas baigtinis sąrašas motyvuotų atvejų, kai priimant sprendimus taikomos išimtys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rsidR="00484AEA" w:rsidRPr="00805A49" w:rsidRDefault="00484AEA" w:rsidP="00C44749">
            <w:pPr>
              <w:spacing w:after="0" w:line="240" w:lineRule="auto"/>
              <w:rPr>
                <w:rFonts w:ascii="Times New Roman" w:hAnsi="Times New Roman" w:cs="Times New Roman"/>
                <w:sz w:val="20"/>
                <w:szCs w:val="20"/>
              </w:rPr>
            </w:pPr>
            <w:r w:rsidRPr="00805A49">
              <w:rPr>
                <w:rFonts w:ascii="Times New Roman" w:hAnsi="Times New Roman" w:cs="Times New Roman"/>
                <w:sz w:val="20"/>
                <w:szCs w:val="20"/>
              </w:rPr>
              <w:t>Priimant sprendimus išimčių taikymas nenumatytas, teisės akto projekte išimčių taikymas neaktualus.</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xml:space="preserve">X tenkina </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netenkina</w:t>
            </w:r>
          </w:p>
        </w:tc>
      </w:tr>
      <w:tr w:rsidR="00484AEA" w:rsidRPr="00DA066F" w:rsidTr="00B04249">
        <w:trPr>
          <w:trHeight w:hRule="exact" w:val="129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7.</w:t>
            </w:r>
          </w:p>
        </w:tc>
        <w:tc>
          <w:tcPr>
            <w:tcW w:w="306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3566F3">
            <w:pPr>
              <w:spacing w:after="0" w:line="240" w:lineRule="auto"/>
              <w:jc w:val="both"/>
              <w:rPr>
                <w:rFonts w:ascii="Times New Roman" w:hAnsi="Times New Roman" w:cs="Times New Roman"/>
                <w:sz w:val="24"/>
                <w:szCs w:val="24"/>
              </w:rPr>
            </w:pPr>
            <w:r w:rsidRPr="00DA066F">
              <w:rPr>
                <w:rFonts w:ascii="Times New Roman" w:hAnsi="Times New Roman" w:cs="Times New Roman"/>
                <w:sz w:val="24"/>
                <w:szCs w:val="24"/>
              </w:rPr>
              <w:t>Teisės akto projekte nustatyta sprendimų priėmimo, įforminimo tvarka ir priimtų sprendimų viešinimas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rsidR="00484AEA" w:rsidRPr="00805A49" w:rsidRDefault="00676E99" w:rsidP="000C20B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Savivaldybės mero sprendimai įforminami potvarkiais, kaip nurodyta teisės akto projekto </w:t>
            </w:r>
            <w:r w:rsidR="000C20B5">
              <w:rPr>
                <w:rFonts w:ascii="Times New Roman" w:hAnsi="Times New Roman" w:cs="Times New Roman"/>
                <w:sz w:val="20"/>
                <w:szCs w:val="20"/>
              </w:rPr>
              <w:t xml:space="preserve">9.6., </w:t>
            </w:r>
            <w:r>
              <w:rPr>
                <w:rFonts w:ascii="Times New Roman" w:hAnsi="Times New Roman" w:cs="Times New Roman"/>
                <w:sz w:val="20"/>
                <w:szCs w:val="20"/>
              </w:rPr>
              <w:t xml:space="preserve">31, 34 p. </w:t>
            </w:r>
            <w:r w:rsidR="00983F56">
              <w:rPr>
                <w:rFonts w:ascii="Times New Roman" w:hAnsi="Times New Roman" w:cs="Times New Roman"/>
                <w:color w:val="000000"/>
                <w:sz w:val="20"/>
                <w:szCs w:val="20"/>
              </w:rPr>
              <w:t>B</w:t>
            </w:r>
            <w:r w:rsidR="000A1C12">
              <w:rPr>
                <w:rFonts w:ascii="Times New Roman" w:hAnsi="Times New Roman" w:cs="Times New Roman"/>
                <w:color w:val="000000"/>
                <w:sz w:val="20"/>
                <w:szCs w:val="20"/>
              </w:rPr>
              <w:t>iudžetinių įstaigų vadovų atlyginimo viešinim</w:t>
            </w:r>
            <w:r w:rsidR="00983F56">
              <w:rPr>
                <w:rFonts w:ascii="Times New Roman" w:hAnsi="Times New Roman" w:cs="Times New Roman"/>
                <w:color w:val="000000"/>
                <w:sz w:val="20"/>
                <w:szCs w:val="20"/>
              </w:rPr>
              <w:t>o tvark</w:t>
            </w:r>
            <w:r w:rsidR="003566F3">
              <w:rPr>
                <w:rFonts w:ascii="Times New Roman" w:hAnsi="Times New Roman" w:cs="Times New Roman"/>
                <w:color w:val="000000"/>
                <w:sz w:val="20"/>
                <w:szCs w:val="20"/>
              </w:rPr>
              <w:t>ą</w:t>
            </w:r>
            <w:r w:rsidR="00983F56">
              <w:rPr>
                <w:rFonts w:ascii="Times New Roman" w:hAnsi="Times New Roman" w:cs="Times New Roman"/>
                <w:color w:val="000000"/>
                <w:sz w:val="20"/>
                <w:szCs w:val="20"/>
              </w:rPr>
              <w:t xml:space="preserve"> </w:t>
            </w:r>
            <w:r w:rsidR="000A1C12">
              <w:rPr>
                <w:rFonts w:ascii="Times New Roman" w:hAnsi="Times New Roman" w:cs="Times New Roman"/>
                <w:color w:val="000000"/>
                <w:sz w:val="20"/>
                <w:szCs w:val="20"/>
              </w:rPr>
              <w:t>nustat</w:t>
            </w:r>
            <w:r w:rsidR="003566F3">
              <w:rPr>
                <w:rFonts w:ascii="Times New Roman" w:hAnsi="Times New Roman" w:cs="Times New Roman"/>
                <w:color w:val="000000"/>
                <w:sz w:val="20"/>
                <w:szCs w:val="20"/>
              </w:rPr>
              <w:t>o</w:t>
            </w:r>
            <w:r w:rsidR="000A1C12">
              <w:rPr>
                <w:rFonts w:ascii="Times New Roman" w:hAnsi="Times New Roman" w:cs="Times New Roman"/>
                <w:color w:val="000000"/>
                <w:sz w:val="20"/>
                <w:szCs w:val="20"/>
              </w:rPr>
              <w:t xml:space="preserve"> </w:t>
            </w:r>
            <w:r w:rsidR="00983F56">
              <w:rPr>
                <w:rFonts w:ascii="Times New Roman" w:hAnsi="Times New Roman" w:cs="Times New Roman"/>
                <w:bCs/>
                <w:color w:val="000000"/>
                <w:sz w:val="20"/>
                <w:szCs w:val="20"/>
              </w:rPr>
              <w:t>B</w:t>
            </w:r>
            <w:r w:rsidR="00983F56" w:rsidRPr="00983F56">
              <w:rPr>
                <w:rFonts w:ascii="Times New Roman" w:hAnsi="Times New Roman" w:cs="Times New Roman"/>
                <w:bCs/>
                <w:color w:val="000000"/>
                <w:sz w:val="20"/>
                <w:szCs w:val="20"/>
              </w:rPr>
              <w:t>endrųjų reikalavimų valstybės ir savivaldybių institucijų ir įsta</w:t>
            </w:r>
            <w:r w:rsidR="00983F56">
              <w:rPr>
                <w:rFonts w:ascii="Times New Roman" w:hAnsi="Times New Roman" w:cs="Times New Roman"/>
                <w:bCs/>
                <w:color w:val="000000"/>
                <w:sz w:val="20"/>
                <w:szCs w:val="20"/>
              </w:rPr>
              <w:t>igų interneto svetainėms apraš</w:t>
            </w:r>
            <w:r w:rsidR="003566F3">
              <w:rPr>
                <w:rFonts w:ascii="Times New Roman" w:hAnsi="Times New Roman" w:cs="Times New Roman"/>
                <w:bCs/>
                <w:color w:val="000000"/>
                <w:sz w:val="20"/>
                <w:szCs w:val="20"/>
              </w:rPr>
              <w:t>as</w:t>
            </w:r>
            <w:r w:rsidR="00983F56">
              <w:rPr>
                <w:rFonts w:ascii="Times New Roman" w:hAnsi="Times New Roman" w:cs="Times New Roman"/>
                <w:bCs/>
                <w:color w:val="000000"/>
                <w:sz w:val="20"/>
                <w:szCs w:val="20"/>
              </w:rPr>
              <w:t>, patvirtint</w:t>
            </w:r>
            <w:r w:rsidR="003566F3">
              <w:rPr>
                <w:rFonts w:ascii="Times New Roman" w:hAnsi="Times New Roman" w:cs="Times New Roman"/>
                <w:bCs/>
                <w:color w:val="000000"/>
                <w:sz w:val="20"/>
                <w:szCs w:val="20"/>
              </w:rPr>
              <w:t>as</w:t>
            </w:r>
            <w:r w:rsidR="00983F56">
              <w:rPr>
                <w:rFonts w:ascii="Times New Roman" w:hAnsi="Times New Roman" w:cs="Times New Roman"/>
                <w:bCs/>
                <w:color w:val="000000"/>
                <w:sz w:val="20"/>
                <w:szCs w:val="20"/>
              </w:rPr>
              <w:t xml:space="preserve"> Lietuvos Respublikos Vyriausybės 2003 m. balandžio 18 d. nutarimu Nr. 480.</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xml:space="preserve">X tenkina </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netenkina</w:t>
            </w:r>
          </w:p>
        </w:tc>
      </w:tr>
      <w:tr w:rsidR="00484AEA" w:rsidRPr="00DA066F" w:rsidTr="00805A49">
        <w:trPr>
          <w:trHeight w:hRule="exact" w:val="114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8.</w:t>
            </w:r>
          </w:p>
        </w:tc>
        <w:tc>
          <w:tcPr>
            <w:tcW w:w="306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3566F3">
            <w:pPr>
              <w:spacing w:after="0" w:line="240" w:lineRule="auto"/>
              <w:jc w:val="both"/>
              <w:rPr>
                <w:rFonts w:ascii="Times New Roman" w:hAnsi="Times New Roman" w:cs="Times New Roman"/>
                <w:sz w:val="24"/>
                <w:szCs w:val="24"/>
              </w:rPr>
            </w:pPr>
            <w:r w:rsidRPr="00DA066F">
              <w:rPr>
                <w:rFonts w:ascii="Times New Roman" w:hAnsi="Times New Roman" w:cs="Times New Roman"/>
                <w:sz w:val="24"/>
                <w:szCs w:val="24"/>
              </w:rPr>
              <w:t>Teisės akto projekte nustatyta sprendimų dėl mažareikšmiškumo priėmimo tvarka</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rsidR="00484AEA" w:rsidRPr="00805A49" w:rsidRDefault="00484AEA" w:rsidP="00C44749">
            <w:pPr>
              <w:spacing w:after="0" w:line="240" w:lineRule="auto"/>
              <w:rPr>
                <w:rFonts w:ascii="Times New Roman" w:hAnsi="Times New Roman" w:cs="Times New Roman"/>
                <w:sz w:val="20"/>
                <w:szCs w:val="20"/>
              </w:rPr>
            </w:pPr>
            <w:r w:rsidRPr="00805A49">
              <w:rPr>
                <w:rFonts w:ascii="Times New Roman" w:hAnsi="Times New Roman" w:cs="Times New Roman"/>
                <w:sz w:val="20"/>
                <w:szCs w:val="20"/>
              </w:rPr>
              <w:t>Netaikoma</w:t>
            </w:r>
            <w:r w:rsidR="000A1C12">
              <w:rPr>
                <w:rFonts w:ascii="Times New Roman" w:hAnsi="Times New Roman" w:cs="Times New Roman"/>
                <w:sz w:val="20"/>
                <w:szCs w:val="20"/>
              </w:rPr>
              <w:t>.</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xml:space="preserve">X tenkina </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netenkina</w:t>
            </w:r>
          </w:p>
        </w:tc>
      </w:tr>
    </w:tbl>
    <w:p w:rsidR="00484AEA" w:rsidRPr="00DA066F" w:rsidRDefault="00484AEA" w:rsidP="00484AEA">
      <w:pPr>
        <w:spacing w:after="0" w:line="240" w:lineRule="auto"/>
        <w:rPr>
          <w:rFonts w:ascii="Times New Roman" w:hAnsi="Times New Roman" w:cs="Times New Roman"/>
          <w:sz w:val="24"/>
          <w:szCs w:val="24"/>
        </w:rPr>
        <w:sectPr w:rsidR="00484AEA" w:rsidRPr="00DA066F" w:rsidSect="00285B2C">
          <w:headerReference w:type="default" r:id="rId6"/>
          <w:pgSz w:w="16834" w:h="11909" w:orient="landscape"/>
          <w:pgMar w:top="993" w:right="1107" w:bottom="142" w:left="1107" w:header="567" w:footer="567" w:gutter="0"/>
          <w:cols w:space="60"/>
          <w:noEndnote/>
        </w:sectPr>
      </w:pPr>
    </w:p>
    <w:tbl>
      <w:tblPr>
        <w:tblW w:w="14621" w:type="dxa"/>
        <w:tblInd w:w="40" w:type="dxa"/>
        <w:tblLayout w:type="fixed"/>
        <w:tblCellMar>
          <w:left w:w="40" w:type="dxa"/>
          <w:right w:w="40" w:type="dxa"/>
        </w:tblCellMar>
        <w:tblLook w:val="0000" w:firstRow="0" w:lastRow="0" w:firstColumn="0" w:lastColumn="0" w:noHBand="0" w:noVBand="0"/>
      </w:tblPr>
      <w:tblGrid>
        <w:gridCol w:w="715"/>
        <w:gridCol w:w="3403"/>
        <w:gridCol w:w="6182"/>
        <w:gridCol w:w="2835"/>
        <w:gridCol w:w="1486"/>
      </w:tblGrid>
      <w:tr w:rsidR="00484AEA" w:rsidRPr="00DA066F" w:rsidTr="009F1BA5">
        <w:trPr>
          <w:trHeight w:hRule="exact" w:val="682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lastRenderedPageBreak/>
              <w:t>9.</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3566F3">
            <w:pPr>
              <w:spacing w:after="0" w:line="240" w:lineRule="auto"/>
              <w:jc w:val="both"/>
              <w:rPr>
                <w:rFonts w:ascii="Times New Roman" w:hAnsi="Times New Roman" w:cs="Times New Roman"/>
                <w:sz w:val="24"/>
                <w:szCs w:val="24"/>
              </w:rPr>
            </w:pPr>
            <w:r w:rsidRPr="00DA066F">
              <w:rPr>
                <w:rFonts w:ascii="Times New Roman" w:hAnsi="Times New Roman" w:cs="Times New Roman"/>
                <w:sz w:val="24"/>
                <w:szCs w:val="24"/>
              </w:rPr>
              <w:t>Jeigu pagal numatomą reguliavimą sprendimus priima kolegialus subjektas, teisės akto projekte nustatyta kolegialaus sprendimus priimančio subjekto:</w:t>
            </w:r>
          </w:p>
          <w:p w:rsidR="00484AEA" w:rsidRPr="00DA066F" w:rsidRDefault="00484AEA" w:rsidP="003566F3">
            <w:pPr>
              <w:spacing w:after="0" w:line="240" w:lineRule="auto"/>
              <w:jc w:val="both"/>
              <w:rPr>
                <w:rFonts w:ascii="Times New Roman" w:hAnsi="Times New Roman" w:cs="Times New Roman"/>
                <w:sz w:val="24"/>
                <w:szCs w:val="24"/>
              </w:rPr>
            </w:pPr>
            <w:r w:rsidRPr="00DA066F">
              <w:rPr>
                <w:rFonts w:ascii="Times New Roman" w:hAnsi="Times New Roman" w:cs="Times New Roman"/>
                <w:sz w:val="24"/>
                <w:szCs w:val="24"/>
              </w:rPr>
              <w:t>9.1.</w:t>
            </w:r>
            <w:r w:rsidR="009F1BA5">
              <w:rPr>
                <w:rFonts w:ascii="Times New Roman" w:hAnsi="Times New Roman" w:cs="Times New Roman"/>
                <w:sz w:val="24"/>
                <w:szCs w:val="24"/>
              </w:rPr>
              <w:t xml:space="preserve"> </w:t>
            </w:r>
            <w:r w:rsidRPr="00DA066F">
              <w:rPr>
                <w:rFonts w:ascii="Times New Roman" w:hAnsi="Times New Roman" w:cs="Times New Roman"/>
                <w:sz w:val="24"/>
                <w:szCs w:val="24"/>
              </w:rPr>
              <w:t>konkretus narių skaičius,</w:t>
            </w:r>
            <w:r w:rsidRPr="00DA066F">
              <w:rPr>
                <w:rFonts w:ascii="Times New Roman" w:hAnsi="Times New Roman" w:cs="Times New Roman"/>
                <w:sz w:val="24"/>
                <w:szCs w:val="24"/>
              </w:rPr>
              <w:br/>
              <w:t>užtikrinantis kolegialaus</w:t>
            </w:r>
            <w:r w:rsidRPr="00DA066F">
              <w:rPr>
                <w:rFonts w:ascii="Times New Roman" w:hAnsi="Times New Roman" w:cs="Times New Roman"/>
                <w:sz w:val="24"/>
                <w:szCs w:val="24"/>
              </w:rPr>
              <w:br/>
              <w:t>sprendimus priimančio subjekto</w:t>
            </w:r>
            <w:r w:rsidRPr="00DA066F">
              <w:rPr>
                <w:rFonts w:ascii="Times New Roman" w:hAnsi="Times New Roman" w:cs="Times New Roman"/>
                <w:sz w:val="24"/>
                <w:szCs w:val="24"/>
              </w:rPr>
              <w:br/>
              <w:t>veiklos objektyvumą;</w:t>
            </w:r>
          </w:p>
          <w:p w:rsidR="00484AEA" w:rsidRPr="00DA066F" w:rsidRDefault="00484AEA" w:rsidP="003566F3">
            <w:pPr>
              <w:spacing w:after="0" w:line="240" w:lineRule="auto"/>
              <w:jc w:val="both"/>
              <w:rPr>
                <w:rFonts w:ascii="Times New Roman" w:hAnsi="Times New Roman" w:cs="Times New Roman"/>
                <w:sz w:val="24"/>
                <w:szCs w:val="24"/>
              </w:rPr>
            </w:pPr>
            <w:r w:rsidRPr="00DA066F">
              <w:rPr>
                <w:rFonts w:ascii="Times New Roman" w:hAnsi="Times New Roman" w:cs="Times New Roman"/>
                <w:sz w:val="24"/>
                <w:szCs w:val="24"/>
              </w:rPr>
              <w:t>9.2.</w:t>
            </w:r>
            <w:r w:rsidR="009F1BA5">
              <w:rPr>
                <w:rFonts w:ascii="Times New Roman" w:hAnsi="Times New Roman" w:cs="Times New Roman"/>
                <w:sz w:val="24"/>
                <w:szCs w:val="24"/>
              </w:rPr>
              <w:t xml:space="preserve"> </w:t>
            </w:r>
            <w:r w:rsidRPr="00DA066F">
              <w:rPr>
                <w:rFonts w:ascii="Times New Roman" w:hAnsi="Times New Roman" w:cs="Times New Roman"/>
                <w:sz w:val="24"/>
                <w:szCs w:val="24"/>
              </w:rPr>
              <w:t>jeigu narius skiria keli</w:t>
            </w:r>
            <w:r w:rsidR="00856F09">
              <w:rPr>
                <w:rFonts w:ascii="Times New Roman" w:hAnsi="Times New Roman" w:cs="Times New Roman"/>
                <w:sz w:val="24"/>
                <w:szCs w:val="24"/>
              </w:rPr>
              <w:t xml:space="preserve"> </w:t>
            </w:r>
            <w:r w:rsidRPr="00DA066F">
              <w:rPr>
                <w:rFonts w:ascii="Times New Roman" w:hAnsi="Times New Roman" w:cs="Times New Roman"/>
                <w:sz w:val="24"/>
                <w:szCs w:val="24"/>
              </w:rPr>
              <w:t>subjektai, proporcinga kiekvieno</w:t>
            </w:r>
            <w:r w:rsidRPr="00DA066F">
              <w:rPr>
                <w:rFonts w:ascii="Times New Roman" w:hAnsi="Times New Roman" w:cs="Times New Roman"/>
                <w:sz w:val="24"/>
                <w:szCs w:val="24"/>
              </w:rPr>
              <w:br/>
              <w:t>subjekto skiriamų narių dalis,</w:t>
            </w:r>
            <w:r w:rsidRPr="00DA066F">
              <w:rPr>
                <w:rFonts w:ascii="Times New Roman" w:hAnsi="Times New Roman" w:cs="Times New Roman"/>
                <w:sz w:val="24"/>
                <w:szCs w:val="24"/>
              </w:rPr>
              <w:br/>
              <w:t>užtikrinanti tinkamą atstovavimą</w:t>
            </w:r>
            <w:r w:rsidRPr="00DA066F">
              <w:rPr>
                <w:rFonts w:ascii="Times New Roman" w:hAnsi="Times New Roman" w:cs="Times New Roman"/>
                <w:sz w:val="24"/>
                <w:szCs w:val="24"/>
              </w:rPr>
              <w:br/>
              <w:t>valstybės interesams ir kolegialaus</w:t>
            </w:r>
            <w:r w:rsidRPr="00DA066F">
              <w:rPr>
                <w:rFonts w:ascii="Times New Roman" w:hAnsi="Times New Roman" w:cs="Times New Roman"/>
                <w:sz w:val="24"/>
                <w:szCs w:val="24"/>
              </w:rPr>
              <w:br/>
              <w:t>sprendimus priimančio subjekto</w:t>
            </w:r>
            <w:r w:rsidRPr="00DA066F">
              <w:rPr>
                <w:rFonts w:ascii="Times New Roman" w:hAnsi="Times New Roman" w:cs="Times New Roman"/>
                <w:sz w:val="24"/>
                <w:szCs w:val="24"/>
              </w:rPr>
              <w:br/>
              <w:t>veiklos objektyvumą ir skaidrumą;</w:t>
            </w:r>
          </w:p>
          <w:p w:rsidR="00484AEA" w:rsidRPr="00DA066F" w:rsidRDefault="00484AEA" w:rsidP="003566F3">
            <w:pPr>
              <w:spacing w:after="0" w:line="240" w:lineRule="auto"/>
              <w:jc w:val="both"/>
              <w:rPr>
                <w:rFonts w:ascii="Times New Roman" w:hAnsi="Times New Roman" w:cs="Times New Roman"/>
                <w:sz w:val="24"/>
                <w:szCs w:val="24"/>
              </w:rPr>
            </w:pPr>
            <w:r w:rsidRPr="00DA066F">
              <w:rPr>
                <w:rFonts w:ascii="Times New Roman" w:hAnsi="Times New Roman" w:cs="Times New Roman"/>
                <w:sz w:val="24"/>
                <w:szCs w:val="24"/>
              </w:rPr>
              <w:t>9.3.</w:t>
            </w:r>
            <w:r w:rsidR="009F1BA5">
              <w:rPr>
                <w:rFonts w:ascii="Times New Roman" w:hAnsi="Times New Roman" w:cs="Times New Roman"/>
                <w:sz w:val="24"/>
                <w:szCs w:val="24"/>
              </w:rPr>
              <w:t xml:space="preserve"> </w:t>
            </w:r>
            <w:r w:rsidRPr="00DA066F">
              <w:rPr>
                <w:rFonts w:ascii="Times New Roman" w:hAnsi="Times New Roman" w:cs="Times New Roman"/>
                <w:sz w:val="24"/>
                <w:szCs w:val="24"/>
              </w:rPr>
              <w:t>narių skyrimo mechanizmas;</w:t>
            </w:r>
          </w:p>
          <w:p w:rsidR="00484AEA" w:rsidRPr="00DA066F" w:rsidRDefault="00484AEA" w:rsidP="003566F3">
            <w:pPr>
              <w:spacing w:after="0" w:line="240" w:lineRule="auto"/>
              <w:jc w:val="both"/>
              <w:rPr>
                <w:rFonts w:ascii="Times New Roman" w:hAnsi="Times New Roman" w:cs="Times New Roman"/>
                <w:sz w:val="24"/>
                <w:szCs w:val="24"/>
              </w:rPr>
            </w:pPr>
            <w:r w:rsidRPr="00DA066F">
              <w:rPr>
                <w:rFonts w:ascii="Times New Roman" w:hAnsi="Times New Roman" w:cs="Times New Roman"/>
                <w:sz w:val="24"/>
                <w:szCs w:val="24"/>
              </w:rPr>
              <w:t>9.4.</w:t>
            </w:r>
            <w:r w:rsidR="009F1BA5">
              <w:rPr>
                <w:rFonts w:ascii="Times New Roman" w:hAnsi="Times New Roman" w:cs="Times New Roman"/>
                <w:sz w:val="24"/>
                <w:szCs w:val="24"/>
              </w:rPr>
              <w:t xml:space="preserve"> </w:t>
            </w:r>
            <w:r w:rsidRPr="00DA066F">
              <w:rPr>
                <w:rFonts w:ascii="Times New Roman" w:hAnsi="Times New Roman" w:cs="Times New Roman"/>
                <w:sz w:val="24"/>
                <w:szCs w:val="24"/>
              </w:rPr>
              <w:t>narių rotacija ir kadencijų</w:t>
            </w:r>
            <w:r w:rsidRPr="00DA066F">
              <w:rPr>
                <w:rFonts w:ascii="Times New Roman" w:hAnsi="Times New Roman" w:cs="Times New Roman"/>
                <w:sz w:val="24"/>
                <w:szCs w:val="24"/>
              </w:rPr>
              <w:br/>
              <w:t>skaičius ir trukmė;</w:t>
            </w:r>
          </w:p>
          <w:p w:rsidR="00484AEA" w:rsidRPr="00DA066F" w:rsidRDefault="00484AEA" w:rsidP="003566F3">
            <w:pPr>
              <w:spacing w:after="0" w:line="240" w:lineRule="auto"/>
              <w:jc w:val="both"/>
              <w:rPr>
                <w:rFonts w:ascii="Times New Roman" w:hAnsi="Times New Roman" w:cs="Times New Roman"/>
                <w:sz w:val="24"/>
                <w:szCs w:val="24"/>
              </w:rPr>
            </w:pPr>
            <w:r w:rsidRPr="00DA066F">
              <w:rPr>
                <w:rFonts w:ascii="Times New Roman" w:hAnsi="Times New Roman" w:cs="Times New Roman"/>
                <w:sz w:val="24"/>
                <w:szCs w:val="24"/>
              </w:rPr>
              <w:t>9.5.</w:t>
            </w:r>
            <w:r w:rsidR="009F1BA5">
              <w:rPr>
                <w:rFonts w:ascii="Times New Roman" w:hAnsi="Times New Roman" w:cs="Times New Roman"/>
                <w:sz w:val="24"/>
                <w:szCs w:val="24"/>
              </w:rPr>
              <w:t xml:space="preserve"> </w:t>
            </w:r>
            <w:r w:rsidRPr="00DA066F">
              <w:rPr>
                <w:rFonts w:ascii="Times New Roman" w:hAnsi="Times New Roman" w:cs="Times New Roman"/>
                <w:sz w:val="24"/>
                <w:szCs w:val="24"/>
              </w:rPr>
              <w:t>veiklos pobūdis laiko atžvilgiu;</w:t>
            </w:r>
          </w:p>
          <w:p w:rsidR="00484AEA" w:rsidRPr="00DA066F" w:rsidRDefault="00484AEA" w:rsidP="003566F3">
            <w:pPr>
              <w:spacing w:after="0" w:line="240" w:lineRule="auto"/>
              <w:jc w:val="both"/>
              <w:rPr>
                <w:rFonts w:ascii="Times New Roman" w:hAnsi="Times New Roman" w:cs="Times New Roman"/>
                <w:sz w:val="24"/>
                <w:szCs w:val="24"/>
              </w:rPr>
            </w:pPr>
            <w:r w:rsidRPr="00DA066F">
              <w:rPr>
                <w:rFonts w:ascii="Times New Roman" w:hAnsi="Times New Roman" w:cs="Times New Roman"/>
                <w:sz w:val="24"/>
                <w:szCs w:val="24"/>
              </w:rPr>
              <w:t>9.6.</w:t>
            </w:r>
            <w:r w:rsidR="009F1BA5">
              <w:rPr>
                <w:rFonts w:ascii="Times New Roman" w:hAnsi="Times New Roman" w:cs="Times New Roman"/>
                <w:sz w:val="24"/>
                <w:szCs w:val="24"/>
              </w:rPr>
              <w:t xml:space="preserve"> </w:t>
            </w:r>
            <w:r w:rsidRPr="00DA066F">
              <w:rPr>
                <w:rFonts w:ascii="Times New Roman" w:hAnsi="Times New Roman" w:cs="Times New Roman"/>
                <w:sz w:val="24"/>
                <w:szCs w:val="24"/>
              </w:rPr>
              <w:t>individuali narių atsakomybė</w:t>
            </w:r>
          </w:p>
        </w:tc>
        <w:tc>
          <w:tcPr>
            <w:tcW w:w="6182" w:type="dxa"/>
            <w:tcBorders>
              <w:top w:val="single" w:sz="6" w:space="0" w:color="auto"/>
              <w:left w:val="single" w:sz="6" w:space="0" w:color="auto"/>
              <w:bottom w:val="single" w:sz="6" w:space="0" w:color="auto"/>
              <w:right w:val="single" w:sz="6" w:space="0" w:color="auto"/>
            </w:tcBorders>
            <w:shd w:val="clear" w:color="auto" w:fill="FFFFFF"/>
          </w:tcPr>
          <w:p w:rsidR="00484AEA" w:rsidRPr="000A1C12" w:rsidRDefault="000A1C12" w:rsidP="000A1C12">
            <w:pPr>
              <w:spacing w:after="0" w:line="240" w:lineRule="auto"/>
              <w:rPr>
                <w:rFonts w:ascii="Times New Roman" w:hAnsi="Times New Roman" w:cs="Times New Roman"/>
                <w:sz w:val="20"/>
                <w:szCs w:val="20"/>
              </w:rPr>
            </w:pPr>
            <w:r w:rsidRPr="000A1C12">
              <w:rPr>
                <w:rFonts w:ascii="Times New Roman" w:hAnsi="Times New Roman" w:cs="Times New Roman"/>
                <w:sz w:val="20"/>
                <w:szCs w:val="20"/>
              </w:rPr>
              <w:t xml:space="preserve">Šiam teisės akto projektui </w:t>
            </w:r>
            <w:r>
              <w:rPr>
                <w:rFonts w:ascii="Times New Roman" w:hAnsi="Times New Roman" w:cs="Times New Roman"/>
                <w:sz w:val="20"/>
                <w:szCs w:val="20"/>
              </w:rPr>
              <w:t>neaktualu.</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p>
        </w:tc>
        <w:tc>
          <w:tcPr>
            <w:tcW w:w="1486"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xml:space="preserve">X tenkina </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netenkina</w:t>
            </w:r>
          </w:p>
        </w:tc>
      </w:tr>
      <w:tr w:rsidR="00484AEA" w:rsidRPr="00DA066F" w:rsidTr="00C44749">
        <w:trPr>
          <w:trHeight w:hRule="exact" w:val="319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10.</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3566F3">
            <w:pPr>
              <w:spacing w:after="0" w:line="240" w:lineRule="auto"/>
              <w:jc w:val="both"/>
              <w:rPr>
                <w:rFonts w:ascii="Times New Roman" w:hAnsi="Times New Roman" w:cs="Times New Roman"/>
                <w:sz w:val="24"/>
                <w:szCs w:val="24"/>
              </w:rPr>
            </w:pPr>
            <w:r w:rsidRPr="00DA066F">
              <w:rPr>
                <w:rFonts w:ascii="Times New Roman" w:hAnsi="Times New Roman" w:cs="Times New Roman"/>
                <w:sz w:val="24"/>
                <w:szCs w:val="24"/>
              </w:rPr>
              <w:t>Teisės akto projekto nuostatoms įgyvendinti numatytos administracinės procedūros yra būtinos, nustatyta išsami jų taikymo tvarka</w:t>
            </w:r>
          </w:p>
        </w:tc>
        <w:tc>
          <w:tcPr>
            <w:tcW w:w="6182" w:type="dxa"/>
            <w:tcBorders>
              <w:top w:val="single" w:sz="6" w:space="0" w:color="auto"/>
              <w:left w:val="single" w:sz="6" w:space="0" w:color="auto"/>
              <w:bottom w:val="single" w:sz="6" w:space="0" w:color="auto"/>
              <w:right w:val="single" w:sz="6" w:space="0" w:color="auto"/>
            </w:tcBorders>
            <w:shd w:val="clear" w:color="auto" w:fill="FFFFFF"/>
          </w:tcPr>
          <w:p w:rsidR="00484AEA" w:rsidRPr="000A1C12" w:rsidRDefault="00676E99" w:rsidP="00676E99">
            <w:pPr>
              <w:spacing w:after="0" w:line="240" w:lineRule="auto"/>
              <w:rPr>
                <w:rFonts w:ascii="Times New Roman" w:hAnsi="Times New Roman" w:cs="Times New Roman"/>
                <w:sz w:val="20"/>
                <w:szCs w:val="20"/>
              </w:rPr>
            </w:pPr>
            <w:r>
              <w:rPr>
                <w:rFonts w:ascii="Times New Roman" w:hAnsi="Times New Roman" w:cs="Times New Roman"/>
                <w:sz w:val="20"/>
                <w:szCs w:val="20"/>
              </w:rPr>
              <w:t>Procedūros numatytos II–</w:t>
            </w:r>
            <w:r w:rsidR="000A1C12">
              <w:rPr>
                <w:rFonts w:ascii="Times New Roman" w:hAnsi="Times New Roman" w:cs="Times New Roman"/>
                <w:sz w:val="20"/>
                <w:szCs w:val="20"/>
              </w:rPr>
              <w:t>V</w:t>
            </w:r>
            <w:r>
              <w:rPr>
                <w:rFonts w:ascii="Times New Roman" w:hAnsi="Times New Roman" w:cs="Times New Roman"/>
                <w:sz w:val="20"/>
                <w:szCs w:val="20"/>
              </w:rPr>
              <w:t>I</w:t>
            </w:r>
            <w:r w:rsidR="000A1C12">
              <w:rPr>
                <w:rFonts w:ascii="Times New Roman" w:hAnsi="Times New Roman" w:cs="Times New Roman"/>
                <w:sz w:val="20"/>
                <w:szCs w:val="20"/>
              </w:rPr>
              <w:t xml:space="preserve"> skyriu</w:t>
            </w:r>
            <w:r>
              <w:rPr>
                <w:rFonts w:ascii="Times New Roman" w:hAnsi="Times New Roman" w:cs="Times New Roman"/>
                <w:sz w:val="20"/>
                <w:szCs w:val="20"/>
              </w:rPr>
              <w:t>ose.</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p>
        </w:tc>
        <w:tc>
          <w:tcPr>
            <w:tcW w:w="1486"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xml:space="preserve">X tenkina </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netenkina</w:t>
            </w:r>
          </w:p>
        </w:tc>
      </w:tr>
    </w:tbl>
    <w:p w:rsidR="00484AEA" w:rsidRPr="00DA066F" w:rsidRDefault="00484AEA" w:rsidP="00484AEA">
      <w:pPr>
        <w:spacing w:after="0" w:line="240" w:lineRule="auto"/>
        <w:rPr>
          <w:rFonts w:ascii="Times New Roman" w:hAnsi="Times New Roman" w:cs="Times New Roman"/>
          <w:sz w:val="24"/>
          <w:szCs w:val="24"/>
        </w:rPr>
        <w:sectPr w:rsidR="00484AEA" w:rsidRPr="00DA066F">
          <w:pgSz w:w="16834" w:h="11909" w:orient="landscape"/>
          <w:pgMar w:top="1339" w:right="1107" w:bottom="360" w:left="1107" w:header="567" w:footer="567" w:gutter="0"/>
          <w:cols w:space="60"/>
          <w:noEndnote/>
        </w:sectPr>
      </w:pPr>
    </w:p>
    <w:tbl>
      <w:tblPr>
        <w:tblW w:w="14621" w:type="dxa"/>
        <w:tblInd w:w="40" w:type="dxa"/>
        <w:tblLayout w:type="fixed"/>
        <w:tblCellMar>
          <w:left w:w="40" w:type="dxa"/>
          <w:right w:w="40" w:type="dxa"/>
        </w:tblCellMar>
        <w:tblLook w:val="0000" w:firstRow="0" w:lastRow="0" w:firstColumn="0" w:lastColumn="0" w:noHBand="0" w:noVBand="0"/>
      </w:tblPr>
      <w:tblGrid>
        <w:gridCol w:w="715"/>
        <w:gridCol w:w="3403"/>
        <w:gridCol w:w="6182"/>
        <w:gridCol w:w="2835"/>
        <w:gridCol w:w="1486"/>
      </w:tblGrid>
      <w:tr w:rsidR="00484AEA" w:rsidRPr="00DA066F" w:rsidTr="000A1C12">
        <w:trPr>
          <w:trHeight w:hRule="exact" w:val="129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lastRenderedPageBreak/>
              <w:t>11.</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7B7604">
            <w:pPr>
              <w:spacing w:after="0" w:line="240" w:lineRule="auto"/>
              <w:jc w:val="both"/>
              <w:rPr>
                <w:rFonts w:ascii="Times New Roman" w:hAnsi="Times New Roman" w:cs="Times New Roman"/>
                <w:sz w:val="24"/>
                <w:szCs w:val="24"/>
              </w:rPr>
            </w:pPr>
            <w:r w:rsidRPr="00DA066F">
              <w:rPr>
                <w:rFonts w:ascii="Times New Roman" w:hAnsi="Times New Roman" w:cs="Times New Roman"/>
                <w:sz w:val="24"/>
                <w:szCs w:val="24"/>
              </w:rPr>
              <w:t>Teisės akto projekte nustatytas baigtinis sąrašas motyvuotų atvejų, kai administracinė procedūra netaikoma</w:t>
            </w:r>
          </w:p>
        </w:tc>
        <w:tc>
          <w:tcPr>
            <w:tcW w:w="6182" w:type="dxa"/>
            <w:tcBorders>
              <w:top w:val="single" w:sz="6" w:space="0" w:color="auto"/>
              <w:left w:val="single" w:sz="6" w:space="0" w:color="auto"/>
              <w:bottom w:val="single" w:sz="6" w:space="0" w:color="auto"/>
              <w:right w:val="single" w:sz="6" w:space="0" w:color="auto"/>
            </w:tcBorders>
            <w:shd w:val="clear" w:color="auto" w:fill="FFFFFF"/>
          </w:tcPr>
          <w:p w:rsidR="00484AEA" w:rsidRPr="000A1C12" w:rsidRDefault="000A1C12" w:rsidP="00C44749">
            <w:pPr>
              <w:spacing w:after="0" w:line="240" w:lineRule="auto"/>
              <w:rPr>
                <w:rFonts w:ascii="Times New Roman" w:hAnsi="Times New Roman" w:cs="Times New Roman"/>
                <w:sz w:val="20"/>
                <w:szCs w:val="20"/>
              </w:rPr>
            </w:pPr>
            <w:r w:rsidRPr="000A1C12">
              <w:rPr>
                <w:rFonts w:ascii="Times New Roman" w:hAnsi="Times New Roman" w:cs="Times New Roman"/>
                <w:sz w:val="20"/>
                <w:szCs w:val="20"/>
              </w:rPr>
              <w:t>Neaktualu.</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p>
        </w:tc>
        <w:tc>
          <w:tcPr>
            <w:tcW w:w="1486"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xml:space="preserve">X tenkina </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netenkina</w:t>
            </w:r>
          </w:p>
        </w:tc>
      </w:tr>
      <w:tr w:rsidR="00484AEA" w:rsidRPr="00DA066F" w:rsidTr="000A1C12">
        <w:trPr>
          <w:trHeight w:hRule="exact" w:val="1564"/>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12.</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7B7604">
            <w:pPr>
              <w:spacing w:after="0" w:line="240" w:lineRule="auto"/>
              <w:jc w:val="both"/>
              <w:rPr>
                <w:rFonts w:ascii="Times New Roman" w:hAnsi="Times New Roman" w:cs="Times New Roman"/>
                <w:sz w:val="24"/>
                <w:szCs w:val="24"/>
              </w:rPr>
            </w:pPr>
            <w:r w:rsidRPr="00DA066F">
              <w:rPr>
                <w:rFonts w:ascii="Times New Roman" w:hAnsi="Times New Roman" w:cs="Times New Roman"/>
                <w:sz w:val="24"/>
                <w:szCs w:val="24"/>
              </w:rPr>
              <w:t>Teisės akto projektas nustato jo nuostatoms Įgyvendinti numatytų administracinių procedūrų ir sprendimo priėmimo konkrečius terminus</w:t>
            </w:r>
          </w:p>
        </w:tc>
        <w:tc>
          <w:tcPr>
            <w:tcW w:w="6182" w:type="dxa"/>
            <w:tcBorders>
              <w:top w:val="single" w:sz="6" w:space="0" w:color="auto"/>
              <w:left w:val="single" w:sz="6" w:space="0" w:color="auto"/>
              <w:bottom w:val="single" w:sz="6" w:space="0" w:color="auto"/>
              <w:right w:val="single" w:sz="6" w:space="0" w:color="auto"/>
            </w:tcBorders>
            <w:shd w:val="clear" w:color="auto" w:fill="FFFFFF"/>
          </w:tcPr>
          <w:p w:rsidR="00484AEA" w:rsidRPr="000A1C12" w:rsidRDefault="000A1C12" w:rsidP="00B04249">
            <w:pPr>
              <w:spacing w:after="0" w:line="240" w:lineRule="auto"/>
              <w:rPr>
                <w:rFonts w:ascii="Times New Roman" w:hAnsi="Times New Roman" w:cs="Times New Roman"/>
                <w:sz w:val="20"/>
                <w:szCs w:val="20"/>
              </w:rPr>
            </w:pPr>
            <w:r w:rsidRPr="000A1C12">
              <w:rPr>
                <w:rFonts w:ascii="Times New Roman" w:hAnsi="Times New Roman" w:cs="Times New Roman"/>
                <w:sz w:val="20"/>
                <w:szCs w:val="20"/>
              </w:rPr>
              <w:t xml:space="preserve">Terminai numatyti </w:t>
            </w:r>
            <w:r w:rsidR="007B7604">
              <w:rPr>
                <w:rFonts w:ascii="Times New Roman" w:hAnsi="Times New Roman" w:cs="Times New Roman"/>
                <w:sz w:val="20"/>
                <w:szCs w:val="20"/>
              </w:rPr>
              <w:t>teisės akto projekto I</w:t>
            </w:r>
            <w:r w:rsidR="000C20B5">
              <w:rPr>
                <w:rFonts w:ascii="Times New Roman" w:hAnsi="Times New Roman" w:cs="Times New Roman"/>
                <w:sz w:val="20"/>
                <w:szCs w:val="20"/>
              </w:rPr>
              <w:t>II</w:t>
            </w:r>
            <w:r w:rsidR="00B04249">
              <w:rPr>
                <w:rFonts w:ascii="Times New Roman" w:hAnsi="Times New Roman" w:cs="Times New Roman"/>
                <w:sz w:val="20"/>
                <w:szCs w:val="20"/>
              </w:rPr>
              <w:t>–</w:t>
            </w:r>
            <w:r w:rsidR="007B7604">
              <w:rPr>
                <w:rFonts w:ascii="Times New Roman" w:hAnsi="Times New Roman" w:cs="Times New Roman"/>
                <w:sz w:val="20"/>
                <w:szCs w:val="20"/>
              </w:rPr>
              <w:t>V</w:t>
            </w:r>
            <w:r w:rsidR="0023315A">
              <w:rPr>
                <w:rFonts w:ascii="Times New Roman" w:hAnsi="Times New Roman" w:cs="Times New Roman"/>
                <w:sz w:val="20"/>
                <w:szCs w:val="20"/>
              </w:rPr>
              <w:t>I</w:t>
            </w:r>
            <w:r w:rsidR="007B7604">
              <w:rPr>
                <w:rFonts w:ascii="Times New Roman" w:hAnsi="Times New Roman" w:cs="Times New Roman"/>
                <w:sz w:val="20"/>
                <w:szCs w:val="20"/>
              </w:rPr>
              <w:t xml:space="preserve"> </w:t>
            </w:r>
            <w:r w:rsidRPr="000A1C12">
              <w:rPr>
                <w:rFonts w:ascii="Times New Roman" w:hAnsi="Times New Roman" w:cs="Times New Roman"/>
                <w:sz w:val="20"/>
                <w:szCs w:val="20"/>
              </w:rPr>
              <w:t>skyriu</w:t>
            </w:r>
            <w:r w:rsidR="007B7604">
              <w:rPr>
                <w:rFonts w:ascii="Times New Roman" w:hAnsi="Times New Roman" w:cs="Times New Roman"/>
                <w:sz w:val="20"/>
                <w:szCs w:val="20"/>
              </w:rPr>
              <w:t>ose.</w:t>
            </w:r>
            <w:r w:rsidR="00484AEA" w:rsidRPr="000A1C12">
              <w:rPr>
                <w:rFonts w:ascii="Times New Roman" w:hAnsi="Times New Roman" w:cs="Times New Roman"/>
                <w:sz w:val="20"/>
                <w:szCs w:val="20"/>
              </w:rPr>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p>
        </w:tc>
        <w:tc>
          <w:tcPr>
            <w:tcW w:w="1486"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07509" w:rsidP="00C44749">
            <w:pPr>
              <w:spacing w:after="0" w:line="240" w:lineRule="auto"/>
              <w:rPr>
                <w:rFonts w:ascii="Times New Roman" w:hAnsi="Times New Roman" w:cs="Times New Roman"/>
                <w:sz w:val="24"/>
                <w:szCs w:val="24"/>
              </w:rPr>
            </w:pPr>
            <w:r>
              <w:rPr>
                <w:rFonts w:ascii="Times New Roman" w:hAnsi="Times New Roman" w:cs="Times New Roman"/>
                <w:sz w:val="24"/>
                <w:szCs w:val="24"/>
              </w:rPr>
              <w:t>X</w:t>
            </w:r>
            <w:r w:rsidR="00484AEA" w:rsidRPr="00DA066F">
              <w:rPr>
                <w:rFonts w:ascii="Times New Roman" w:hAnsi="Times New Roman" w:cs="Times New Roman"/>
                <w:sz w:val="24"/>
                <w:szCs w:val="24"/>
              </w:rPr>
              <w:t xml:space="preserve"> tenkina </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netenkina</w:t>
            </w:r>
          </w:p>
        </w:tc>
      </w:tr>
      <w:tr w:rsidR="00484AEA" w:rsidRPr="00DA066F" w:rsidTr="000A1C12">
        <w:trPr>
          <w:trHeight w:hRule="exact" w:val="99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13.</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7B7604">
            <w:pPr>
              <w:spacing w:after="0" w:line="240" w:lineRule="auto"/>
              <w:jc w:val="both"/>
              <w:rPr>
                <w:rFonts w:ascii="Times New Roman" w:hAnsi="Times New Roman" w:cs="Times New Roman"/>
                <w:sz w:val="24"/>
                <w:szCs w:val="24"/>
              </w:rPr>
            </w:pPr>
            <w:r w:rsidRPr="00DA066F">
              <w:rPr>
                <w:rFonts w:ascii="Times New Roman" w:hAnsi="Times New Roman" w:cs="Times New Roman"/>
                <w:sz w:val="24"/>
                <w:szCs w:val="24"/>
              </w:rPr>
              <w:t>Teisės akto projektas nustato motyvuotas terminų sustabdymo ir pratęsimo galimybes</w:t>
            </w:r>
          </w:p>
        </w:tc>
        <w:tc>
          <w:tcPr>
            <w:tcW w:w="6182" w:type="dxa"/>
            <w:tcBorders>
              <w:top w:val="single" w:sz="6" w:space="0" w:color="auto"/>
              <w:left w:val="single" w:sz="6" w:space="0" w:color="auto"/>
              <w:bottom w:val="single" w:sz="6" w:space="0" w:color="auto"/>
              <w:right w:val="single" w:sz="6" w:space="0" w:color="auto"/>
            </w:tcBorders>
            <w:shd w:val="clear" w:color="auto" w:fill="FFFFFF"/>
          </w:tcPr>
          <w:p w:rsidR="00484AEA" w:rsidRPr="000A1C12" w:rsidRDefault="00484AEA" w:rsidP="004413B0">
            <w:pPr>
              <w:spacing w:after="0" w:line="240" w:lineRule="auto"/>
              <w:jc w:val="both"/>
              <w:rPr>
                <w:rFonts w:ascii="Times New Roman" w:hAnsi="Times New Roman" w:cs="Times New Roman"/>
                <w:sz w:val="20"/>
                <w:szCs w:val="20"/>
              </w:rPr>
            </w:pPr>
            <w:r w:rsidRPr="000A1C12">
              <w:rPr>
                <w:rFonts w:ascii="Times New Roman" w:hAnsi="Times New Roman" w:cs="Times New Roman"/>
                <w:sz w:val="20"/>
                <w:szCs w:val="20"/>
              </w:rPr>
              <w:t>Netaikoma – teisės akto projekte nėra numatyta sustabdyti ar pratęsti terminus.</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p>
        </w:tc>
        <w:tc>
          <w:tcPr>
            <w:tcW w:w="1486"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xml:space="preserve">X tenkina </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netenkina</w:t>
            </w:r>
          </w:p>
        </w:tc>
      </w:tr>
      <w:tr w:rsidR="00484AEA" w:rsidRPr="00DA066F" w:rsidTr="00B04249">
        <w:trPr>
          <w:trHeight w:hRule="exact" w:val="142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14.</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7B7604">
            <w:pPr>
              <w:spacing w:after="0" w:line="240" w:lineRule="auto"/>
              <w:jc w:val="both"/>
              <w:rPr>
                <w:rFonts w:ascii="Times New Roman" w:hAnsi="Times New Roman" w:cs="Times New Roman"/>
                <w:sz w:val="24"/>
                <w:szCs w:val="24"/>
              </w:rPr>
            </w:pPr>
            <w:r w:rsidRPr="00DA066F">
              <w:rPr>
                <w:rFonts w:ascii="Times New Roman" w:hAnsi="Times New Roman" w:cs="Times New Roman"/>
                <w:sz w:val="24"/>
                <w:szCs w:val="24"/>
              </w:rPr>
              <w:t>Teisės akto projektas nustato administracinių procedūrų viešinimo tvarką</w:t>
            </w:r>
          </w:p>
        </w:tc>
        <w:tc>
          <w:tcPr>
            <w:tcW w:w="6182" w:type="dxa"/>
            <w:tcBorders>
              <w:top w:val="single" w:sz="6" w:space="0" w:color="auto"/>
              <w:left w:val="single" w:sz="6" w:space="0" w:color="auto"/>
              <w:bottom w:val="single" w:sz="6" w:space="0" w:color="auto"/>
              <w:right w:val="single" w:sz="6" w:space="0" w:color="auto"/>
            </w:tcBorders>
            <w:shd w:val="clear" w:color="auto" w:fill="FFFFFF"/>
          </w:tcPr>
          <w:p w:rsidR="00484AEA" w:rsidRPr="000A1C12" w:rsidRDefault="00690EA9" w:rsidP="00690EA9">
            <w:pPr>
              <w:spacing w:after="0" w:line="240" w:lineRule="auto"/>
              <w:rPr>
                <w:rFonts w:ascii="Times New Roman" w:hAnsi="Times New Roman" w:cs="Times New Roman"/>
                <w:sz w:val="20"/>
                <w:szCs w:val="20"/>
              </w:rPr>
            </w:pPr>
            <w:r>
              <w:rPr>
                <w:rFonts w:ascii="Times New Roman" w:hAnsi="Times New Roman" w:cs="Times New Roman"/>
                <w:sz w:val="20"/>
                <w:szCs w:val="20"/>
              </w:rPr>
              <w:t>Aptarta teisės akto projekto 20 p., taip pat d</w:t>
            </w:r>
            <w:r w:rsidR="00983F56">
              <w:rPr>
                <w:rFonts w:ascii="Times New Roman" w:hAnsi="Times New Roman" w:cs="Times New Roman"/>
                <w:sz w:val="20"/>
                <w:szCs w:val="20"/>
              </w:rPr>
              <w:t xml:space="preserve">ėl viešinimo </w:t>
            </w:r>
            <w:r w:rsidR="007B7604">
              <w:rPr>
                <w:rFonts w:ascii="Times New Roman" w:hAnsi="Times New Roman" w:cs="Times New Roman"/>
                <w:sz w:val="20"/>
                <w:szCs w:val="20"/>
              </w:rPr>
              <w:t xml:space="preserve">žiūrėti į lentelės </w:t>
            </w:r>
            <w:r w:rsidR="00983F56">
              <w:rPr>
                <w:rFonts w:ascii="Times New Roman" w:hAnsi="Times New Roman" w:cs="Times New Roman"/>
                <w:sz w:val="20"/>
                <w:szCs w:val="20"/>
              </w:rPr>
              <w:t xml:space="preserve">7 </w:t>
            </w:r>
            <w:r w:rsidR="007B7604">
              <w:rPr>
                <w:rFonts w:ascii="Times New Roman" w:hAnsi="Times New Roman" w:cs="Times New Roman"/>
                <w:sz w:val="20"/>
                <w:szCs w:val="20"/>
              </w:rPr>
              <w:t>eilutę.</w:t>
            </w:r>
            <w:r w:rsidR="00484AEA" w:rsidRPr="000A1C12">
              <w:rPr>
                <w:rFonts w:ascii="Times New Roman" w:hAnsi="Times New Roman" w:cs="Times New Roman"/>
                <w:sz w:val="20"/>
                <w:szCs w:val="20"/>
              </w:rPr>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p>
        </w:tc>
        <w:tc>
          <w:tcPr>
            <w:tcW w:w="1486"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xml:space="preserve">X tenkina </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netenkina</w:t>
            </w:r>
          </w:p>
        </w:tc>
      </w:tr>
      <w:tr w:rsidR="00484AEA" w:rsidRPr="00DA066F" w:rsidTr="000A1C12">
        <w:trPr>
          <w:trHeight w:hRule="exact" w:val="171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15.</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7B7604">
            <w:pPr>
              <w:spacing w:after="0" w:line="240" w:lineRule="auto"/>
              <w:jc w:val="both"/>
              <w:rPr>
                <w:rFonts w:ascii="Times New Roman" w:hAnsi="Times New Roman" w:cs="Times New Roman"/>
                <w:sz w:val="24"/>
                <w:szCs w:val="24"/>
              </w:rPr>
            </w:pPr>
            <w:r w:rsidRPr="00DA066F">
              <w:rPr>
                <w:rFonts w:ascii="Times New Roman" w:hAnsi="Times New Roman" w:cs="Times New Roman"/>
                <w:sz w:val="24"/>
                <w:szCs w:val="24"/>
              </w:rPr>
              <w:t>Teisės akto projektas nustato kontrolės (priežiūros) procedūrą ir aiškius jos atlikimo kriterijus (atvejus, dažnį, fiksavimą, kontrolės rezultatų viešinimą ir panašiai)</w:t>
            </w:r>
          </w:p>
        </w:tc>
        <w:tc>
          <w:tcPr>
            <w:tcW w:w="6182" w:type="dxa"/>
            <w:tcBorders>
              <w:top w:val="single" w:sz="6" w:space="0" w:color="auto"/>
              <w:left w:val="single" w:sz="6" w:space="0" w:color="auto"/>
              <w:bottom w:val="single" w:sz="6" w:space="0" w:color="auto"/>
              <w:right w:val="single" w:sz="6" w:space="0" w:color="auto"/>
            </w:tcBorders>
            <w:shd w:val="clear" w:color="auto" w:fill="FFFFFF"/>
          </w:tcPr>
          <w:p w:rsidR="0023315A" w:rsidRDefault="00DC52DB" w:rsidP="004413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Aptarta </w:t>
            </w:r>
            <w:r w:rsidR="00AF6C6E">
              <w:rPr>
                <w:rFonts w:ascii="Times New Roman" w:hAnsi="Times New Roman" w:cs="Times New Roman"/>
                <w:sz w:val="20"/>
                <w:szCs w:val="20"/>
              </w:rPr>
              <w:t xml:space="preserve">teisės akto projekto </w:t>
            </w:r>
            <w:r>
              <w:rPr>
                <w:rFonts w:ascii="Times New Roman" w:hAnsi="Times New Roman" w:cs="Times New Roman"/>
                <w:sz w:val="20"/>
                <w:szCs w:val="20"/>
              </w:rPr>
              <w:t xml:space="preserve">5, </w:t>
            </w:r>
            <w:r w:rsidR="00056209">
              <w:rPr>
                <w:rFonts w:ascii="Times New Roman" w:hAnsi="Times New Roman" w:cs="Times New Roman"/>
                <w:sz w:val="20"/>
                <w:szCs w:val="20"/>
              </w:rPr>
              <w:t>8</w:t>
            </w:r>
            <w:r w:rsidR="00690EA9">
              <w:rPr>
                <w:rFonts w:ascii="Times New Roman" w:hAnsi="Times New Roman" w:cs="Times New Roman"/>
                <w:sz w:val="20"/>
                <w:szCs w:val="20"/>
              </w:rPr>
              <w:t>, 11, 15, 16, 21,</w:t>
            </w:r>
            <w:r w:rsidR="0023315A">
              <w:rPr>
                <w:rFonts w:ascii="Times New Roman" w:hAnsi="Times New Roman" w:cs="Times New Roman"/>
                <w:sz w:val="20"/>
                <w:szCs w:val="20"/>
              </w:rPr>
              <w:t xml:space="preserve"> 38 p.</w:t>
            </w:r>
            <w:r w:rsidR="00692AC7">
              <w:rPr>
                <w:rFonts w:ascii="Times New Roman" w:hAnsi="Times New Roman" w:cs="Times New Roman"/>
                <w:sz w:val="20"/>
                <w:szCs w:val="20"/>
              </w:rPr>
              <w:t xml:space="preserve"> Taip pat darbo užmokesčio nustatymo kontrolę atlieka </w:t>
            </w:r>
            <w:r w:rsidR="00DA3CB3">
              <w:rPr>
                <w:rFonts w:ascii="Times New Roman" w:hAnsi="Times New Roman" w:cs="Times New Roman"/>
                <w:sz w:val="20"/>
                <w:szCs w:val="20"/>
              </w:rPr>
              <w:t>Savivaldybės k</w:t>
            </w:r>
            <w:r w:rsidR="00692AC7">
              <w:rPr>
                <w:rFonts w:ascii="Times New Roman" w:hAnsi="Times New Roman" w:cs="Times New Roman"/>
                <w:sz w:val="20"/>
                <w:szCs w:val="20"/>
              </w:rPr>
              <w:t xml:space="preserve">ontrolės ir audito tarnyba.  </w:t>
            </w:r>
          </w:p>
          <w:p w:rsidR="00484AEA" w:rsidRPr="000A1C12" w:rsidRDefault="00484AEA" w:rsidP="004413B0">
            <w:pPr>
              <w:spacing w:after="0" w:line="240" w:lineRule="auto"/>
              <w:jc w:val="both"/>
              <w:rPr>
                <w:rFonts w:ascii="Times New Roman" w:hAnsi="Times New Roman" w:cs="Times New Roman"/>
                <w:sz w:val="20"/>
                <w:szCs w:val="20"/>
              </w:rP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p>
        </w:tc>
        <w:tc>
          <w:tcPr>
            <w:tcW w:w="1486"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Pr>
                <w:rFonts w:ascii="Times New Roman" w:hAnsi="Times New Roman" w:cs="Times New Roman"/>
                <w:sz w:val="24"/>
                <w:szCs w:val="24"/>
              </w:rPr>
              <w:t>X</w:t>
            </w:r>
            <w:r w:rsidRPr="00DA066F">
              <w:rPr>
                <w:rFonts w:ascii="Times New Roman" w:hAnsi="Times New Roman" w:cs="Times New Roman"/>
                <w:sz w:val="24"/>
                <w:szCs w:val="24"/>
              </w:rPr>
              <w:t xml:space="preserve"> tenkina </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netenkina</w:t>
            </w:r>
          </w:p>
        </w:tc>
      </w:tr>
      <w:tr w:rsidR="00484AEA" w:rsidRPr="00DA066F" w:rsidTr="000A1C12">
        <w:trPr>
          <w:trHeight w:hRule="exact" w:val="126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16.</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7B7604">
            <w:pPr>
              <w:spacing w:after="0" w:line="240" w:lineRule="auto"/>
              <w:jc w:val="both"/>
              <w:rPr>
                <w:rFonts w:ascii="Times New Roman" w:hAnsi="Times New Roman" w:cs="Times New Roman"/>
                <w:sz w:val="24"/>
                <w:szCs w:val="24"/>
              </w:rPr>
            </w:pPr>
            <w:r w:rsidRPr="00DA066F">
              <w:rPr>
                <w:rFonts w:ascii="Times New Roman" w:hAnsi="Times New Roman" w:cs="Times New Roman"/>
                <w:sz w:val="24"/>
                <w:szCs w:val="24"/>
              </w:rPr>
              <w:t>Teisės akto projekte nustatytos kontrolės (priežiūros) skaidrumo ir objektyvumo užtikrinimo priemonės</w:t>
            </w:r>
            <w:r w:rsidRPr="00DA066F">
              <w:rPr>
                <w:rFonts w:ascii="Times New Roman" w:hAnsi="Times New Roman" w:cs="Times New Roman"/>
                <w:sz w:val="24"/>
                <w:szCs w:val="24"/>
                <w:vertAlign w:val="superscript"/>
              </w:rPr>
              <w:t>3</w:t>
            </w:r>
          </w:p>
        </w:tc>
        <w:tc>
          <w:tcPr>
            <w:tcW w:w="6182" w:type="dxa"/>
            <w:tcBorders>
              <w:top w:val="single" w:sz="6" w:space="0" w:color="auto"/>
              <w:left w:val="single" w:sz="6" w:space="0" w:color="auto"/>
              <w:bottom w:val="single" w:sz="6" w:space="0" w:color="auto"/>
              <w:right w:val="single" w:sz="6" w:space="0" w:color="auto"/>
            </w:tcBorders>
            <w:shd w:val="clear" w:color="auto" w:fill="FFFFFF"/>
          </w:tcPr>
          <w:p w:rsidR="00484AEA" w:rsidRPr="000A1C12" w:rsidRDefault="00BE465B" w:rsidP="00BE465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Aptarta teisės akto projekto 20 p., taip pat šios priemonės nustatytos kontrolę atliekančių subjektų veiklą reglamentuojančiuose teisės aktuose. </w:t>
            </w:r>
            <w:r w:rsidR="00B04249">
              <w:rPr>
                <w:rFonts w:ascii="Times New Roman" w:hAnsi="Times New Roman" w:cs="Times New Roman"/>
                <w:sz w:val="20"/>
                <w:szCs w:val="20"/>
              </w:rPr>
              <w:t xml:space="preserve"> </w:t>
            </w:r>
            <w:r w:rsidR="0023315A">
              <w:rPr>
                <w:rFonts w:ascii="Times New Roman" w:hAnsi="Times New Roman" w:cs="Times New Roman"/>
                <w:sz w:val="20"/>
                <w:szCs w:val="20"/>
              </w:rPr>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p>
        </w:tc>
        <w:tc>
          <w:tcPr>
            <w:tcW w:w="1486"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Pr>
                <w:rFonts w:ascii="Times New Roman" w:hAnsi="Times New Roman" w:cs="Times New Roman"/>
                <w:sz w:val="24"/>
                <w:szCs w:val="24"/>
              </w:rPr>
              <w:t>X</w:t>
            </w:r>
            <w:r w:rsidRPr="00DA066F">
              <w:rPr>
                <w:rFonts w:ascii="Times New Roman" w:hAnsi="Times New Roman" w:cs="Times New Roman"/>
                <w:sz w:val="24"/>
                <w:szCs w:val="24"/>
              </w:rPr>
              <w:t xml:space="preserve"> tenkina </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netenkina</w:t>
            </w:r>
          </w:p>
        </w:tc>
      </w:tr>
    </w:tbl>
    <w:p w:rsidR="00484AEA" w:rsidRPr="00DA066F" w:rsidRDefault="00484AEA" w:rsidP="00484AEA">
      <w:pPr>
        <w:spacing w:after="0" w:line="240" w:lineRule="auto"/>
        <w:rPr>
          <w:rFonts w:ascii="Times New Roman" w:hAnsi="Times New Roman" w:cs="Times New Roman"/>
          <w:sz w:val="24"/>
          <w:szCs w:val="24"/>
        </w:rPr>
      </w:pPr>
      <w:r w:rsidRPr="00DA066F">
        <w:rPr>
          <w:rFonts w:ascii="Times New Roman" w:hAnsi="Times New Roman" w:cs="Times New Roman"/>
          <w:sz w:val="24"/>
          <w:szCs w:val="24"/>
          <w:vertAlign w:val="superscript"/>
        </w:rPr>
        <w:t>3</w:t>
      </w:r>
      <w:r w:rsidRPr="00DA066F">
        <w:rPr>
          <w:rFonts w:ascii="Times New Roman" w:hAnsi="Times New Roman" w:cs="Times New Roman"/>
          <w:sz w:val="24"/>
          <w:szCs w:val="24"/>
        </w:rP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rsidR="00484AEA" w:rsidRPr="00DA066F" w:rsidRDefault="00484AEA" w:rsidP="00484AEA">
      <w:pPr>
        <w:spacing w:after="0" w:line="240" w:lineRule="auto"/>
        <w:rPr>
          <w:rFonts w:ascii="Times New Roman" w:hAnsi="Times New Roman" w:cs="Times New Roman"/>
          <w:sz w:val="24"/>
          <w:szCs w:val="24"/>
        </w:rPr>
        <w:sectPr w:rsidR="00484AEA" w:rsidRPr="00DA066F">
          <w:pgSz w:w="16834" w:h="11909" w:orient="landscape"/>
          <w:pgMar w:top="857" w:right="1107" w:bottom="360" w:left="1107" w:header="567" w:footer="567" w:gutter="0"/>
          <w:cols w:space="60"/>
          <w:noEndnote/>
        </w:sectPr>
      </w:pPr>
    </w:p>
    <w:tbl>
      <w:tblPr>
        <w:tblW w:w="14621" w:type="dxa"/>
        <w:tblInd w:w="40" w:type="dxa"/>
        <w:tblLayout w:type="fixed"/>
        <w:tblCellMar>
          <w:left w:w="40" w:type="dxa"/>
          <w:right w:w="40" w:type="dxa"/>
        </w:tblCellMar>
        <w:tblLook w:val="0000" w:firstRow="0" w:lastRow="0" w:firstColumn="0" w:lastColumn="0" w:noHBand="0" w:noVBand="0"/>
      </w:tblPr>
      <w:tblGrid>
        <w:gridCol w:w="715"/>
        <w:gridCol w:w="3403"/>
        <w:gridCol w:w="6182"/>
        <w:gridCol w:w="2835"/>
        <w:gridCol w:w="1486"/>
      </w:tblGrid>
      <w:tr w:rsidR="00484AEA" w:rsidRPr="00DA066F" w:rsidTr="00C44749">
        <w:trPr>
          <w:trHeight w:hRule="exact" w:val="197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lastRenderedPageBreak/>
              <w:t>17.</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7B7604">
            <w:pPr>
              <w:spacing w:after="0" w:line="240" w:lineRule="auto"/>
              <w:jc w:val="both"/>
              <w:rPr>
                <w:rFonts w:ascii="Times New Roman" w:hAnsi="Times New Roman" w:cs="Times New Roman"/>
                <w:sz w:val="24"/>
                <w:szCs w:val="24"/>
              </w:rPr>
            </w:pPr>
            <w:r w:rsidRPr="00DA066F">
              <w:rPr>
                <w:rFonts w:ascii="Times New Roman" w:hAnsi="Times New Roman" w:cs="Times New Roman"/>
                <w:sz w:val="24"/>
                <w:szCs w:val="24"/>
              </w:rPr>
              <w:t>Teisės akto projekte nustatyta subjektų, su kuriais susijęs teisės akto projekto nuostatų įgyvendinimas, atsakomybės rūšis (tarnybinė, administracinė, baudžiamoji ir panašiai)</w:t>
            </w:r>
          </w:p>
        </w:tc>
        <w:tc>
          <w:tcPr>
            <w:tcW w:w="6182" w:type="dxa"/>
            <w:tcBorders>
              <w:top w:val="single" w:sz="6" w:space="0" w:color="auto"/>
              <w:left w:val="single" w:sz="6" w:space="0" w:color="auto"/>
              <w:bottom w:val="single" w:sz="6" w:space="0" w:color="auto"/>
              <w:right w:val="single" w:sz="6" w:space="0" w:color="auto"/>
            </w:tcBorders>
            <w:shd w:val="clear" w:color="auto" w:fill="FFFFFF"/>
          </w:tcPr>
          <w:p w:rsidR="00484AEA" w:rsidRPr="00983F56" w:rsidRDefault="0023315A" w:rsidP="004413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Neaktualu.</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p>
        </w:tc>
        <w:tc>
          <w:tcPr>
            <w:tcW w:w="1486"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xml:space="preserve">X tenkina </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netenkina</w:t>
            </w:r>
          </w:p>
        </w:tc>
      </w:tr>
      <w:tr w:rsidR="00484AEA" w:rsidRPr="00DA066F" w:rsidTr="00C44749">
        <w:trPr>
          <w:trHeight w:hRule="exact" w:val="196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18.</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7B7604">
            <w:pPr>
              <w:spacing w:after="0" w:line="240" w:lineRule="auto"/>
              <w:jc w:val="both"/>
              <w:rPr>
                <w:rFonts w:ascii="Times New Roman" w:hAnsi="Times New Roman" w:cs="Times New Roman"/>
                <w:sz w:val="24"/>
                <w:szCs w:val="24"/>
              </w:rPr>
            </w:pPr>
            <w:r w:rsidRPr="00DA066F">
              <w:rPr>
                <w:rFonts w:ascii="Times New Roman" w:hAnsi="Times New Roman" w:cs="Times New Roman"/>
                <w:sz w:val="24"/>
                <w:szCs w:val="24"/>
              </w:rPr>
              <w:t>Teisės aktų projekte numatytas baigtinis sąrašas kriterijų, pagal kuriuos skiriama nuobauda (sankcija) už teisės akto projekte nustatytų nurodymų nevykdymą, ir nustatyta aiški jos skyrimo procedūra</w:t>
            </w:r>
          </w:p>
        </w:tc>
        <w:tc>
          <w:tcPr>
            <w:tcW w:w="6182" w:type="dxa"/>
            <w:tcBorders>
              <w:top w:val="single" w:sz="6" w:space="0" w:color="auto"/>
              <w:left w:val="single" w:sz="6" w:space="0" w:color="auto"/>
              <w:bottom w:val="single" w:sz="6" w:space="0" w:color="auto"/>
              <w:right w:val="single" w:sz="6" w:space="0" w:color="auto"/>
            </w:tcBorders>
            <w:shd w:val="clear" w:color="auto" w:fill="FFFFFF"/>
          </w:tcPr>
          <w:p w:rsidR="00484AEA" w:rsidRPr="00983F56" w:rsidRDefault="0023315A" w:rsidP="004413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Neaktualu.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p>
        </w:tc>
        <w:tc>
          <w:tcPr>
            <w:tcW w:w="1486"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xml:space="preserve">X tenkina </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netenkina</w:t>
            </w:r>
          </w:p>
        </w:tc>
      </w:tr>
      <w:tr w:rsidR="00484AEA" w:rsidRPr="00DA066F" w:rsidTr="00C44749">
        <w:trPr>
          <w:trHeight w:hRule="exact" w:val="52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19.</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Kiti svarbūs kriterijai</w:t>
            </w:r>
          </w:p>
        </w:tc>
        <w:tc>
          <w:tcPr>
            <w:tcW w:w="6182"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p>
        </w:tc>
        <w:tc>
          <w:tcPr>
            <w:tcW w:w="1486"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xml:space="preserve">□ tenkina </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netenkina</w:t>
            </w:r>
          </w:p>
        </w:tc>
      </w:tr>
    </w:tbl>
    <w:p w:rsidR="00484AEA" w:rsidRPr="00E55BC7" w:rsidRDefault="00484AEA" w:rsidP="00484AEA">
      <w:pPr>
        <w:shd w:val="clear" w:color="auto" w:fill="FFFFFF"/>
        <w:tabs>
          <w:tab w:val="left" w:pos="7349"/>
        </w:tabs>
        <w:spacing w:before="518" w:line="259" w:lineRule="exact"/>
        <w:ind w:left="120"/>
        <w:rPr>
          <w:rFonts w:ascii="Times New Roman" w:hAnsi="Times New Roman" w:cs="Times New Roman"/>
          <w:sz w:val="24"/>
          <w:szCs w:val="24"/>
        </w:rPr>
      </w:pPr>
      <w:r w:rsidRPr="00E55BC7">
        <w:rPr>
          <w:rFonts w:ascii="Times New Roman" w:hAnsi="Times New Roman" w:cs="Times New Roman"/>
          <w:spacing w:val="-2"/>
          <w:sz w:val="24"/>
          <w:szCs w:val="24"/>
        </w:rPr>
        <w:t>Teisės akto projekto</w:t>
      </w:r>
      <w:r w:rsidR="00BE465B">
        <w:rPr>
          <w:rFonts w:ascii="Times New Roman" w:hAnsi="Times New Roman" w:cs="Times New Roman"/>
          <w:spacing w:val="-2"/>
          <w:sz w:val="24"/>
          <w:szCs w:val="24"/>
        </w:rPr>
        <w:tab/>
      </w:r>
      <w:r w:rsidR="00BE465B">
        <w:rPr>
          <w:rFonts w:ascii="Times New Roman" w:hAnsi="Times New Roman" w:cs="Times New Roman"/>
          <w:spacing w:val="-2"/>
          <w:sz w:val="24"/>
          <w:szCs w:val="24"/>
        </w:rPr>
        <w:tab/>
      </w:r>
      <w:r w:rsidR="00BE465B">
        <w:rPr>
          <w:rFonts w:ascii="Times New Roman" w:hAnsi="Times New Roman" w:cs="Times New Roman"/>
          <w:spacing w:val="-2"/>
          <w:sz w:val="24"/>
          <w:szCs w:val="24"/>
        </w:rPr>
        <w:tab/>
      </w:r>
      <w:r w:rsidRPr="00E55BC7">
        <w:rPr>
          <w:rFonts w:ascii="Times New Roman" w:hAnsi="Times New Roman" w:cs="Times New Roman"/>
          <w:spacing w:val="-1"/>
          <w:sz w:val="24"/>
          <w:szCs w:val="24"/>
        </w:rPr>
        <w:t>Teisės akto projekto</w:t>
      </w:r>
    </w:p>
    <w:p w:rsidR="00484AEA" w:rsidRPr="00E55BC7" w:rsidRDefault="00484AEA" w:rsidP="00BE465B">
      <w:pPr>
        <w:shd w:val="clear" w:color="auto" w:fill="FFFFFF"/>
        <w:tabs>
          <w:tab w:val="left" w:pos="2462"/>
          <w:tab w:val="left" w:leader="underscore" w:pos="7238"/>
          <w:tab w:val="left" w:pos="9667"/>
          <w:tab w:val="left" w:leader="underscore" w:pos="14496"/>
        </w:tabs>
        <w:spacing w:line="259" w:lineRule="exact"/>
        <w:rPr>
          <w:rFonts w:ascii="Times New Roman" w:hAnsi="Times New Roman" w:cs="Times New Roman"/>
          <w:sz w:val="24"/>
          <w:szCs w:val="24"/>
        </w:rPr>
      </w:pPr>
      <w:r w:rsidRPr="00E55BC7">
        <w:rPr>
          <w:rFonts w:ascii="Times New Roman" w:hAnsi="Times New Roman" w:cs="Times New Roman"/>
          <w:spacing w:val="-2"/>
          <w:sz w:val="24"/>
          <w:szCs w:val="24"/>
        </w:rPr>
        <w:t>tiesioginis rengėjas:</w:t>
      </w:r>
      <w:r w:rsidR="00BE465B">
        <w:rPr>
          <w:rFonts w:ascii="Times New Roman" w:hAnsi="Times New Roman" w:cs="Times New Roman"/>
          <w:spacing w:val="-2"/>
          <w:sz w:val="24"/>
          <w:szCs w:val="24"/>
        </w:rPr>
        <w:t xml:space="preserve"> </w:t>
      </w:r>
      <w:r w:rsidR="00BE465B">
        <w:rPr>
          <w:rFonts w:ascii="Times New Roman" w:hAnsi="Times New Roman" w:cs="Times New Roman"/>
          <w:sz w:val="24"/>
          <w:szCs w:val="24"/>
        </w:rPr>
        <w:t>Personalo administravimo skyriaus v</w:t>
      </w:r>
      <w:r w:rsidR="00E24A4A">
        <w:rPr>
          <w:rFonts w:ascii="Times New Roman" w:hAnsi="Times New Roman" w:cs="Times New Roman"/>
          <w:sz w:val="24"/>
          <w:szCs w:val="24"/>
        </w:rPr>
        <w:t>ed</w:t>
      </w:r>
      <w:r w:rsidR="00BE465B">
        <w:rPr>
          <w:rFonts w:ascii="Times New Roman" w:hAnsi="Times New Roman" w:cs="Times New Roman"/>
          <w:sz w:val="24"/>
          <w:szCs w:val="24"/>
        </w:rPr>
        <w:t xml:space="preserve">ėja  </w:t>
      </w:r>
      <w:r w:rsidR="00E24A4A">
        <w:rPr>
          <w:rFonts w:ascii="Times New Roman" w:hAnsi="Times New Roman" w:cs="Times New Roman"/>
          <w:sz w:val="24"/>
          <w:szCs w:val="24"/>
        </w:rPr>
        <w:t xml:space="preserve">Stasė </w:t>
      </w:r>
      <w:proofErr w:type="spellStart"/>
      <w:r w:rsidR="00E24A4A">
        <w:rPr>
          <w:rFonts w:ascii="Times New Roman" w:hAnsi="Times New Roman" w:cs="Times New Roman"/>
          <w:sz w:val="24"/>
          <w:szCs w:val="24"/>
        </w:rPr>
        <w:t>Venslavičienė</w:t>
      </w:r>
      <w:proofErr w:type="spellEnd"/>
      <w:r w:rsidRPr="00E55BC7">
        <w:rPr>
          <w:rFonts w:ascii="Times New Roman" w:hAnsi="Times New Roman" w:cs="Times New Roman"/>
          <w:sz w:val="24"/>
          <w:szCs w:val="24"/>
        </w:rPr>
        <w:t xml:space="preserve"> </w:t>
      </w:r>
      <w:r w:rsidR="00BE465B">
        <w:rPr>
          <w:rFonts w:ascii="Times New Roman" w:hAnsi="Times New Roman" w:cs="Times New Roman"/>
          <w:sz w:val="24"/>
          <w:szCs w:val="24"/>
        </w:rPr>
        <w:t xml:space="preserve"> </w:t>
      </w:r>
      <w:r w:rsidR="00E24A4A">
        <w:rPr>
          <w:rFonts w:ascii="Times New Roman" w:hAnsi="Times New Roman" w:cs="Times New Roman"/>
          <w:sz w:val="24"/>
          <w:szCs w:val="24"/>
        </w:rPr>
        <w:t xml:space="preserve"> </w:t>
      </w:r>
      <w:r w:rsidRPr="00E55BC7">
        <w:rPr>
          <w:rFonts w:ascii="Times New Roman" w:hAnsi="Times New Roman" w:cs="Times New Roman"/>
          <w:spacing w:val="-2"/>
          <w:sz w:val="24"/>
          <w:szCs w:val="24"/>
        </w:rPr>
        <w:t>vertintojas:</w:t>
      </w:r>
      <w:r w:rsidR="00BE465B">
        <w:rPr>
          <w:rFonts w:ascii="Times New Roman" w:hAnsi="Times New Roman" w:cs="Times New Roman"/>
          <w:spacing w:val="-2"/>
          <w:sz w:val="24"/>
          <w:szCs w:val="24"/>
        </w:rPr>
        <w:t xml:space="preserve"> Juridinio skyriaus </w:t>
      </w:r>
      <w:r w:rsidR="00E24A4A">
        <w:rPr>
          <w:rFonts w:ascii="Times New Roman" w:hAnsi="Times New Roman" w:cs="Times New Roman"/>
          <w:sz w:val="24"/>
          <w:szCs w:val="24"/>
        </w:rPr>
        <w:t>vyr. specialis</w:t>
      </w:r>
      <w:r w:rsidR="00BE465B">
        <w:rPr>
          <w:rFonts w:ascii="Times New Roman" w:hAnsi="Times New Roman" w:cs="Times New Roman"/>
          <w:sz w:val="24"/>
          <w:szCs w:val="24"/>
        </w:rPr>
        <w:t xml:space="preserve">tė </w:t>
      </w:r>
      <w:r w:rsidR="0055077B">
        <w:rPr>
          <w:rFonts w:ascii="Times New Roman" w:hAnsi="Times New Roman" w:cs="Times New Roman"/>
          <w:sz w:val="24"/>
          <w:szCs w:val="24"/>
        </w:rPr>
        <w:t>Aušra Vyšniauskienė</w:t>
      </w:r>
    </w:p>
    <w:p w:rsidR="00484AEA" w:rsidRPr="00E55BC7" w:rsidRDefault="00484AEA" w:rsidP="00484AEA">
      <w:pPr>
        <w:shd w:val="clear" w:color="auto" w:fill="FFFFFF"/>
        <w:tabs>
          <w:tab w:val="left" w:pos="4848"/>
          <w:tab w:val="left" w:pos="9787"/>
          <w:tab w:val="left" w:pos="12826"/>
        </w:tabs>
        <w:spacing w:line="259" w:lineRule="exact"/>
        <w:ind w:left="2582"/>
        <w:rPr>
          <w:rFonts w:ascii="Times New Roman" w:hAnsi="Times New Roman" w:cs="Times New Roman"/>
          <w:sz w:val="24"/>
          <w:szCs w:val="24"/>
        </w:rPr>
      </w:pPr>
      <w:r w:rsidRPr="00E55BC7">
        <w:rPr>
          <w:rFonts w:ascii="Times New Roman" w:hAnsi="Times New Roman" w:cs="Times New Roman"/>
          <w:spacing w:val="-3"/>
          <w:sz w:val="24"/>
          <w:szCs w:val="24"/>
        </w:rPr>
        <w:t>(pareigos)</w:t>
      </w:r>
      <w:r w:rsidRPr="00E55BC7">
        <w:rPr>
          <w:rFonts w:ascii="Times New Roman" w:hAnsi="Times New Roman" w:cs="Times New Roman"/>
          <w:sz w:val="24"/>
          <w:szCs w:val="24"/>
        </w:rPr>
        <w:tab/>
      </w:r>
      <w:r w:rsidRPr="00E55BC7">
        <w:rPr>
          <w:rFonts w:ascii="Times New Roman" w:hAnsi="Times New Roman" w:cs="Times New Roman"/>
          <w:spacing w:val="-2"/>
          <w:sz w:val="24"/>
          <w:szCs w:val="24"/>
        </w:rPr>
        <w:t>(vardas ir pavardė)</w:t>
      </w:r>
      <w:r w:rsidRPr="00E55BC7">
        <w:rPr>
          <w:rFonts w:ascii="Times New Roman" w:hAnsi="Times New Roman" w:cs="Times New Roman"/>
          <w:sz w:val="24"/>
          <w:szCs w:val="24"/>
        </w:rPr>
        <w:tab/>
      </w:r>
      <w:r w:rsidRPr="00E55BC7">
        <w:rPr>
          <w:rFonts w:ascii="Times New Roman" w:hAnsi="Times New Roman" w:cs="Times New Roman"/>
          <w:spacing w:val="-3"/>
          <w:sz w:val="24"/>
          <w:szCs w:val="24"/>
        </w:rPr>
        <w:t>(pareigos)</w:t>
      </w:r>
      <w:r w:rsidRPr="00E55BC7">
        <w:rPr>
          <w:rFonts w:ascii="Times New Roman" w:hAnsi="Times New Roman" w:cs="Times New Roman"/>
          <w:sz w:val="24"/>
          <w:szCs w:val="24"/>
        </w:rPr>
        <w:tab/>
      </w:r>
      <w:r w:rsidRPr="00E55BC7">
        <w:rPr>
          <w:rFonts w:ascii="Times New Roman" w:hAnsi="Times New Roman" w:cs="Times New Roman"/>
          <w:spacing w:val="-2"/>
          <w:sz w:val="24"/>
          <w:szCs w:val="24"/>
        </w:rPr>
        <w:t>(vardas ir pavardė)</w:t>
      </w:r>
    </w:p>
    <w:p w:rsidR="00484AEA" w:rsidRPr="00E55BC7" w:rsidRDefault="00484AEA" w:rsidP="00484AEA">
      <w:pPr>
        <w:shd w:val="clear" w:color="auto" w:fill="FFFFFF"/>
        <w:tabs>
          <w:tab w:val="left" w:pos="5467"/>
          <w:tab w:val="left" w:pos="9845"/>
          <w:tab w:val="left" w:pos="13555"/>
        </w:tabs>
        <w:spacing w:before="259"/>
        <w:ind w:left="2582"/>
        <w:rPr>
          <w:rFonts w:ascii="Times New Roman" w:hAnsi="Times New Roman" w:cs="Times New Roman"/>
          <w:sz w:val="24"/>
          <w:szCs w:val="24"/>
        </w:rPr>
      </w:pPr>
      <w:r w:rsidRPr="00E55BC7">
        <w:rPr>
          <w:rFonts w:ascii="Times New Roman" w:hAnsi="Times New Roman" w:cs="Times New Roman"/>
          <w:spacing w:val="-3"/>
          <w:sz w:val="24"/>
          <w:szCs w:val="24"/>
        </w:rPr>
        <w:t>(parašas)</w:t>
      </w:r>
      <w:r w:rsidRPr="00E55BC7">
        <w:rPr>
          <w:rFonts w:ascii="Times New Roman" w:hAnsi="Times New Roman" w:cs="Times New Roman"/>
          <w:sz w:val="24"/>
          <w:szCs w:val="24"/>
        </w:rPr>
        <w:tab/>
      </w:r>
      <w:r w:rsidRPr="00E55BC7">
        <w:rPr>
          <w:rFonts w:ascii="Times New Roman" w:hAnsi="Times New Roman" w:cs="Times New Roman"/>
          <w:spacing w:val="-5"/>
          <w:sz w:val="24"/>
          <w:szCs w:val="24"/>
        </w:rPr>
        <w:t>(data)</w:t>
      </w:r>
      <w:r w:rsidRPr="00E55BC7">
        <w:rPr>
          <w:rFonts w:ascii="Times New Roman" w:hAnsi="Times New Roman" w:cs="Times New Roman"/>
          <w:sz w:val="24"/>
          <w:szCs w:val="24"/>
        </w:rPr>
        <w:tab/>
      </w:r>
      <w:r w:rsidRPr="00E55BC7">
        <w:rPr>
          <w:rFonts w:ascii="Times New Roman" w:hAnsi="Times New Roman" w:cs="Times New Roman"/>
          <w:spacing w:val="-3"/>
          <w:sz w:val="24"/>
          <w:szCs w:val="24"/>
        </w:rPr>
        <w:t>(parašas)</w:t>
      </w:r>
      <w:r w:rsidRPr="00E55BC7">
        <w:rPr>
          <w:rFonts w:ascii="Times New Roman" w:hAnsi="Times New Roman" w:cs="Times New Roman"/>
          <w:sz w:val="24"/>
          <w:szCs w:val="24"/>
        </w:rPr>
        <w:tab/>
      </w:r>
      <w:r w:rsidRPr="00E55BC7">
        <w:rPr>
          <w:rFonts w:ascii="Times New Roman" w:hAnsi="Times New Roman" w:cs="Times New Roman"/>
          <w:spacing w:val="-5"/>
          <w:sz w:val="24"/>
          <w:szCs w:val="24"/>
        </w:rPr>
        <w:t>(data)</w:t>
      </w:r>
    </w:p>
    <w:p w:rsidR="00484AEA" w:rsidRPr="00E55BC7" w:rsidRDefault="00484AEA" w:rsidP="00484AEA">
      <w:pPr>
        <w:rPr>
          <w:rFonts w:ascii="Times New Roman" w:hAnsi="Times New Roman" w:cs="Times New Roman"/>
          <w:sz w:val="24"/>
          <w:szCs w:val="24"/>
        </w:rPr>
      </w:pPr>
    </w:p>
    <w:p w:rsidR="00484AEA" w:rsidRPr="00DA066F" w:rsidRDefault="00484AEA" w:rsidP="00484AEA">
      <w:pPr>
        <w:spacing w:after="0" w:line="240" w:lineRule="auto"/>
        <w:rPr>
          <w:rFonts w:ascii="Times New Roman" w:hAnsi="Times New Roman" w:cs="Times New Roman"/>
          <w:sz w:val="24"/>
          <w:szCs w:val="24"/>
        </w:rPr>
      </w:pPr>
    </w:p>
    <w:p w:rsidR="00B6617F" w:rsidRDefault="006A6F84"/>
    <w:sectPr w:rsidR="00B6617F">
      <w:pgSz w:w="16834" w:h="11909" w:orient="landscape"/>
      <w:pgMar w:top="1440" w:right="1107" w:bottom="720" w:left="1107" w:header="567" w:footer="567"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6F84" w:rsidRDefault="006A6F84" w:rsidP="00291A19">
      <w:pPr>
        <w:spacing w:after="0" w:line="240" w:lineRule="auto"/>
      </w:pPr>
      <w:r>
        <w:separator/>
      </w:r>
    </w:p>
  </w:endnote>
  <w:endnote w:type="continuationSeparator" w:id="0">
    <w:p w:rsidR="006A6F84" w:rsidRDefault="006A6F84" w:rsidP="00291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6F84" w:rsidRDefault="006A6F84" w:rsidP="00291A19">
      <w:pPr>
        <w:spacing w:after="0" w:line="240" w:lineRule="auto"/>
      </w:pPr>
      <w:r>
        <w:separator/>
      </w:r>
    </w:p>
  </w:footnote>
  <w:footnote w:type="continuationSeparator" w:id="0">
    <w:p w:rsidR="006A6F84" w:rsidRDefault="006A6F84" w:rsidP="00291A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A19" w:rsidRDefault="00291A19">
    <w:pPr>
      <w:pStyle w:val="Antrats"/>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AEA"/>
    <w:rsid w:val="00054BFC"/>
    <w:rsid w:val="00056209"/>
    <w:rsid w:val="000A1C12"/>
    <w:rsid w:val="000C20B5"/>
    <w:rsid w:val="001E4DB0"/>
    <w:rsid w:val="0023315A"/>
    <w:rsid w:val="00281B3C"/>
    <w:rsid w:val="00291A19"/>
    <w:rsid w:val="0032282F"/>
    <w:rsid w:val="003566F3"/>
    <w:rsid w:val="003A2415"/>
    <w:rsid w:val="003D55CE"/>
    <w:rsid w:val="00407509"/>
    <w:rsid w:val="004413B0"/>
    <w:rsid w:val="00484AEA"/>
    <w:rsid w:val="004B19F7"/>
    <w:rsid w:val="004C79E5"/>
    <w:rsid w:val="004D7EC1"/>
    <w:rsid w:val="0055077B"/>
    <w:rsid w:val="005D0B46"/>
    <w:rsid w:val="00676E99"/>
    <w:rsid w:val="00690EA9"/>
    <w:rsid w:val="00692AC7"/>
    <w:rsid w:val="006A6F84"/>
    <w:rsid w:val="00705B7D"/>
    <w:rsid w:val="007339C8"/>
    <w:rsid w:val="00756FF5"/>
    <w:rsid w:val="007B7604"/>
    <w:rsid w:val="007C752C"/>
    <w:rsid w:val="00805A49"/>
    <w:rsid w:val="00856F09"/>
    <w:rsid w:val="008D6036"/>
    <w:rsid w:val="00921699"/>
    <w:rsid w:val="00983F56"/>
    <w:rsid w:val="009F19FC"/>
    <w:rsid w:val="009F1BA5"/>
    <w:rsid w:val="00A13285"/>
    <w:rsid w:val="00A568EA"/>
    <w:rsid w:val="00AB3B87"/>
    <w:rsid w:val="00AF6C6E"/>
    <w:rsid w:val="00B04249"/>
    <w:rsid w:val="00B35146"/>
    <w:rsid w:val="00BB09AB"/>
    <w:rsid w:val="00BB34E9"/>
    <w:rsid w:val="00BE465B"/>
    <w:rsid w:val="00BF30A9"/>
    <w:rsid w:val="00C74F4A"/>
    <w:rsid w:val="00D0636D"/>
    <w:rsid w:val="00D155BC"/>
    <w:rsid w:val="00D35739"/>
    <w:rsid w:val="00D36B11"/>
    <w:rsid w:val="00D36FDB"/>
    <w:rsid w:val="00D45156"/>
    <w:rsid w:val="00D479C5"/>
    <w:rsid w:val="00D65B2C"/>
    <w:rsid w:val="00DA3CB3"/>
    <w:rsid w:val="00DC52DB"/>
    <w:rsid w:val="00DF6B43"/>
    <w:rsid w:val="00E24A4A"/>
    <w:rsid w:val="00E5717F"/>
    <w:rsid w:val="00E7264E"/>
    <w:rsid w:val="00EF0FE4"/>
    <w:rsid w:val="00FD6E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2E6DC7-3F40-4184-8096-EDB57CCD9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84AE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805A49"/>
    <w:rPr>
      <w:strike w:val="0"/>
      <w:dstrike w:val="0"/>
      <w:color w:val="6E717F"/>
      <w:u w:val="none"/>
      <w:effect w:val="none"/>
    </w:rPr>
  </w:style>
  <w:style w:type="paragraph" w:styleId="Debesliotekstas">
    <w:name w:val="Balloon Text"/>
    <w:basedOn w:val="prastasis"/>
    <w:link w:val="DebesliotekstasDiagrama"/>
    <w:uiPriority w:val="99"/>
    <w:semiHidden/>
    <w:unhideWhenUsed/>
    <w:rsid w:val="0040750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07509"/>
    <w:rPr>
      <w:rFonts w:ascii="Segoe UI" w:hAnsi="Segoe UI" w:cs="Segoe UI"/>
      <w:sz w:val="18"/>
      <w:szCs w:val="18"/>
    </w:rPr>
  </w:style>
  <w:style w:type="paragraph" w:styleId="Antrats">
    <w:name w:val="header"/>
    <w:basedOn w:val="prastasis"/>
    <w:link w:val="AntratsDiagrama"/>
    <w:uiPriority w:val="99"/>
    <w:unhideWhenUsed/>
    <w:rsid w:val="00291A1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91A19"/>
  </w:style>
  <w:style w:type="paragraph" w:styleId="Porat">
    <w:name w:val="footer"/>
    <w:basedOn w:val="prastasis"/>
    <w:link w:val="PoratDiagrama"/>
    <w:uiPriority w:val="99"/>
    <w:unhideWhenUsed/>
    <w:rsid w:val="00291A1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91A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5861</Words>
  <Characters>3342</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Stase Venslaviciene</cp:lastModifiedBy>
  <cp:revision>2</cp:revision>
  <cp:lastPrinted>2019-12-12T08:21:00Z</cp:lastPrinted>
  <dcterms:created xsi:type="dcterms:W3CDTF">2019-12-12T14:56:00Z</dcterms:created>
  <dcterms:modified xsi:type="dcterms:W3CDTF">2019-12-12T14:56:00Z</dcterms:modified>
</cp:coreProperties>
</file>