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1B2960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8BD4BC1" wp14:editId="010FF24D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</w:r>
      <w:r w:rsidR="009A5AD4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9A5AD4" w:rsidRPr="001B2960">
        <w:rPr>
          <w:b/>
          <w:sz w:val="24"/>
          <w:szCs w:val="24"/>
        </w:rPr>
        <w:t>Projektas</w:t>
      </w:r>
      <w:r w:rsidR="006846AE" w:rsidRPr="001B2960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32262" w:rsidRPr="001B2960">
        <w:rPr>
          <w:rFonts w:cs="Times New Roman"/>
          <w:b/>
          <w:sz w:val="24"/>
          <w:szCs w:val="24"/>
        </w:rPr>
        <w:t xml:space="preserve">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892E19" w:rsidRDefault="00326B02" w:rsidP="00892E19">
      <w:pPr>
        <w:pStyle w:val="Pagrindiniotekstotrauka"/>
        <w:rPr>
          <w:rFonts w:cs="Times New Roman"/>
          <w:b/>
          <w:color w:val="000000"/>
        </w:rPr>
      </w:pPr>
      <w:r w:rsidRPr="00326B02">
        <w:rPr>
          <w:rFonts w:cs="Times New Roman"/>
          <w:b/>
          <w:color w:val="000000"/>
        </w:rPr>
        <w:t xml:space="preserve">DĖL </w:t>
      </w:r>
      <w:r w:rsidRPr="007F7C3C">
        <w:rPr>
          <w:rFonts w:cs="Times New Roman"/>
          <w:b/>
        </w:rPr>
        <w:t>METINIO ŽEMĖS NUOMOS MOKESČIO UŽ VALSTYBINĘ ŽEMĘ, IŠNUOMOTĄ NE AUKCIONO BŪDU,</w:t>
      </w:r>
      <w:r w:rsidRPr="007F7C3C">
        <w:rPr>
          <w:rFonts w:ascii="Calibri" w:hAnsi="Calibri"/>
        </w:rPr>
        <w:t xml:space="preserve"> </w:t>
      </w:r>
      <w:r w:rsidR="00482C65" w:rsidRPr="007F7C3C">
        <w:rPr>
          <w:rFonts w:cs="Times New Roman"/>
          <w:b/>
        </w:rPr>
        <w:t>TARIF</w:t>
      </w:r>
      <w:r w:rsidR="00245AF2" w:rsidRPr="007F7C3C">
        <w:rPr>
          <w:rFonts w:cs="Times New Roman"/>
          <w:b/>
        </w:rPr>
        <w:t>Ų</w:t>
      </w:r>
      <w:r w:rsidR="009B711B" w:rsidRPr="007F7C3C">
        <w:rPr>
          <w:rFonts w:cs="Times New Roman"/>
          <w:b/>
        </w:rPr>
        <w:t xml:space="preserve"> N</w:t>
      </w:r>
      <w:r w:rsidR="009B711B" w:rsidRPr="000D5B18">
        <w:rPr>
          <w:rFonts w:cs="Times New Roman"/>
          <w:b/>
        </w:rPr>
        <w:t>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54028B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DD50F4">
        <w:rPr>
          <w:rFonts w:cs="Times New Roman"/>
          <w:sz w:val="24"/>
        </w:rPr>
        <w:t>9</w:t>
      </w:r>
      <w:r w:rsidRPr="000D5B18">
        <w:rPr>
          <w:rFonts w:cs="Times New Roman"/>
          <w:sz w:val="24"/>
        </w:rPr>
        <w:t xml:space="preserve"> m. </w:t>
      </w:r>
      <w:r w:rsidR="00BA6222">
        <w:rPr>
          <w:rFonts w:cs="Times New Roman"/>
          <w:sz w:val="24"/>
        </w:rPr>
        <w:t xml:space="preserve">gegužės </w:t>
      </w:r>
      <w:r w:rsidR="00DD50F4">
        <w:rPr>
          <w:rFonts w:cs="Times New Roman"/>
          <w:sz w:val="24"/>
        </w:rPr>
        <w:t xml:space="preserve">  </w:t>
      </w:r>
      <w:r w:rsidR="003C0EA4" w:rsidRPr="000D5B18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  <w:r w:rsidR="009309B9">
        <w:rPr>
          <w:rFonts w:cs="Times New Roman"/>
          <w:sz w:val="24"/>
        </w:rPr>
        <w:t xml:space="preserve"> 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DD50F4">
        <w:rPr>
          <w:rFonts w:cs="Times New Roman"/>
        </w:rPr>
        <w:t xml:space="preserve"> ir 18 straipsnio 1 dalimi, </w:t>
      </w:r>
      <w:r w:rsidR="00892E19">
        <w:rPr>
          <w:rFonts w:cs="Times New Roman"/>
        </w:rPr>
        <w:t>Žemės vertinimo tvarka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="00892E19">
        <w:rPr>
          <w:rFonts w:cs="Times New Roman"/>
          <w:szCs w:val="24"/>
        </w:rPr>
        <w:t xml:space="preserve">patvirtinta </w:t>
      </w:r>
      <w:r w:rsidRPr="000D5B18">
        <w:rPr>
          <w:rFonts w:cs="Times New Roman"/>
        </w:rPr>
        <w:t xml:space="preserve">Lietuvos Respublikos </w:t>
      </w:r>
      <w:r w:rsidR="00DD50F4">
        <w:rPr>
          <w:rFonts w:cs="Times New Roman"/>
        </w:rPr>
        <w:t>Vyriausybės 1999 m. vasar</w:t>
      </w:r>
      <w:r w:rsidR="00892E19">
        <w:rPr>
          <w:rFonts w:cs="Times New Roman"/>
        </w:rPr>
        <w:t>io 24 d. nutarimu Nr. 205 „Dėl</w:t>
      </w:r>
      <w:r w:rsidR="00892E19" w:rsidRPr="00892E19">
        <w:rPr>
          <w:rFonts w:cs="Times New Roman"/>
        </w:rPr>
        <w:t xml:space="preserve"> </w:t>
      </w:r>
      <w:r w:rsidR="00892E19">
        <w:rPr>
          <w:rFonts w:cs="Times New Roman"/>
        </w:rPr>
        <w:t>Žemės vertinimo tvarkos</w:t>
      </w:r>
      <w:r w:rsidR="00DD50F4">
        <w:rPr>
          <w:rFonts w:cs="Times New Roman"/>
        </w:rPr>
        <w:t>“, Lietuvos Respublikos Vyriausybės 2020 m. lapk</w:t>
      </w:r>
      <w:r w:rsidR="00892E19">
        <w:rPr>
          <w:rFonts w:cs="Times New Roman"/>
        </w:rPr>
        <w:t>ričio 19 d. nutarimu Nr. 1798 „D</w:t>
      </w:r>
      <w:r w:rsidR="00DD50F4">
        <w:rPr>
          <w:rFonts w:cs="Times New Roman"/>
        </w:rPr>
        <w:t>ėl nuomos mokesčio už valstybinę žemę“ ir Lietuvos Respublikos Vyriausybės 2003 m. lapkričio 10 d. nutarimu Nr. 1387 „Dėl nuomos mokesčio už valstybinės žemės sklypų naudojimą“,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="00892E19">
        <w:rPr>
          <w:rFonts w:cs="Times New Roman"/>
        </w:rPr>
        <w:br/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D736E4" w:rsidRPr="007F7C3C">
        <w:rPr>
          <w:rFonts w:cs="Times New Roman"/>
          <w:sz w:val="24"/>
          <w:szCs w:val="24"/>
        </w:rPr>
        <w:t>met</w:t>
      </w:r>
      <w:r w:rsidR="00DD50F4" w:rsidRPr="007F7C3C">
        <w:rPr>
          <w:rFonts w:cs="Times New Roman"/>
          <w:sz w:val="24"/>
          <w:szCs w:val="24"/>
        </w:rPr>
        <w:t>inio</w:t>
      </w:r>
      <w:r w:rsidR="00D736E4" w:rsidRPr="007F7C3C">
        <w:rPr>
          <w:rFonts w:cs="Times New Roman"/>
          <w:sz w:val="24"/>
          <w:szCs w:val="24"/>
        </w:rPr>
        <w:t xml:space="preserve"> </w:t>
      </w:r>
      <w:r w:rsidR="007F3E48" w:rsidRPr="007F7C3C">
        <w:rPr>
          <w:rFonts w:cs="Times New Roman"/>
          <w:sz w:val="24"/>
          <w:szCs w:val="24"/>
        </w:rPr>
        <w:t xml:space="preserve">žemės </w:t>
      </w:r>
      <w:r w:rsidR="00DD50F4" w:rsidRPr="007F7C3C">
        <w:rPr>
          <w:rFonts w:cs="Times New Roman"/>
          <w:sz w:val="24"/>
          <w:szCs w:val="24"/>
        </w:rPr>
        <w:t>nuomos mokesčio už valstybinę žemę</w:t>
      </w:r>
      <w:r w:rsidR="006D7051">
        <w:rPr>
          <w:rFonts w:cs="Times New Roman"/>
          <w:sz w:val="24"/>
          <w:szCs w:val="24"/>
        </w:rPr>
        <w:t>, išnuomotą ne aukciono būdu,</w:t>
      </w:r>
      <w:r w:rsidR="00DD50F4" w:rsidRPr="007F7C3C">
        <w:rPr>
          <w:rFonts w:cs="Times New Roman"/>
          <w:sz w:val="24"/>
          <w:szCs w:val="24"/>
        </w:rPr>
        <w:t xml:space="preserve"> </w:t>
      </w:r>
      <w:r w:rsidR="007F3E48" w:rsidRPr="007F7C3C">
        <w:rPr>
          <w:rFonts w:cs="Times New Roman"/>
          <w:sz w:val="24"/>
          <w:szCs w:val="24"/>
        </w:rPr>
        <w:t xml:space="preserve">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6D7051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p w:rsidR="000929A4" w:rsidRPr="000D5B18" w:rsidRDefault="000929A4" w:rsidP="000A7A9E">
      <w:pPr>
        <w:ind w:firstLine="720"/>
        <w:jc w:val="both"/>
        <w:rPr>
          <w:rFonts w:cs="Times New Roman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491D82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kodas</w:t>
            </w:r>
          </w:p>
        </w:tc>
        <w:tc>
          <w:tcPr>
            <w:tcW w:w="3827" w:type="dxa"/>
          </w:tcPr>
          <w:p w:rsidR="007F3E48" w:rsidRPr="000D5B18" w:rsidRDefault="007F3E48" w:rsidP="00892E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491D82">
              <w:rPr>
                <w:rFonts w:cs="Times New Roman"/>
                <w:sz w:val="24"/>
                <w:szCs w:val="24"/>
              </w:rPr>
              <w:t>ir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1B2960">
              <w:rPr>
                <w:rFonts w:cs="Times New Roman"/>
                <w:sz w:val="24"/>
                <w:szCs w:val="24"/>
              </w:rPr>
              <w:t>n</w:t>
            </w:r>
            <w:r w:rsidRPr="000D5B18">
              <w:rPr>
                <w:rFonts w:cs="Times New Roman"/>
                <w:sz w:val="24"/>
                <w:szCs w:val="24"/>
              </w:rPr>
              <w:t>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7F3E48" w:rsidRPr="000D5B18" w:rsidRDefault="007F3E48" w:rsidP="00892E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04570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0457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F3E48" w:rsidRPr="000D5B18" w:rsidRDefault="00BB79B2" w:rsidP="00DE217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33.1; 33.2 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54028B" w:rsidP="006172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61725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F3E48" w:rsidRPr="000D5B18" w:rsidRDefault="000A7A9E" w:rsidP="009D6D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33.3–</w:t>
            </w:r>
            <w:r w:rsidR="00BB79B2" w:rsidRPr="000D5B18">
              <w:rPr>
                <w:rFonts w:cs="Times New Roman"/>
                <w:sz w:val="24"/>
                <w:szCs w:val="24"/>
              </w:rPr>
              <w:t>33.</w:t>
            </w:r>
            <w:r w:rsidR="00015838">
              <w:rPr>
                <w:rFonts w:cs="Times New Roman"/>
                <w:sz w:val="24"/>
                <w:szCs w:val="24"/>
              </w:rPr>
              <w:t>49</w:t>
            </w:r>
            <w:r w:rsidR="00BB79B2"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9D6D53" w:rsidRPr="000D5B18">
              <w:rPr>
                <w:rFonts w:cs="Times New Roman"/>
                <w:sz w:val="24"/>
                <w:szCs w:val="24"/>
              </w:rPr>
              <w:t>33.5</w:t>
            </w:r>
            <w:r w:rsidR="009D6D53">
              <w:rPr>
                <w:rFonts w:cs="Times New Roman"/>
                <w:sz w:val="24"/>
                <w:szCs w:val="24"/>
              </w:rPr>
              <w:t>1–</w:t>
            </w:r>
            <w:r w:rsidR="0080248F">
              <w:rPr>
                <w:rFonts w:cs="Times New Roman"/>
                <w:sz w:val="24"/>
                <w:szCs w:val="24"/>
              </w:rPr>
              <w:t>33.</w:t>
            </w:r>
            <w:r w:rsidR="00015838"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33.6; 33.10; 33.50</w:t>
            </w:r>
          </w:p>
        </w:tc>
      </w:tr>
      <w:tr w:rsidR="0080248F" w:rsidRPr="000D5B18" w:rsidTr="000A7A9E">
        <w:trPr>
          <w:trHeight w:val="1307"/>
        </w:trPr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33.7; 33.17;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33.18–</w:t>
            </w:r>
            <w:r w:rsidRPr="000D5B18">
              <w:rPr>
                <w:rFonts w:cs="Times New Roman"/>
                <w:sz w:val="24"/>
                <w:szCs w:val="24"/>
              </w:rPr>
              <w:t>33.22; 33.24; 33.37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Pr="000D5B18">
              <w:rPr>
                <w:rFonts w:cs="Times New Roman"/>
                <w:sz w:val="24"/>
                <w:szCs w:val="24"/>
              </w:rPr>
              <w:t>33.3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0D5B18">
              <w:rPr>
                <w:rFonts w:cs="Times New Roman"/>
                <w:sz w:val="24"/>
                <w:szCs w:val="24"/>
              </w:rPr>
              <w:t>; 33.48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892E1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33.51; 33.52</w:t>
            </w:r>
            <w:r w:rsidR="00015838">
              <w:rPr>
                <w:rFonts w:cs="Times New Roman"/>
                <w:sz w:val="24"/>
                <w:szCs w:val="24"/>
              </w:rPr>
              <w:t>; 33,53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33.12; 33.35; 33.36; </w:t>
            </w:r>
            <w:r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Pr="000D5B18">
              <w:rPr>
                <w:rFonts w:cs="Times New Roman"/>
                <w:sz w:val="24"/>
                <w:szCs w:val="24"/>
              </w:rPr>
              <w:t>33.16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557E68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C0A4A">
              <w:rPr>
                <w:rFonts w:cs="Times New Roman"/>
                <w:sz w:val="24"/>
                <w:szCs w:val="24"/>
              </w:rPr>
              <w:t>3.8; 33.9; 33.11; 33.23; 33.25–</w:t>
            </w:r>
            <w:r w:rsidRPr="000D5B18">
              <w:rPr>
                <w:rFonts w:cs="Times New Roman"/>
                <w:sz w:val="24"/>
                <w:szCs w:val="24"/>
              </w:rPr>
              <w:t>33.27</w:t>
            </w:r>
            <w:r w:rsidR="00557E68">
              <w:rPr>
                <w:rFonts w:cs="Times New Roman"/>
                <w:sz w:val="24"/>
                <w:szCs w:val="24"/>
              </w:rPr>
              <w:t>;</w:t>
            </w:r>
            <w:r w:rsidR="00892E19">
              <w:rPr>
                <w:rFonts w:cs="Times New Roman"/>
                <w:sz w:val="24"/>
                <w:szCs w:val="24"/>
              </w:rPr>
              <w:t xml:space="preserve"> </w:t>
            </w:r>
            <w:r w:rsidR="00557E68">
              <w:rPr>
                <w:rFonts w:cs="Times New Roman"/>
                <w:sz w:val="24"/>
                <w:szCs w:val="24"/>
              </w:rPr>
              <w:t>33.53</w:t>
            </w:r>
          </w:p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33.28–</w:t>
            </w:r>
            <w:r w:rsidRPr="000D5B18">
              <w:rPr>
                <w:rFonts w:cs="Times New Roman"/>
                <w:sz w:val="24"/>
                <w:szCs w:val="24"/>
              </w:rPr>
              <w:t>33.34;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33.4</w:t>
            </w:r>
            <w:r>
              <w:rPr>
                <w:rFonts w:cs="Times New Roman"/>
                <w:sz w:val="24"/>
                <w:szCs w:val="24"/>
              </w:rPr>
              <w:t>7; 33.49</w:t>
            </w:r>
            <w:r w:rsidR="00892E19">
              <w:rPr>
                <w:rFonts w:cs="Times New Roman"/>
                <w:sz w:val="24"/>
                <w:szCs w:val="24"/>
              </w:rPr>
              <w:t>;</w:t>
            </w:r>
            <w:r w:rsidR="009D6D53">
              <w:rPr>
                <w:rFonts w:cs="Times New Roman"/>
                <w:sz w:val="24"/>
                <w:szCs w:val="24"/>
              </w:rPr>
              <w:t xml:space="preserve"> 33.51–33.53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027216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80248F" w:rsidRPr="000D5B18" w:rsidRDefault="0080248F" w:rsidP="00B92F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584279" w:rsidRPr="000D5B18">
              <w:rPr>
                <w:rFonts w:cs="Times New Roman"/>
                <w:sz w:val="24"/>
                <w:szCs w:val="24"/>
              </w:rPr>
              <w:t>33.</w:t>
            </w:r>
            <w:r w:rsidR="00B92F6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C67A4" w:rsidRPr="000D5B18" w:rsidTr="000A7A9E">
        <w:tc>
          <w:tcPr>
            <w:tcW w:w="851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67A4" w:rsidRPr="000D5B18" w:rsidRDefault="005C67A4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5C67A4" w:rsidRPr="00584279" w:rsidRDefault="005C67A4" w:rsidP="005073B3">
            <w:pPr>
              <w:jc w:val="center"/>
              <w:rPr>
                <w:rStyle w:val="Grietas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="005073B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C67A4" w:rsidRDefault="005C67A4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B92F6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–33.4; 33.37</w:t>
            </w:r>
            <w:r w:rsidR="00027216">
              <w:rPr>
                <w:rFonts w:cs="Times New Roman"/>
                <w:sz w:val="24"/>
                <w:szCs w:val="24"/>
              </w:rPr>
              <w:t xml:space="preserve">; </w:t>
            </w:r>
            <w:r w:rsidR="00B92F60">
              <w:rPr>
                <w:rFonts w:cs="Times New Roman"/>
                <w:sz w:val="24"/>
                <w:szCs w:val="24"/>
              </w:rPr>
              <w:t>33.50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5E60BC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48F" w:rsidRPr="000D5B18" w:rsidRDefault="00EC0A4A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5C67A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80248F">
              <w:rPr>
                <w:rFonts w:cs="Times New Roman"/>
                <w:sz w:val="24"/>
                <w:szCs w:val="24"/>
              </w:rPr>
              <w:t>33.7</w:t>
            </w:r>
            <w:r w:rsidR="00015838">
              <w:rPr>
                <w:rFonts w:cs="Times New Roman"/>
                <w:sz w:val="24"/>
                <w:szCs w:val="24"/>
              </w:rPr>
              <w:t>;</w:t>
            </w:r>
            <w:r w:rsidR="00584279">
              <w:rPr>
                <w:rFonts w:cs="Times New Roman"/>
                <w:sz w:val="24"/>
                <w:szCs w:val="24"/>
              </w:rPr>
              <w:t xml:space="preserve">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015838">
              <w:rPr>
                <w:rFonts w:cs="Times New Roman"/>
                <w:sz w:val="24"/>
                <w:szCs w:val="24"/>
              </w:rPr>
              <w:t xml:space="preserve">33.17–33.22;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015838">
              <w:rPr>
                <w:rFonts w:cs="Times New Roman"/>
                <w:sz w:val="24"/>
                <w:szCs w:val="24"/>
              </w:rPr>
              <w:t>33.24</w:t>
            </w:r>
            <w:r w:rsidR="005E60BC">
              <w:rPr>
                <w:rFonts w:cs="Times New Roman"/>
                <w:sz w:val="24"/>
                <w:szCs w:val="24"/>
              </w:rPr>
              <w:t>–33.27;</w:t>
            </w:r>
            <w:r w:rsidR="00892E19">
              <w:rPr>
                <w:rFonts w:cs="Times New Roman"/>
                <w:sz w:val="24"/>
                <w:szCs w:val="24"/>
              </w:rPr>
              <w:t xml:space="preserve"> 33.48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223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223E49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557E68" w:rsidRPr="000D5B18" w:rsidRDefault="005E60BC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57E68" w:rsidRPr="000D5B18" w:rsidRDefault="00557E68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</w:t>
            </w:r>
            <w:r w:rsidRPr="000D5B18">
              <w:rPr>
                <w:rFonts w:cs="Times New Roman"/>
                <w:sz w:val="24"/>
                <w:szCs w:val="24"/>
              </w:rPr>
              <w:t>33.39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5E60BC">
              <w:rPr>
                <w:rFonts w:cs="Times New Roman"/>
                <w:sz w:val="24"/>
                <w:szCs w:val="24"/>
              </w:rPr>
              <w:t>33.51–</w:t>
            </w:r>
            <w:r>
              <w:rPr>
                <w:rFonts w:cs="Times New Roman"/>
                <w:sz w:val="24"/>
                <w:szCs w:val="24"/>
              </w:rPr>
              <w:t>33.53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223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223E49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557E68" w:rsidRPr="000D5B18" w:rsidRDefault="00557E68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557E68" w:rsidRPr="000D5B18" w:rsidRDefault="00557E68" w:rsidP="005C6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5C67A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5C67A4">
              <w:rPr>
                <w:rFonts w:cs="Times New Roman"/>
                <w:sz w:val="24"/>
                <w:szCs w:val="24"/>
              </w:rPr>
              <w:t xml:space="preserve">33.11;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5C67A4">
              <w:rPr>
                <w:rFonts w:cs="Times New Roman"/>
                <w:sz w:val="24"/>
                <w:szCs w:val="24"/>
              </w:rPr>
              <w:t>33.13–</w:t>
            </w:r>
            <w:r w:rsidR="005E60BC">
              <w:rPr>
                <w:rFonts w:cs="Times New Roman"/>
                <w:sz w:val="24"/>
                <w:szCs w:val="24"/>
              </w:rPr>
              <w:t>33.16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5C67A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33.23;</w:t>
            </w:r>
            <w:r w:rsidR="005E60B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33.28–33.34; </w:t>
            </w:r>
            <w:r w:rsidR="00892E19">
              <w:rPr>
                <w:rFonts w:cs="Times New Roman"/>
                <w:sz w:val="24"/>
                <w:szCs w:val="24"/>
              </w:rPr>
              <w:br/>
              <w:t>33.40–33.47;</w:t>
            </w:r>
            <w:r w:rsidR="005E60B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33.49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Pr="000D5B18" w:rsidRDefault="005C67A4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557E68" w:rsidRPr="000D5B18" w:rsidRDefault="00557E68" w:rsidP="00DF5F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</w:t>
            </w:r>
            <w:r w:rsidR="00DF5FFC">
              <w:rPr>
                <w:rFonts w:cs="Times New Roman"/>
                <w:sz w:val="24"/>
                <w:szCs w:val="24"/>
              </w:rPr>
              <w:t>–</w:t>
            </w:r>
            <w:r w:rsidR="00DF5FFC" w:rsidRPr="000D5B18">
              <w:rPr>
                <w:rFonts w:cs="Times New Roman"/>
                <w:sz w:val="24"/>
                <w:szCs w:val="24"/>
              </w:rPr>
              <w:t>33.</w:t>
            </w:r>
            <w:r w:rsidR="00DF5FFC">
              <w:rPr>
                <w:rFonts w:cs="Times New Roman"/>
                <w:sz w:val="24"/>
                <w:szCs w:val="24"/>
              </w:rPr>
              <w:t xml:space="preserve">7; </w:t>
            </w:r>
            <w:r w:rsidRPr="000D5B18">
              <w:rPr>
                <w:rFonts w:cs="Times New Roman"/>
                <w:sz w:val="24"/>
                <w:szCs w:val="24"/>
              </w:rPr>
              <w:t>33.50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Pr="000D5B18" w:rsidRDefault="005C67A4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557E68" w:rsidRPr="000D5B18" w:rsidRDefault="00802D8A" w:rsidP="005C6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5C67A4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="00557E68">
              <w:rPr>
                <w:rFonts w:cs="Times New Roman"/>
                <w:sz w:val="24"/>
                <w:szCs w:val="24"/>
              </w:rPr>
              <w:t>33.</w:t>
            </w:r>
            <w:r w:rsidR="00DF5FFC">
              <w:rPr>
                <w:rFonts w:cs="Times New Roman"/>
                <w:sz w:val="24"/>
                <w:szCs w:val="24"/>
              </w:rPr>
              <w:t>27</w:t>
            </w:r>
            <w:r w:rsidR="00557E68">
              <w:rPr>
                <w:rFonts w:cs="Times New Roman"/>
                <w:sz w:val="24"/>
                <w:szCs w:val="24"/>
              </w:rPr>
              <w:t xml:space="preserve">; </w:t>
            </w:r>
            <w:r w:rsidR="00DB0CA8">
              <w:rPr>
                <w:rFonts w:cs="Times New Roman"/>
                <w:sz w:val="24"/>
                <w:szCs w:val="24"/>
              </w:rPr>
              <w:t xml:space="preserve">33.24; </w:t>
            </w:r>
            <w:r w:rsidR="00557E68" w:rsidRPr="000D5B18">
              <w:rPr>
                <w:rFonts w:cs="Times New Roman"/>
                <w:sz w:val="24"/>
                <w:szCs w:val="24"/>
              </w:rPr>
              <w:t>33.4</w:t>
            </w:r>
            <w:r w:rsidR="00557E68">
              <w:rPr>
                <w:rFonts w:cs="Times New Roman"/>
                <w:sz w:val="24"/>
                <w:szCs w:val="24"/>
              </w:rPr>
              <w:t>8</w:t>
            </w:r>
            <w:r w:rsidR="009145F2">
              <w:rPr>
                <w:rFonts w:cs="Times New Roman"/>
                <w:sz w:val="24"/>
                <w:szCs w:val="24"/>
              </w:rPr>
              <w:t>;</w:t>
            </w:r>
            <w:r w:rsidR="00DF5FFC">
              <w:rPr>
                <w:rFonts w:cs="Times New Roman"/>
                <w:sz w:val="24"/>
                <w:szCs w:val="24"/>
              </w:rPr>
              <w:t xml:space="preserve"> </w:t>
            </w:r>
            <w:r w:rsidR="009145F2">
              <w:rPr>
                <w:rFonts w:cs="Times New Roman"/>
                <w:sz w:val="24"/>
                <w:szCs w:val="24"/>
              </w:rPr>
              <w:t>33.51–33.53</w:t>
            </w:r>
          </w:p>
        </w:tc>
      </w:tr>
      <w:tr w:rsidR="005C67A4" w:rsidRPr="000D5B18" w:rsidTr="000A7A9E">
        <w:tc>
          <w:tcPr>
            <w:tcW w:w="851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7A4" w:rsidRPr="000D5B18" w:rsidRDefault="005C67A4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67A4" w:rsidRPr="000D5B18" w:rsidRDefault="005C67A4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C67A4" w:rsidRDefault="00DB0CA8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67A4" w:rsidRDefault="00DB0CA8" w:rsidP="00A270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33.12; 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33.35–33.39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Default="00557E68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DB0CA8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557E68" w:rsidRDefault="00DF5FFC" w:rsidP="00F577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DB0CA8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–33.</w:t>
            </w:r>
            <w:r w:rsidR="00DB0CA8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 w:rsidR="00DB0CA8">
              <w:rPr>
                <w:rFonts w:cs="Times New Roman"/>
                <w:sz w:val="24"/>
                <w:szCs w:val="24"/>
              </w:rPr>
              <w:t>33.13</w:t>
            </w:r>
            <w:r w:rsidR="00603BE6">
              <w:rPr>
                <w:rFonts w:cs="Times New Roman"/>
                <w:sz w:val="24"/>
                <w:szCs w:val="24"/>
              </w:rPr>
              <w:t>–</w:t>
            </w:r>
            <w:r w:rsidR="00DB0CA8">
              <w:rPr>
                <w:rFonts w:cs="Times New Roman"/>
                <w:sz w:val="24"/>
                <w:szCs w:val="24"/>
              </w:rPr>
              <w:t xml:space="preserve">33.16; 33.23 </w:t>
            </w:r>
          </w:p>
        </w:tc>
      </w:tr>
      <w:tr w:rsidR="00557E68" w:rsidRPr="000D5B18" w:rsidTr="000A7A9E">
        <w:tc>
          <w:tcPr>
            <w:tcW w:w="851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7E68" w:rsidRPr="000D5B18" w:rsidRDefault="00557E6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7E68" w:rsidRPr="000D5B18" w:rsidRDefault="00557E68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557E68" w:rsidRDefault="00557E68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557E68" w:rsidRDefault="00DF5FFC" w:rsidP="00892E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33.28–33.34; </w:t>
            </w:r>
            <w:r w:rsidR="00892E1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.40–33.</w:t>
            </w:r>
            <w:r w:rsidR="00557E68">
              <w:rPr>
                <w:rFonts w:cs="Times New Roman"/>
                <w:sz w:val="24"/>
                <w:szCs w:val="24"/>
              </w:rPr>
              <w:t>47; 33.49</w:t>
            </w:r>
            <w:r w:rsidR="009D6D5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9D6D53" w:rsidRDefault="00184A76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>2.</w:t>
      </w:r>
      <w:r w:rsidR="000929A4">
        <w:rPr>
          <w:rFonts w:cs="Times New Roman"/>
        </w:rPr>
        <w:t xml:space="preserve"> </w:t>
      </w:r>
      <w:r w:rsidR="009D6D53">
        <w:rPr>
          <w:rFonts w:cs="Times New Roman"/>
        </w:rPr>
        <w:t>Pripažinti netekusiais galios:</w:t>
      </w:r>
    </w:p>
    <w:p w:rsidR="000929A4" w:rsidRDefault="009D6D53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1.2.1. Panevėžio rajono savivaldybės tarybos 2014 m. gegužė</w:t>
      </w:r>
      <w:r w:rsidR="00892E19">
        <w:rPr>
          <w:rFonts w:cs="Times New Roman"/>
        </w:rPr>
        <w:t xml:space="preserve">s 8 d. sprendimo Nr. T-93 „Dėl </w:t>
      </w:r>
      <w:r>
        <w:rPr>
          <w:rFonts w:cs="Times New Roman"/>
        </w:rPr>
        <w:t>metinio nuomos mokesčio už</w:t>
      </w:r>
      <w:r w:rsidR="00892E19">
        <w:rPr>
          <w:rFonts w:cs="Times New Roman"/>
        </w:rPr>
        <w:t xml:space="preserve"> </w:t>
      </w:r>
      <w:r>
        <w:rPr>
          <w:rFonts w:cs="Times New Roman"/>
        </w:rPr>
        <w:t xml:space="preserve">valstybinę </w:t>
      </w:r>
      <w:r w:rsidR="00892E19">
        <w:rPr>
          <w:rFonts w:cs="Times New Roman"/>
        </w:rPr>
        <w:t>žemę tarifų nustatymo“ 1 punktą;</w:t>
      </w:r>
    </w:p>
    <w:p w:rsidR="009D6D53" w:rsidRDefault="009D6D53" w:rsidP="009D6D53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1.2.2.</w:t>
      </w:r>
      <w:r w:rsidRPr="009D6D53">
        <w:rPr>
          <w:rFonts w:cs="Times New Roman"/>
        </w:rPr>
        <w:t xml:space="preserve"> </w:t>
      </w:r>
      <w:r>
        <w:rPr>
          <w:rFonts w:cs="Times New Roman"/>
        </w:rPr>
        <w:t>Panevėžio rajono savivaldybės tarybos 2015 m. gegužės 7 d. sprendimo Nr. T-106 „</w:t>
      </w:r>
      <w:r w:rsidR="00892E19">
        <w:rPr>
          <w:rFonts w:cs="Times New Roman"/>
        </w:rPr>
        <w:t xml:space="preserve">Dėl </w:t>
      </w:r>
      <w:r>
        <w:rPr>
          <w:rFonts w:cs="Times New Roman"/>
        </w:rPr>
        <w:t>Panevėžio rajono savivaldybės tarybos 2014 m. geguž</w:t>
      </w:r>
      <w:r w:rsidR="00892E19">
        <w:rPr>
          <w:rFonts w:cs="Times New Roman"/>
        </w:rPr>
        <w:t>ės 8 d. sprendimo Nr. T-93 „Dėl</w:t>
      </w:r>
      <w:r>
        <w:rPr>
          <w:rFonts w:cs="Times New Roman"/>
        </w:rPr>
        <w:t xml:space="preserve"> metinio nuomos mokesčio už</w:t>
      </w:r>
      <w:r w:rsidR="00892E19">
        <w:rPr>
          <w:rFonts w:cs="Times New Roman"/>
        </w:rPr>
        <w:t xml:space="preserve"> </w:t>
      </w:r>
      <w:r>
        <w:rPr>
          <w:rFonts w:cs="Times New Roman"/>
        </w:rPr>
        <w:t>valstybinę žemę tarifų nustatymo“ pakeitimo“ 1 punktą.</w:t>
      </w:r>
    </w:p>
    <w:p w:rsidR="009145F2" w:rsidRDefault="00B4746D" w:rsidP="0004570A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1C06AF" w:rsidRDefault="001C06AF" w:rsidP="0004570A">
      <w:pPr>
        <w:pStyle w:val="Pagrindiniotekstotrauka"/>
        <w:ind w:firstLine="720"/>
        <w:jc w:val="both"/>
        <w:rPr>
          <w:rFonts w:cs="Times New Roman"/>
        </w:rPr>
      </w:pPr>
    </w:p>
    <w:p w:rsidR="001C06AF" w:rsidRDefault="001C06AF" w:rsidP="0004570A">
      <w:pPr>
        <w:pStyle w:val="Pagrindiniotekstotrauka"/>
        <w:ind w:firstLine="720"/>
        <w:jc w:val="both"/>
        <w:rPr>
          <w:rFonts w:cs="Times New Roman"/>
        </w:rPr>
      </w:pPr>
    </w:p>
    <w:p w:rsidR="001C06AF" w:rsidRDefault="001C06AF" w:rsidP="00892E19">
      <w:pPr>
        <w:pStyle w:val="Pagrindiniotekstotrauka"/>
        <w:jc w:val="both"/>
        <w:rPr>
          <w:rFonts w:cs="Times New Roman"/>
        </w:rPr>
      </w:pPr>
    </w:p>
    <w:p w:rsidR="00621AD2" w:rsidRPr="00CB288F" w:rsidRDefault="00892E19" w:rsidP="00621AD2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lastRenderedPageBreak/>
        <w:t>VIEŠŲJŲ PIRKIMŲ</w:t>
      </w:r>
      <w:r w:rsidR="00621AD2" w:rsidRPr="00CB288F">
        <w:rPr>
          <w:rFonts w:cs="Times New Roman"/>
          <w:b/>
        </w:rPr>
        <w:t xml:space="preserve"> SKYRIUS</w:t>
      </w:r>
    </w:p>
    <w:p w:rsidR="00892E19" w:rsidRPr="00892E19" w:rsidRDefault="00892E19" w:rsidP="00621AD2">
      <w:pPr>
        <w:pStyle w:val="Pagrindiniotekstotrauka"/>
        <w:rPr>
          <w:rFonts w:cs="Times New Roman"/>
        </w:rPr>
      </w:pPr>
    </w:p>
    <w:p w:rsidR="00621AD2" w:rsidRDefault="00621AD2" w:rsidP="00892E19">
      <w:pPr>
        <w:pStyle w:val="Pagrindiniotekstotrauka"/>
        <w:rPr>
          <w:rFonts w:cs="Times New Roman"/>
          <w:b/>
        </w:rPr>
      </w:pPr>
      <w:r w:rsidRPr="00CB288F">
        <w:rPr>
          <w:rFonts w:cs="Times New Roman"/>
          <w:b/>
        </w:rPr>
        <w:t xml:space="preserve">AIŠKINAMASIS RAŠTAS DĖL SPRENDIMO „DĖL </w:t>
      </w:r>
      <w:r w:rsidRPr="00CB288F">
        <w:rPr>
          <w:rFonts w:cs="Times New Roman"/>
          <w:b/>
          <w:color w:val="000000" w:themeColor="text1"/>
        </w:rPr>
        <w:t xml:space="preserve">METINIO </w:t>
      </w:r>
      <w:r w:rsidRPr="00CB288F">
        <w:rPr>
          <w:rFonts w:cs="Times New Roman"/>
          <w:b/>
        </w:rPr>
        <w:t>ŽEMĖS NUOMOS MOKESČIO UŽ VALSTYBINĘ ŽEMĘ TARIFŲ NUSTATYMO</w:t>
      </w:r>
      <w:r w:rsidR="00892E19">
        <w:rPr>
          <w:rFonts w:cs="Times New Roman"/>
          <w:b/>
        </w:rPr>
        <w:t>“ PROJEKTO</w:t>
      </w:r>
    </w:p>
    <w:p w:rsidR="00892E19" w:rsidRPr="00892E19" w:rsidRDefault="00892E19" w:rsidP="00892E19">
      <w:pPr>
        <w:pStyle w:val="Pagrindiniotekstotrauka"/>
        <w:rPr>
          <w:rFonts w:cs="Times New Roman"/>
        </w:rPr>
      </w:pPr>
    </w:p>
    <w:p w:rsidR="00621AD2" w:rsidRPr="00CB288F" w:rsidRDefault="00892E19" w:rsidP="00621AD2">
      <w:pPr>
        <w:pStyle w:val="Pagrindiniotekstotrauka"/>
        <w:ind w:firstLine="720"/>
        <w:rPr>
          <w:rFonts w:cs="Times New Roman"/>
        </w:rPr>
      </w:pPr>
      <w:r>
        <w:rPr>
          <w:rFonts w:cs="Times New Roman"/>
        </w:rPr>
        <w:t xml:space="preserve">2019 m. gegužės </w:t>
      </w:r>
      <w:r w:rsidR="007F7C3C">
        <w:rPr>
          <w:rFonts w:cs="Times New Roman"/>
        </w:rPr>
        <w:t>15</w:t>
      </w:r>
      <w:r>
        <w:rPr>
          <w:rFonts w:cs="Times New Roman"/>
        </w:rPr>
        <w:t xml:space="preserve"> </w:t>
      </w:r>
      <w:r w:rsidR="00621AD2" w:rsidRPr="00CB288F">
        <w:rPr>
          <w:rFonts w:cs="Times New Roman"/>
        </w:rPr>
        <w:t>d.</w:t>
      </w:r>
    </w:p>
    <w:p w:rsidR="00621AD2" w:rsidRDefault="00621AD2" w:rsidP="00621AD2">
      <w:pPr>
        <w:pStyle w:val="Pagrindiniotekstotrauka"/>
        <w:ind w:firstLine="720"/>
        <w:rPr>
          <w:rFonts w:cs="Times New Roman"/>
        </w:rPr>
      </w:pPr>
      <w:r w:rsidRPr="00CB288F">
        <w:rPr>
          <w:rFonts w:cs="Times New Roman"/>
        </w:rPr>
        <w:t>Panevėžys</w:t>
      </w:r>
    </w:p>
    <w:p w:rsidR="006B6FA9" w:rsidRPr="00CB288F" w:rsidRDefault="006B6FA9" w:rsidP="00621AD2">
      <w:pPr>
        <w:pStyle w:val="Pagrindiniotekstotrauka"/>
        <w:ind w:firstLine="720"/>
        <w:rPr>
          <w:rFonts w:cs="Times New Roman"/>
        </w:rPr>
      </w:pPr>
    </w:p>
    <w:p w:rsidR="00621AD2" w:rsidRPr="006B6FA9" w:rsidRDefault="00621AD2" w:rsidP="006B6FA9">
      <w:pPr>
        <w:jc w:val="both"/>
        <w:rPr>
          <w:rFonts w:cs="Times New Roman"/>
          <w:b/>
          <w:sz w:val="24"/>
          <w:szCs w:val="24"/>
        </w:rPr>
      </w:pPr>
      <w:r w:rsidRPr="00CB288F">
        <w:rPr>
          <w:rFonts w:cs="Times New Roman"/>
          <w:sz w:val="24"/>
          <w:szCs w:val="24"/>
        </w:rPr>
        <w:tab/>
      </w:r>
      <w:r w:rsidRPr="00CB288F">
        <w:rPr>
          <w:rFonts w:cs="Times New Roman"/>
          <w:b/>
          <w:sz w:val="24"/>
          <w:szCs w:val="24"/>
        </w:rPr>
        <w:t>Projekto r</w:t>
      </w:r>
      <w:r w:rsidR="006B6FA9">
        <w:rPr>
          <w:rFonts w:cs="Times New Roman"/>
          <w:b/>
          <w:sz w:val="24"/>
          <w:szCs w:val="24"/>
        </w:rPr>
        <w:t xml:space="preserve">engimą paskatinusios priežastys. </w:t>
      </w:r>
      <w:r w:rsidRPr="00CB288F">
        <w:rPr>
          <w:rFonts w:cs="Times New Roman"/>
          <w:sz w:val="24"/>
          <w:szCs w:val="24"/>
        </w:rPr>
        <w:t>Valstybinės žemės nuomos mokestis skaičiuojamas pagal savivaldybės tarybos pat</w:t>
      </w:r>
      <w:r w:rsidR="00892E19">
        <w:rPr>
          <w:rFonts w:cs="Times New Roman"/>
          <w:sz w:val="24"/>
          <w:szCs w:val="24"/>
        </w:rPr>
        <w:t>virtintą tarifą nuo valstybinės</w:t>
      </w:r>
      <w:r w:rsidRPr="00CB288F">
        <w:rPr>
          <w:rFonts w:cs="Times New Roman"/>
          <w:sz w:val="24"/>
          <w:szCs w:val="24"/>
        </w:rPr>
        <w:t xml:space="preserve"> žemės nuomos sutartyje nurodytos vertės. Valstybinės žemės nuomos sutartyje numatyta teisė kas 3 metus perskaičiuoti išnuomoto be aukciono žemės sklypo vertę, nuo kurios skaičiuojamas žemės nuomos mokestis. Kadangi L</w:t>
      </w:r>
      <w:r w:rsidR="00892E19">
        <w:rPr>
          <w:rFonts w:cs="Times New Roman"/>
          <w:sz w:val="24"/>
          <w:szCs w:val="24"/>
        </w:rPr>
        <w:t xml:space="preserve">ietuvos </w:t>
      </w:r>
      <w:r w:rsidRPr="00CB288F">
        <w:rPr>
          <w:rFonts w:cs="Times New Roman"/>
          <w:sz w:val="24"/>
          <w:szCs w:val="24"/>
        </w:rPr>
        <w:t>R</w:t>
      </w:r>
      <w:r w:rsidR="00892E19">
        <w:rPr>
          <w:rFonts w:cs="Times New Roman"/>
          <w:sz w:val="24"/>
          <w:szCs w:val="24"/>
        </w:rPr>
        <w:t>espublikos</w:t>
      </w:r>
      <w:r w:rsidRPr="00CB288F">
        <w:rPr>
          <w:rFonts w:cs="Times New Roman"/>
          <w:sz w:val="24"/>
          <w:szCs w:val="24"/>
        </w:rPr>
        <w:t xml:space="preserve"> Vyriausybės 1999 m. kovo 9 d. nutarime Nr. 260 numatyta teisė, bet ne prievolė perskaičiuoti nuomojamo žemės sklypo vertę, todėl perskaičiavimas vykdavo tik asmeniškai kreipiantis nuomininkui į Nacionalinę žemėtvarkos tarnybą</w:t>
      </w:r>
      <w:r w:rsidR="00892E19">
        <w:rPr>
          <w:rFonts w:cs="Times New Roman"/>
          <w:sz w:val="24"/>
          <w:szCs w:val="24"/>
        </w:rPr>
        <w:t xml:space="preserve"> (NŽT)</w:t>
      </w:r>
      <w:r w:rsidRPr="00CB288F">
        <w:rPr>
          <w:rFonts w:cs="Times New Roman"/>
          <w:sz w:val="24"/>
          <w:szCs w:val="24"/>
        </w:rPr>
        <w:t xml:space="preserve">. </w:t>
      </w:r>
    </w:p>
    <w:p w:rsidR="00621AD2" w:rsidRPr="00CB288F" w:rsidRDefault="00621AD2" w:rsidP="00621AD2">
      <w:pPr>
        <w:ind w:firstLine="720"/>
        <w:jc w:val="both"/>
        <w:rPr>
          <w:rFonts w:cs="Times New Roman"/>
          <w:sz w:val="24"/>
          <w:szCs w:val="24"/>
        </w:rPr>
      </w:pPr>
      <w:r w:rsidRPr="00CB288F">
        <w:rPr>
          <w:rFonts w:cs="Times New Roman"/>
          <w:sz w:val="24"/>
          <w:szCs w:val="24"/>
        </w:rPr>
        <w:t>Po 2018 m. apmokestinimo iš NŽT Panevėžio skyriaus gauta</w:t>
      </w:r>
      <w:r w:rsidR="00892E19">
        <w:rPr>
          <w:rFonts w:cs="Times New Roman"/>
          <w:sz w:val="24"/>
          <w:szCs w:val="24"/>
        </w:rPr>
        <w:t>s</w:t>
      </w:r>
      <w:r w:rsidRPr="00CB288F">
        <w:rPr>
          <w:rFonts w:cs="Times New Roman"/>
          <w:sz w:val="24"/>
          <w:szCs w:val="24"/>
        </w:rPr>
        <w:t xml:space="preserve"> didelis kiekis skyriaus vedėjo įsakymų, kurių pagrindu buvo perskaičiuotos valstybinės žemės sklypų vertės iki 20</w:t>
      </w:r>
      <w:r w:rsidR="00C53B63" w:rsidRPr="00CB288F">
        <w:rPr>
          <w:rFonts w:cs="Times New Roman"/>
          <w:sz w:val="24"/>
          <w:szCs w:val="24"/>
        </w:rPr>
        <w:t>10</w:t>
      </w:r>
      <w:r w:rsidRPr="00CB288F">
        <w:rPr>
          <w:rFonts w:cs="Times New Roman"/>
          <w:sz w:val="24"/>
          <w:szCs w:val="24"/>
        </w:rPr>
        <w:t xml:space="preserve"> metų sudarytoms sutartims. </w:t>
      </w:r>
      <w:r w:rsidR="002839AE">
        <w:rPr>
          <w:rFonts w:cs="Times New Roman"/>
          <w:sz w:val="24"/>
          <w:szCs w:val="24"/>
        </w:rPr>
        <w:t>P</w:t>
      </w:r>
      <w:r w:rsidR="002839AE" w:rsidRPr="00CB288F">
        <w:rPr>
          <w:rFonts w:cs="Times New Roman"/>
          <w:sz w:val="24"/>
          <w:szCs w:val="24"/>
        </w:rPr>
        <w:t xml:space="preserve">erskaičiuota rinkos vertė </w:t>
      </w:r>
      <w:r w:rsidR="002839AE">
        <w:rPr>
          <w:rFonts w:cs="Times New Roman"/>
          <w:sz w:val="24"/>
          <w:szCs w:val="24"/>
        </w:rPr>
        <w:t>a</w:t>
      </w:r>
      <w:r w:rsidRPr="00CB288F">
        <w:rPr>
          <w:rFonts w:cs="Times New Roman"/>
          <w:sz w:val="24"/>
          <w:szCs w:val="24"/>
        </w:rPr>
        <w:t>pie 1</w:t>
      </w:r>
      <w:r w:rsidR="00892E19">
        <w:rPr>
          <w:rFonts w:cs="Times New Roman"/>
          <w:sz w:val="24"/>
          <w:szCs w:val="24"/>
        </w:rPr>
        <w:t xml:space="preserve"> </w:t>
      </w:r>
      <w:r w:rsidRPr="00CB288F">
        <w:rPr>
          <w:rFonts w:cs="Times New Roman"/>
          <w:sz w:val="24"/>
          <w:szCs w:val="24"/>
        </w:rPr>
        <w:t xml:space="preserve">700 nuomojamų iš valstybės žemės sklypų. Ir toliau turimomis žiniomis bus perskaičiuojamos sklypų vertės, nuo kurių bus skaičiuojamas žemės nuomos mokestis (vėlesniais metais sudarytoms sutartims). </w:t>
      </w:r>
    </w:p>
    <w:p w:rsidR="002839AE" w:rsidRDefault="00892E19" w:rsidP="00892E19">
      <w:pPr>
        <w:ind w:firstLine="720"/>
        <w:jc w:val="both"/>
        <w:rPr>
          <w:rFonts w:cs="Times New Roman"/>
          <w:b/>
          <w:bCs/>
          <w:color w:val="000000"/>
          <w:sz w:val="24"/>
          <w:szCs w:val="24"/>
          <w:lang w:eastAsia="lt-LT"/>
        </w:rPr>
      </w:pPr>
      <w:r>
        <w:rPr>
          <w:rFonts w:cs="Times New Roman"/>
          <w:sz w:val="24"/>
          <w:szCs w:val="24"/>
        </w:rPr>
        <w:t>Atlikus</w:t>
      </w:r>
      <w:r w:rsidR="00621AD2" w:rsidRPr="00CB288F">
        <w:rPr>
          <w:rFonts w:cs="Times New Roman"/>
          <w:sz w:val="24"/>
          <w:szCs w:val="24"/>
        </w:rPr>
        <w:t xml:space="preserve"> valstybinės že</w:t>
      </w:r>
      <w:r>
        <w:rPr>
          <w:rFonts w:cs="Times New Roman"/>
          <w:sz w:val="24"/>
          <w:szCs w:val="24"/>
        </w:rPr>
        <w:t>mės sklypų verčių perskaičiavimą</w:t>
      </w:r>
      <w:r w:rsidR="00621AD2" w:rsidRPr="00CB288F">
        <w:rPr>
          <w:rFonts w:cs="Times New Roman"/>
          <w:sz w:val="24"/>
          <w:szCs w:val="24"/>
        </w:rPr>
        <w:t xml:space="preserve">, rajone </w:t>
      </w:r>
      <w:r w:rsidR="00C53B63" w:rsidRPr="00CB288F">
        <w:rPr>
          <w:rFonts w:cs="Times New Roman"/>
          <w:sz w:val="24"/>
          <w:szCs w:val="24"/>
        </w:rPr>
        <w:t>pabrango</w:t>
      </w:r>
      <w:r w:rsidR="00621AD2" w:rsidRPr="00CB288F">
        <w:rPr>
          <w:rFonts w:cs="Times New Roman"/>
          <w:sz w:val="24"/>
          <w:szCs w:val="24"/>
        </w:rPr>
        <w:t xml:space="preserve"> žemės ūkio paskirties žemės vertė</w:t>
      </w:r>
      <w:r w:rsidR="00C53B63" w:rsidRPr="00CB288F">
        <w:rPr>
          <w:rFonts w:cs="Times New Roman"/>
          <w:sz w:val="24"/>
          <w:szCs w:val="24"/>
        </w:rPr>
        <w:t>.</w:t>
      </w:r>
      <w:r w:rsidR="00621AD2" w:rsidRPr="00CB288F">
        <w:rPr>
          <w:rFonts w:cs="Times New Roman"/>
          <w:sz w:val="24"/>
          <w:szCs w:val="24"/>
        </w:rPr>
        <w:t xml:space="preserve"> </w:t>
      </w:r>
      <w:r w:rsidR="00621AD2" w:rsidRPr="00CB288F">
        <w:rPr>
          <w:rFonts w:cs="Times New Roman"/>
          <w:color w:val="000000"/>
          <w:sz w:val="24"/>
          <w:szCs w:val="24"/>
          <w:lang w:eastAsia="lt-LT"/>
        </w:rPr>
        <w:t xml:space="preserve">Žemės ūkio paskirties sklypai, kuriems buvo nustatytas 0,4 proc. tarifas, (Vaivadų, </w:t>
      </w:r>
      <w:proofErr w:type="spellStart"/>
      <w:r w:rsidR="00621AD2" w:rsidRPr="00CB288F">
        <w:rPr>
          <w:rFonts w:cs="Times New Roman"/>
          <w:color w:val="000000"/>
          <w:sz w:val="24"/>
          <w:szCs w:val="24"/>
          <w:lang w:eastAsia="lt-LT"/>
        </w:rPr>
        <w:t>Vel</w:t>
      </w:r>
      <w:r>
        <w:rPr>
          <w:rFonts w:cs="Times New Roman"/>
          <w:color w:val="000000"/>
          <w:sz w:val="24"/>
          <w:szCs w:val="24"/>
          <w:lang w:eastAsia="lt-LT"/>
        </w:rPr>
        <w:t>žio</w:t>
      </w:r>
      <w:proofErr w:type="spellEnd"/>
      <w:r>
        <w:rPr>
          <w:rFonts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  <w:lang w:eastAsia="lt-LT"/>
        </w:rPr>
        <w:t>Šilagalio</w:t>
      </w:r>
      <w:proofErr w:type="spellEnd"/>
      <w:r>
        <w:rPr>
          <w:rFonts w:cs="Times New Roman"/>
          <w:color w:val="000000"/>
          <w:sz w:val="24"/>
          <w:szCs w:val="24"/>
          <w:lang w:eastAsia="lt-LT"/>
        </w:rPr>
        <w:t>, Ėriškių, Upytės</w:t>
      </w:r>
      <w:r w:rsidR="00621AD2" w:rsidRPr="00CB288F">
        <w:rPr>
          <w:rFonts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621AD2" w:rsidRPr="00CB288F">
        <w:rPr>
          <w:rFonts w:cs="Times New Roman"/>
          <w:color w:val="000000"/>
          <w:sz w:val="24"/>
          <w:szCs w:val="24"/>
          <w:lang w:eastAsia="lt-LT"/>
        </w:rPr>
        <w:t>Trakiškio</w:t>
      </w:r>
      <w:proofErr w:type="spellEnd"/>
      <w:r w:rsidR="00621AD2" w:rsidRPr="00CB288F">
        <w:rPr>
          <w:rFonts w:cs="Times New Roman"/>
          <w:color w:val="000000"/>
          <w:sz w:val="24"/>
          <w:szCs w:val="24"/>
          <w:lang w:eastAsia="lt-LT"/>
        </w:rPr>
        <w:t xml:space="preserve"> kaimų it t.</w:t>
      </w:r>
      <w:r>
        <w:rPr>
          <w:rFonts w:cs="Times New Roman"/>
          <w:color w:val="000000"/>
          <w:sz w:val="24"/>
          <w:szCs w:val="24"/>
          <w:lang w:eastAsia="lt-LT"/>
        </w:rPr>
        <w:t xml:space="preserve"> t. (33.3–</w:t>
      </w:r>
      <w:r w:rsidR="00621AD2" w:rsidRPr="00CB288F">
        <w:rPr>
          <w:rFonts w:cs="Times New Roman"/>
          <w:color w:val="000000"/>
          <w:sz w:val="24"/>
          <w:szCs w:val="24"/>
          <w:lang w:eastAsia="lt-LT"/>
        </w:rPr>
        <w:t xml:space="preserve">33.45 ir 33.48 zonos) vidutiniškai rajone pabrango 1,7 karto, o sklypai, kuriems buvo nustatytas 0,7 proc. tarifas </w:t>
      </w:r>
      <w:r>
        <w:rPr>
          <w:rFonts w:cs="Times New Roman"/>
          <w:color w:val="000000"/>
          <w:sz w:val="24"/>
          <w:szCs w:val="24"/>
          <w:lang w:eastAsia="lt-LT"/>
        </w:rPr>
        <w:br/>
        <w:t>(33.46–</w:t>
      </w:r>
      <w:r w:rsidR="00621AD2" w:rsidRPr="00CB288F">
        <w:rPr>
          <w:rFonts w:cs="Times New Roman"/>
          <w:color w:val="000000"/>
          <w:sz w:val="24"/>
          <w:szCs w:val="24"/>
          <w:lang w:eastAsia="lt-LT"/>
        </w:rPr>
        <w:t>33.49 ir 33.49 zonos)</w:t>
      </w:r>
      <w:r>
        <w:rPr>
          <w:rFonts w:cs="Times New Roman"/>
          <w:color w:val="000000"/>
          <w:sz w:val="24"/>
          <w:szCs w:val="24"/>
          <w:lang w:eastAsia="lt-LT"/>
        </w:rPr>
        <w:t>,</w:t>
      </w:r>
      <w:r w:rsidR="00621AD2" w:rsidRPr="00CB288F">
        <w:rPr>
          <w:rFonts w:cs="Times New Roman"/>
          <w:color w:val="000000"/>
          <w:sz w:val="24"/>
          <w:szCs w:val="24"/>
          <w:lang w:eastAsia="lt-LT"/>
        </w:rPr>
        <w:t xml:space="preserve"> – brango vidutiniškai 2,4 karto. </w:t>
      </w:r>
      <w:r>
        <w:rPr>
          <w:rFonts w:cs="Times New Roman"/>
          <w:bCs/>
          <w:color w:val="000000"/>
          <w:sz w:val="24"/>
          <w:szCs w:val="24"/>
          <w:lang w:eastAsia="lt-LT"/>
        </w:rPr>
        <w:t xml:space="preserve">Siūloma </w:t>
      </w:r>
      <w:proofErr w:type="spellStart"/>
      <w:r>
        <w:rPr>
          <w:rFonts w:cs="Times New Roman"/>
          <w:bCs/>
          <w:color w:val="000000"/>
          <w:sz w:val="24"/>
          <w:szCs w:val="24"/>
          <w:lang w:eastAsia="lt-LT"/>
        </w:rPr>
        <w:t>Dembavos</w:t>
      </w:r>
      <w:proofErr w:type="spellEnd"/>
      <w:r w:rsidR="00621AD2" w:rsidRPr="00CB288F">
        <w:rPr>
          <w:rFonts w:cs="Times New Roman"/>
          <w:bCs/>
          <w:color w:val="000000"/>
          <w:sz w:val="24"/>
          <w:szCs w:val="24"/>
          <w:lang w:eastAsia="lt-LT"/>
        </w:rPr>
        <w:t>, Vyčių, Oželių kaimuose esantiems žemės ūkio paskirties sklypams palikti galiojantį 0,1 proc. tarifą, o visiems likusiems rajone žemės ūkio paskirties sklypams taikyti 0,3 proc. tarifą.</w:t>
      </w:r>
      <w:r w:rsidR="00621AD2" w:rsidRPr="00CB288F">
        <w:rPr>
          <w:rFonts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:rsidR="00621AD2" w:rsidRPr="00CB288F" w:rsidRDefault="00C53B63" w:rsidP="00892E19">
      <w:pPr>
        <w:ind w:firstLine="720"/>
        <w:jc w:val="both"/>
        <w:rPr>
          <w:rFonts w:cs="Times New Roman"/>
          <w:bCs/>
          <w:color w:val="000000"/>
          <w:sz w:val="24"/>
          <w:szCs w:val="24"/>
          <w:lang w:eastAsia="lt-LT"/>
        </w:rPr>
      </w:pP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Tačiau vėliau sudarytoms sutartims </w:t>
      </w:r>
      <w:r w:rsidR="002839AE">
        <w:rPr>
          <w:rFonts w:cs="Times New Roman"/>
          <w:bCs/>
          <w:color w:val="000000"/>
          <w:sz w:val="24"/>
          <w:szCs w:val="24"/>
          <w:lang w:eastAsia="lt-LT"/>
        </w:rPr>
        <w:t>(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201</w:t>
      </w:r>
      <w:r w:rsidR="00D201A8">
        <w:rPr>
          <w:rFonts w:cs="Times New Roman"/>
          <w:bCs/>
          <w:color w:val="000000"/>
          <w:sz w:val="24"/>
          <w:szCs w:val="24"/>
          <w:lang w:eastAsia="lt-LT"/>
        </w:rPr>
        <w:t>1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>–2018 m.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) pritaikius naują 0,3 mokesčio tarifą, mokesti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>s mažės. Ypač mažės 46–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49</w:t>
      </w:r>
      <w:r w:rsidR="00D201A8">
        <w:rPr>
          <w:rFonts w:cs="Times New Roman"/>
          <w:bCs/>
          <w:color w:val="000000"/>
          <w:sz w:val="24"/>
          <w:szCs w:val="24"/>
          <w:lang w:eastAsia="lt-LT"/>
        </w:rPr>
        <w:t xml:space="preserve"> verčių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zonoms, kurioms iki šių metų buvo nustatytas 0,7 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proc. 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mokesčio tarifas</w:t>
      </w:r>
      <w:r w:rsidR="00B90FE4">
        <w:rPr>
          <w:rFonts w:cs="Times New Roman"/>
          <w:bCs/>
          <w:color w:val="000000"/>
          <w:sz w:val="24"/>
          <w:szCs w:val="24"/>
          <w:lang w:eastAsia="lt-LT"/>
        </w:rPr>
        <w:t>.</w:t>
      </w:r>
      <w:r w:rsidR="00621AD2"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</w:p>
    <w:p w:rsidR="00621AD2" w:rsidRPr="00892E19" w:rsidRDefault="00621AD2" w:rsidP="00892E19">
      <w:pPr>
        <w:ind w:firstLine="720"/>
        <w:jc w:val="both"/>
        <w:rPr>
          <w:rFonts w:cs="Times New Roman"/>
          <w:color w:val="000000"/>
          <w:sz w:val="24"/>
          <w:szCs w:val="24"/>
          <w:lang w:eastAsia="lt-LT"/>
        </w:rPr>
      </w:pP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Pramonės ir sandėliavimo paskirties žemė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rajone po v</w:t>
      </w:r>
      <w:r w:rsidR="00892E19">
        <w:rPr>
          <w:rFonts w:cs="Times New Roman"/>
          <w:color w:val="000000"/>
          <w:sz w:val="24"/>
          <w:szCs w:val="24"/>
          <w:lang w:eastAsia="lt-LT"/>
        </w:rPr>
        <w:t>erčių perskaičiavimo pigo. Pvz.,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</w:t>
      </w:r>
      <w:r w:rsidR="00892E19">
        <w:rPr>
          <w:rFonts w:cs="Times New Roman"/>
          <w:color w:val="000000"/>
          <w:sz w:val="24"/>
          <w:szCs w:val="24"/>
          <w:lang w:eastAsia="lt-LT"/>
        </w:rPr>
        <w:br/>
      </w:r>
      <w:proofErr w:type="spellStart"/>
      <w:r w:rsidRPr="00CB288F">
        <w:rPr>
          <w:rFonts w:cs="Times New Roman"/>
          <w:color w:val="000000"/>
          <w:sz w:val="24"/>
          <w:szCs w:val="24"/>
          <w:lang w:eastAsia="lt-LT"/>
        </w:rPr>
        <w:t>Velžio</w:t>
      </w:r>
      <w:proofErr w:type="spellEnd"/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sen. vidutiniškai pramonė</w:t>
      </w:r>
      <w:r w:rsidR="00892E19">
        <w:rPr>
          <w:rFonts w:cs="Times New Roman"/>
          <w:color w:val="000000"/>
          <w:sz w:val="24"/>
          <w:szCs w:val="24"/>
          <w:lang w:eastAsia="lt-LT"/>
        </w:rPr>
        <w:t>s ir sandėliavimo žemė pigo 1,7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karto, Paįstrio sen. – 1,6 karto, Vadoklių sen. </w:t>
      </w:r>
      <w:r w:rsidR="00892E19">
        <w:rPr>
          <w:rFonts w:cs="Times New Roman"/>
          <w:color w:val="000000"/>
          <w:sz w:val="24"/>
          <w:szCs w:val="24"/>
          <w:lang w:eastAsia="lt-LT"/>
        </w:rPr>
        <w:t xml:space="preserve">– 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1,5 karto; Krekenavos sen. </w:t>
      </w:r>
      <w:r w:rsidR="00892E19">
        <w:rPr>
          <w:rFonts w:cs="Times New Roman"/>
          <w:color w:val="000000"/>
          <w:sz w:val="24"/>
          <w:szCs w:val="24"/>
          <w:lang w:eastAsia="lt-LT"/>
        </w:rPr>
        <w:t>– vidutiniškai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</w:t>
      </w:r>
      <w:r w:rsidR="00C53B63" w:rsidRPr="00CB288F">
        <w:rPr>
          <w:rFonts w:cs="Times New Roman"/>
          <w:color w:val="000000"/>
          <w:sz w:val="24"/>
          <w:szCs w:val="24"/>
          <w:lang w:eastAsia="lt-LT"/>
        </w:rPr>
        <w:t>2,5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kart</w:t>
      </w:r>
      <w:r w:rsidR="00C53B63" w:rsidRPr="00CB288F">
        <w:rPr>
          <w:rFonts w:cs="Times New Roman"/>
          <w:color w:val="000000"/>
          <w:sz w:val="24"/>
          <w:szCs w:val="24"/>
          <w:lang w:eastAsia="lt-LT"/>
        </w:rPr>
        <w:t>o</w:t>
      </w:r>
      <w:r w:rsidRPr="00CB288F">
        <w:rPr>
          <w:rFonts w:cs="Times New Roman"/>
          <w:color w:val="000000"/>
          <w:sz w:val="24"/>
          <w:szCs w:val="24"/>
          <w:lang w:eastAsia="lt-LT"/>
        </w:rPr>
        <w:t>. Šiuo metu galioja 0,6; 1; 1,5; 2; 2,5 ir 4 proc. tarifai at</w:t>
      </w:r>
      <w:r w:rsidR="00892E19">
        <w:rPr>
          <w:rFonts w:cs="Times New Roman"/>
          <w:color w:val="000000"/>
          <w:sz w:val="24"/>
          <w:szCs w:val="24"/>
          <w:lang w:eastAsia="lt-LT"/>
        </w:rPr>
        <w:t>skiroms zonoms šiai paskirčiai.</w:t>
      </w:r>
      <w:r w:rsidRPr="00CB288F">
        <w:rPr>
          <w:rFonts w:cs="Times New Roman"/>
          <w:color w:val="000000"/>
          <w:sz w:val="24"/>
          <w:szCs w:val="24"/>
          <w:lang w:eastAsia="lt-LT"/>
        </w:rPr>
        <w:t xml:space="preserve"> 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>Siūloma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padidinti tarifus šios grupės žemei taip:</w:t>
      </w:r>
      <w:r w:rsidR="00892E19">
        <w:rPr>
          <w:rFonts w:cs="Times New Roman"/>
          <w:color w:val="000000"/>
          <w:sz w:val="24"/>
          <w:szCs w:val="24"/>
          <w:lang w:eastAsia="lt-LT"/>
        </w:rPr>
        <w:t xml:space="preserve"> v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ietoje 0,6 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–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  <w:r w:rsidR="00CB288F" w:rsidRPr="00CB288F">
        <w:rPr>
          <w:rFonts w:cs="Times New Roman"/>
          <w:bCs/>
          <w:color w:val="000000"/>
          <w:sz w:val="24"/>
          <w:szCs w:val="24"/>
          <w:lang w:eastAsia="lt-LT"/>
        </w:rPr>
        <w:t>0,7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; vietoje</w:t>
      </w:r>
      <w:r w:rsidR="00CB288F"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1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  <w:r w:rsidR="00CB288F" w:rsidRPr="00CB288F">
        <w:rPr>
          <w:rFonts w:cs="Times New Roman"/>
          <w:bCs/>
          <w:color w:val="000000"/>
          <w:sz w:val="24"/>
          <w:szCs w:val="24"/>
          <w:lang w:eastAsia="lt-LT"/>
        </w:rPr>
        <w:t>–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  <w:r w:rsidR="00CB288F" w:rsidRPr="00CB288F">
        <w:rPr>
          <w:rFonts w:cs="Times New Roman"/>
          <w:bCs/>
          <w:color w:val="000000"/>
          <w:sz w:val="24"/>
          <w:szCs w:val="24"/>
          <w:lang w:eastAsia="lt-LT"/>
        </w:rPr>
        <w:t>1,</w:t>
      </w:r>
      <w:r w:rsidR="00D201A8">
        <w:rPr>
          <w:rFonts w:cs="Times New Roman"/>
          <w:bCs/>
          <w:color w:val="000000"/>
          <w:sz w:val="24"/>
          <w:szCs w:val="24"/>
          <w:lang w:eastAsia="lt-LT"/>
        </w:rPr>
        <w:t>5</w:t>
      </w:r>
      <w:r w:rsidR="00CB288F" w:rsidRPr="00CB288F">
        <w:rPr>
          <w:rFonts w:cs="Times New Roman"/>
          <w:bCs/>
          <w:color w:val="000000"/>
          <w:sz w:val="24"/>
          <w:szCs w:val="24"/>
          <w:lang w:eastAsia="lt-LT"/>
        </w:rPr>
        <w:t>; vietoje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1,5 –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2; vietoje 2,5 –</w:t>
      </w:r>
      <w:r w:rsidR="00892E19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>3 ir palikti 4</w:t>
      </w:r>
      <w:r w:rsidR="00CB288F" w:rsidRPr="00CB288F">
        <w:rPr>
          <w:rFonts w:cs="Times New Roman"/>
          <w:bCs/>
          <w:color w:val="000000"/>
          <w:sz w:val="24"/>
          <w:szCs w:val="24"/>
          <w:lang w:eastAsia="lt-LT"/>
        </w:rPr>
        <w:t>.</w:t>
      </w:r>
      <w:r w:rsidRPr="00CB288F">
        <w:rPr>
          <w:rFonts w:cs="Times New Roman"/>
          <w:bCs/>
          <w:color w:val="000000"/>
          <w:sz w:val="24"/>
          <w:szCs w:val="24"/>
          <w:lang w:eastAsia="lt-LT"/>
        </w:rPr>
        <w:t xml:space="preserve"> </w:t>
      </w:r>
    </w:p>
    <w:p w:rsidR="00621AD2" w:rsidRPr="00CB288F" w:rsidRDefault="00621AD2" w:rsidP="006B6FA9">
      <w:pPr>
        <w:jc w:val="both"/>
        <w:rPr>
          <w:rFonts w:cs="Times New Roman"/>
          <w:sz w:val="24"/>
          <w:szCs w:val="24"/>
        </w:rPr>
      </w:pPr>
      <w:r w:rsidRPr="00CB288F">
        <w:rPr>
          <w:rFonts w:cs="Times New Roman"/>
          <w:sz w:val="24"/>
          <w:szCs w:val="24"/>
        </w:rPr>
        <w:tab/>
      </w:r>
      <w:r w:rsidRPr="00CB288F">
        <w:rPr>
          <w:rFonts w:cs="Times New Roman"/>
          <w:b/>
          <w:sz w:val="24"/>
          <w:szCs w:val="24"/>
        </w:rPr>
        <w:t>Sprendimo p</w:t>
      </w:r>
      <w:r w:rsidR="006B6FA9">
        <w:rPr>
          <w:rFonts w:cs="Times New Roman"/>
          <w:b/>
          <w:bCs/>
          <w:sz w:val="24"/>
          <w:szCs w:val="24"/>
        </w:rPr>
        <w:t xml:space="preserve">rojekto esmė ir tikslai. </w:t>
      </w:r>
      <w:r w:rsidRPr="00CB288F">
        <w:rPr>
          <w:rFonts w:cs="Times New Roman"/>
          <w:sz w:val="24"/>
          <w:szCs w:val="24"/>
        </w:rPr>
        <w:t xml:space="preserve">Sprendimo projekto tikslas – nustatyti metinio valstybinės žemės nuomos mokesčio tarifus. </w:t>
      </w:r>
    </w:p>
    <w:p w:rsidR="00621AD2" w:rsidRPr="006B6FA9" w:rsidRDefault="00621AD2" w:rsidP="006B6FA9">
      <w:pPr>
        <w:jc w:val="both"/>
        <w:rPr>
          <w:rFonts w:cs="Times New Roman"/>
          <w:b/>
          <w:bCs/>
          <w:sz w:val="24"/>
          <w:szCs w:val="24"/>
        </w:rPr>
      </w:pPr>
      <w:r w:rsidRPr="00CB288F">
        <w:rPr>
          <w:rFonts w:cs="Times New Roman"/>
          <w:sz w:val="24"/>
          <w:szCs w:val="24"/>
        </w:rPr>
        <w:tab/>
      </w:r>
      <w:r w:rsidRPr="00CB288F">
        <w:rPr>
          <w:rFonts w:cs="Times New Roman"/>
          <w:b/>
          <w:bCs/>
          <w:sz w:val="24"/>
          <w:szCs w:val="24"/>
        </w:rPr>
        <w:t>Kok</w:t>
      </w:r>
      <w:r w:rsidR="006B6FA9">
        <w:rPr>
          <w:rFonts w:cs="Times New Roman"/>
          <w:b/>
          <w:bCs/>
          <w:sz w:val="24"/>
          <w:szCs w:val="24"/>
        </w:rPr>
        <w:t xml:space="preserve">ių pozityvių rezultatų laukiama. </w:t>
      </w:r>
      <w:r w:rsidRPr="00CB288F">
        <w:rPr>
          <w:rFonts w:cs="Times New Roman"/>
          <w:sz w:val="24"/>
          <w:szCs w:val="24"/>
        </w:rPr>
        <w:t xml:space="preserve">Patvirtinus žemės mokesčio tarifus, bus galima apskaičiuoti valstybinės žemės nuomos mokestį. </w:t>
      </w:r>
    </w:p>
    <w:p w:rsidR="00621AD2" w:rsidRPr="00CB288F" w:rsidRDefault="00621AD2" w:rsidP="006B6FA9">
      <w:pPr>
        <w:ind w:firstLine="720"/>
        <w:jc w:val="both"/>
        <w:rPr>
          <w:rFonts w:cs="Times New Roman"/>
          <w:b/>
          <w:sz w:val="24"/>
          <w:szCs w:val="24"/>
        </w:rPr>
      </w:pPr>
      <w:r w:rsidRPr="00CB288F">
        <w:rPr>
          <w:rFonts w:cs="Times New Roman"/>
          <w:b/>
          <w:sz w:val="24"/>
          <w:szCs w:val="24"/>
        </w:rPr>
        <w:t>Galimos neigiamos pasekmės priėmus projektą, kokių priemonių reikėtų imtis, k</w:t>
      </w:r>
      <w:r w:rsidR="006B6FA9">
        <w:rPr>
          <w:rFonts w:cs="Times New Roman"/>
          <w:b/>
          <w:sz w:val="24"/>
          <w:szCs w:val="24"/>
        </w:rPr>
        <w:t xml:space="preserve">ad tokių pasekmių būtų išvengta. </w:t>
      </w:r>
      <w:r w:rsidR="00B92F60">
        <w:rPr>
          <w:rFonts w:cs="Times New Roman"/>
          <w:sz w:val="24"/>
          <w:szCs w:val="24"/>
        </w:rPr>
        <w:t>Sumažinus tarif</w:t>
      </w:r>
      <w:r w:rsidR="00892E19">
        <w:rPr>
          <w:rFonts w:cs="Times New Roman"/>
          <w:sz w:val="24"/>
          <w:szCs w:val="24"/>
        </w:rPr>
        <w:t>ą</w:t>
      </w:r>
      <w:r w:rsidR="00B92F60">
        <w:rPr>
          <w:rFonts w:cs="Times New Roman"/>
          <w:sz w:val="24"/>
          <w:szCs w:val="24"/>
        </w:rPr>
        <w:t xml:space="preserve"> nuo 0,4 ir 0,7 iki 0,3 žemės ūkio </w:t>
      </w:r>
      <w:r w:rsidR="00892E19">
        <w:rPr>
          <w:rFonts w:cs="Times New Roman"/>
          <w:sz w:val="24"/>
          <w:szCs w:val="24"/>
        </w:rPr>
        <w:t>paskirties žemės apmokestinimui ir at</w:t>
      </w:r>
      <w:r w:rsidR="00D201A8">
        <w:rPr>
          <w:rFonts w:cs="Times New Roman"/>
          <w:sz w:val="24"/>
          <w:szCs w:val="24"/>
        </w:rPr>
        <w:t>pigus pr</w:t>
      </w:r>
      <w:r w:rsidR="00892E19">
        <w:rPr>
          <w:rFonts w:cs="Times New Roman"/>
          <w:sz w:val="24"/>
          <w:szCs w:val="24"/>
        </w:rPr>
        <w:t>amonės ir sandėliavimo žemei 46–</w:t>
      </w:r>
      <w:r w:rsidR="00D201A8">
        <w:rPr>
          <w:rFonts w:cs="Times New Roman"/>
          <w:sz w:val="24"/>
          <w:szCs w:val="24"/>
        </w:rPr>
        <w:t>49 verčių zonose, kurioms buvo pritaikyt</w:t>
      </w:r>
      <w:r w:rsidR="00892E19">
        <w:rPr>
          <w:rFonts w:cs="Times New Roman"/>
          <w:sz w:val="24"/>
          <w:szCs w:val="24"/>
        </w:rPr>
        <w:t>as maksimalus mokesčio tarifas,</w:t>
      </w:r>
      <w:r w:rsidR="00B92F60">
        <w:rPr>
          <w:rFonts w:cs="Times New Roman"/>
          <w:sz w:val="24"/>
          <w:szCs w:val="24"/>
        </w:rPr>
        <w:t xml:space="preserve"> į rajono savivaldybės biudžetą yra tikimybė nesurinkti </w:t>
      </w:r>
      <w:r w:rsidR="00D201A8">
        <w:rPr>
          <w:rFonts w:cs="Times New Roman"/>
          <w:sz w:val="24"/>
          <w:szCs w:val="24"/>
        </w:rPr>
        <w:t xml:space="preserve">pajamų </w:t>
      </w:r>
      <w:r w:rsidR="002E063A">
        <w:rPr>
          <w:rFonts w:cs="Times New Roman"/>
          <w:sz w:val="24"/>
          <w:szCs w:val="24"/>
        </w:rPr>
        <w:t>apie 2</w:t>
      </w:r>
      <w:r w:rsidR="00892E19">
        <w:rPr>
          <w:rFonts w:cs="Times New Roman"/>
          <w:sz w:val="24"/>
          <w:szCs w:val="24"/>
        </w:rPr>
        <w:t>0–</w:t>
      </w:r>
      <w:r w:rsidR="002E063A">
        <w:rPr>
          <w:rFonts w:cs="Times New Roman"/>
          <w:sz w:val="24"/>
          <w:szCs w:val="24"/>
        </w:rPr>
        <w:t>30 tūkst.</w:t>
      </w:r>
      <w:r w:rsidR="00D201A8">
        <w:rPr>
          <w:rFonts w:cs="Times New Roman"/>
          <w:sz w:val="24"/>
          <w:szCs w:val="24"/>
        </w:rPr>
        <w:t xml:space="preserve"> eurų.</w:t>
      </w:r>
    </w:p>
    <w:p w:rsidR="00621AD2" w:rsidRPr="006B6FA9" w:rsidRDefault="00621AD2" w:rsidP="006B6FA9">
      <w:pPr>
        <w:pStyle w:val="Betarp"/>
        <w:ind w:firstLine="720"/>
        <w:jc w:val="both"/>
        <w:rPr>
          <w:rFonts w:cs="Times New Roman"/>
          <w:b/>
          <w:sz w:val="24"/>
          <w:szCs w:val="24"/>
        </w:rPr>
      </w:pPr>
      <w:r w:rsidRPr="00CB288F">
        <w:rPr>
          <w:rFonts w:cs="Times New Roman"/>
          <w:b/>
          <w:sz w:val="24"/>
          <w:szCs w:val="24"/>
        </w:rPr>
        <w:t>Galiojantys teisės aktai, kuriuos reikės pak</w:t>
      </w:r>
      <w:r w:rsidR="006B6FA9">
        <w:rPr>
          <w:rFonts w:cs="Times New Roman"/>
          <w:b/>
          <w:sz w:val="24"/>
          <w:szCs w:val="24"/>
        </w:rPr>
        <w:t xml:space="preserve">eisti priėmus teikiamą projektą. </w:t>
      </w:r>
      <w:r w:rsidRPr="00CB288F">
        <w:rPr>
          <w:rFonts w:cs="Times New Roman"/>
          <w:sz w:val="24"/>
          <w:szCs w:val="24"/>
        </w:rPr>
        <w:t>Nėra.</w:t>
      </w:r>
    </w:p>
    <w:p w:rsidR="00621AD2" w:rsidRPr="00CB288F" w:rsidRDefault="00621AD2" w:rsidP="002E063A">
      <w:pPr>
        <w:pStyle w:val="Betarp"/>
        <w:ind w:firstLine="720"/>
        <w:jc w:val="both"/>
        <w:rPr>
          <w:rFonts w:cs="Times New Roman"/>
          <w:sz w:val="24"/>
          <w:szCs w:val="24"/>
        </w:rPr>
      </w:pPr>
      <w:r w:rsidRPr="00CB288F">
        <w:rPr>
          <w:rFonts w:cs="Times New Roman"/>
          <w:b/>
          <w:sz w:val="24"/>
          <w:szCs w:val="24"/>
        </w:rPr>
        <w:t>Reikiami paskaičiavimai, išlaidų sąmatos bei finansavimo šaltiniai, reikalingi sprendimui</w:t>
      </w:r>
      <w:r w:rsidRPr="00CB288F">
        <w:rPr>
          <w:rFonts w:cs="Times New Roman"/>
          <w:b/>
        </w:rPr>
        <w:t xml:space="preserve"> </w:t>
      </w:r>
      <w:r w:rsidR="006B6FA9">
        <w:rPr>
          <w:rFonts w:cs="Times New Roman"/>
          <w:b/>
          <w:sz w:val="24"/>
          <w:szCs w:val="24"/>
        </w:rPr>
        <w:t xml:space="preserve">įgyvendinti. </w:t>
      </w:r>
      <w:r w:rsidRPr="00CB288F">
        <w:rPr>
          <w:rFonts w:cs="Times New Roman"/>
          <w:sz w:val="24"/>
          <w:szCs w:val="24"/>
        </w:rPr>
        <w:t>Sprendimo įgyvendinimui lėšos nereikalingos.</w:t>
      </w:r>
      <w:r w:rsidR="00B90FE4">
        <w:rPr>
          <w:rFonts w:cs="Times New Roman"/>
          <w:sz w:val="24"/>
          <w:szCs w:val="24"/>
        </w:rPr>
        <w:t xml:space="preserve"> Pridedami skaičiavimo pavyzdžiai</w:t>
      </w:r>
      <w:r w:rsidR="002839AE">
        <w:rPr>
          <w:rFonts w:cs="Times New Roman"/>
          <w:sz w:val="24"/>
          <w:szCs w:val="24"/>
        </w:rPr>
        <w:t xml:space="preserve"> (1 ir 2 priedai)</w:t>
      </w:r>
      <w:r w:rsidR="00B90FE4">
        <w:rPr>
          <w:rFonts w:cs="Times New Roman"/>
          <w:sz w:val="24"/>
          <w:szCs w:val="24"/>
        </w:rPr>
        <w:t>.</w:t>
      </w:r>
    </w:p>
    <w:p w:rsidR="007C6DF9" w:rsidRDefault="007C6DF9" w:rsidP="00621AD2">
      <w:pPr>
        <w:jc w:val="both"/>
        <w:rPr>
          <w:rFonts w:cs="Times New Roman"/>
          <w:sz w:val="24"/>
          <w:szCs w:val="24"/>
        </w:rPr>
      </w:pPr>
    </w:p>
    <w:p w:rsidR="001C06AF" w:rsidRDefault="00621AD2" w:rsidP="00621AD2">
      <w:pPr>
        <w:jc w:val="both"/>
        <w:rPr>
          <w:rFonts w:cs="Times New Roman"/>
          <w:sz w:val="24"/>
          <w:szCs w:val="24"/>
        </w:rPr>
      </w:pPr>
      <w:r w:rsidRPr="00CB288F">
        <w:rPr>
          <w:rFonts w:cs="Times New Roman"/>
          <w:sz w:val="24"/>
          <w:szCs w:val="24"/>
        </w:rPr>
        <w:t>Skyriaus vedėja                                                                                                       Virginija Jurkštienė</w:t>
      </w:r>
    </w:p>
    <w:p w:rsidR="008D0134" w:rsidRDefault="008D0134" w:rsidP="00621AD2">
      <w:pPr>
        <w:jc w:val="both"/>
        <w:rPr>
          <w:rFonts w:cs="Times New Roman"/>
        </w:rPr>
        <w:sectPr w:rsidR="008D0134" w:rsidSect="001C06AF">
          <w:headerReference w:type="even" r:id="rId10"/>
          <w:headerReference w:type="default" r:id="rId11"/>
          <w:headerReference w:type="first" r:id="rId12"/>
          <w:pgSz w:w="11907" w:h="16840" w:code="9"/>
          <w:pgMar w:top="1440" w:right="1077" w:bottom="1440" w:left="1077" w:header="567" w:footer="624" w:gutter="0"/>
          <w:cols w:space="1296"/>
          <w:titlePg/>
          <w:docGrid w:linePitch="360"/>
        </w:sectPr>
      </w:pPr>
    </w:p>
    <w:p w:rsidR="008D0134" w:rsidRDefault="008D0134" w:rsidP="008D0134">
      <w:pPr>
        <w:jc w:val="center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b/>
          <w:sz w:val="40"/>
          <w:szCs w:val="40"/>
        </w:rPr>
        <w:lastRenderedPageBreak/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>
        <w:rPr>
          <w:rFonts w:cs="Times New Roman"/>
          <w:sz w:val="24"/>
          <w:szCs w:val="24"/>
        </w:rPr>
        <w:t>1 priedas</w:t>
      </w:r>
    </w:p>
    <w:p w:rsidR="008D0134" w:rsidRDefault="008D0134" w:rsidP="008D0134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ŽĖMĖS ŪKIO PASKIRTIES ŽEMĖ </w:t>
      </w:r>
    </w:p>
    <w:p w:rsidR="00160202" w:rsidRDefault="00160202" w:rsidP="008D0134">
      <w:pPr>
        <w:jc w:val="center"/>
        <w:rPr>
          <w:rFonts w:cs="Times New Roman"/>
          <w:b/>
          <w:sz w:val="40"/>
          <w:szCs w:val="40"/>
        </w:rPr>
      </w:pPr>
    </w:p>
    <w:p w:rsidR="008D0134" w:rsidRDefault="008D0134" w:rsidP="008D013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0,4 mokesčio tarifas (33.3–33.45 ir 33.48 zonos) ir perskaičiuota vertė:</w:t>
      </w:r>
    </w:p>
    <w:p w:rsidR="00160202" w:rsidRDefault="00160202" w:rsidP="008D0134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27"/>
        <w:gridCol w:w="2026"/>
        <w:gridCol w:w="2021"/>
        <w:gridCol w:w="2029"/>
        <w:gridCol w:w="2021"/>
        <w:gridCol w:w="2030"/>
        <w:gridCol w:w="2022"/>
      </w:tblGrid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0,4</w:t>
            </w:r>
          </w:p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0,3</w:t>
            </w:r>
          </w:p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Ramygalos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Uliūnų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k.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1,84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10,80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10,59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Paįstrio sen.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Paįstrio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6,95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7,20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Gegužinės 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4,28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4,95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Panevėžio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Bernatonių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0,51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Smilgių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Perekšlių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1,64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8,80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3490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10,47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Smilgių mstl.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1,56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Karsakiškio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Tiltagalių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0,48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Paliūniškio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0,78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Krekenavos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Krekenavos mstl.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Naujamiesčio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Naujamiesčio mst.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0,76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Miežiškių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Trakiškio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0,96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Miežiškių mstl.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2,78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3,45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Raguvos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Raguvos mstl.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0,63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3,21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Šilų mstl.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2,33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Upytės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Ėriškių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4,86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2540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7,62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Vadoklių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1,97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2,59</w:t>
            </w:r>
          </w:p>
        </w:tc>
      </w:tr>
    </w:tbl>
    <w:p w:rsidR="008D0134" w:rsidRDefault="008D0134" w:rsidP="008D0134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8D0134" w:rsidRDefault="008D0134" w:rsidP="008D0134">
      <w:pPr>
        <w:jc w:val="center"/>
      </w:pPr>
      <w:r>
        <w:t>_____________</w:t>
      </w:r>
    </w:p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0,7</w:t>
      </w:r>
      <w:r w:rsidR="00160202">
        <w:rPr>
          <w:rFonts w:cs="Times New Roman"/>
          <w:b/>
          <w:sz w:val="24"/>
          <w:szCs w:val="24"/>
        </w:rPr>
        <w:t xml:space="preserve"> mokesčio tarifas (33.46-33.47; 33.49 zonos) </w:t>
      </w:r>
      <w:r>
        <w:rPr>
          <w:rFonts w:cs="Times New Roman"/>
          <w:b/>
          <w:sz w:val="24"/>
          <w:szCs w:val="24"/>
        </w:rPr>
        <w:t xml:space="preserve"> ir perskaičiuota vertė</w:t>
      </w:r>
    </w:p>
    <w:p w:rsidR="008D0134" w:rsidRDefault="008D0134" w:rsidP="008D0134">
      <w:pPr>
        <w:jc w:val="center"/>
        <w:rPr>
          <w:rFonts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27"/>
        <w:gridCol w:w="2026"/>
        <w:gridCol w:w="2021"/>
        <w:gridCol w:w="2029"/>
        <w:gridCol w:w="2021"/>
        <w:gridCol w:w="2030"/>
        <w:gridCol w:w="2022"/>
      </w:tblGrid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0,4</w:t>
            </w:r>
          </w:p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0,3</w:t>
            </w:r>
          </w:p>
          <w:p w:rsidR="008D0134" w:rsidRDefault="008D013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Ramygalos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Pašilių II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4,66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4,83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Aukštadvario k.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1,41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Paįstrio sen.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Birželių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2,03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1,48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Adomavos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5,88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4,38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Panevėžio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Papušių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5,88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5,76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Varpučių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Smilgių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Utėnų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4,25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4,89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Kiaužerių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13,98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17,10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Karsakiškio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Mėlynių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4,46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3,63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Krekenavos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Rūtakiemio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3,44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3,3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Burvelių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5,47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5,49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Naujamiesčio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Liberiškio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2,14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12,77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12,66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Vadaktėlių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0,79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Miežiškių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Budrionių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3,03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3,99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Margučių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6,08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6,90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Raguvos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Kritižio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249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1,74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2,15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Užunevėžių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3,44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2,99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Upytės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Stultiškių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7,68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5387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37,70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46,50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Vadoklių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Alančių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1,72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10,56</w:t>
            </w:r>
          </w:p>
        </w:tc>
      </w:tr>
      <w:tr w:rsidR="008D0134" w:rsidTr="008D013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Velžio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Tautkūnų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34" w:rsidRDefault="008D01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0,85</w:t>
            </w:r>
          </w:p>
        </w:tc>
      </w:tr>
    </w:tbl>
    <w:p w:rsidR="008D0134" w:rsidRDefault="008D0134" w:rsidP="008D0134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:rsidR="008D0134" w:rsidRDefault="008D0134" w:rsidP="0094480A">
      <w:pPr>
        <w:jc w:val="center"/>
        <w:rPr>
          <w:rFonts w:cs="Times New Roman"/>
        </w:rPr>
      </w:pPr>
      <w:r>
        <w:t>_______________________</w:t>
      </w: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8D0134" w:rsidRDefault="008D0134" w:rsidP="00621AD2">
      <w:pPr>
        <w:jc w:val="both"/>
        <w:rPr>
          <w:rFonts w:cs="Times New Roman"/>
        </w:rPr>
      </w:pPr>
    </w:p>
    <w:p w:rsidR="00020C07" w:rsidRPr="002A0591" w:rsidRDefault="008D0134" w:rsidP="00020C0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</w:r>
      <w:r w:rsidR="00020C07">
        <w:rPr>
          <w:rFonts w:cs="Times New Roman"/>
          <w:b/>
          <w:sz w:val="40"/>
          <w:szCs w:val="40"/>
        </w:rPr>
        <w:tab/>
        <w:t xml:space="preserve">              </w:t>
      </w:r>
      <w:r w:rsidR="00020C07" w:rsidRPr="002A0591">
        <w:rPr>
          <w:rFonts w:cs="Times New Roman"/>
          <w:sz w:val="24"/>
          <w:szCs w:val="24"/>
        </w:rPr>
        <w:t>2 priedas</w:t>
      </w:r>
    </w:p>
    <w:p w:rsidR="00020C07" w:rsidRDefault="00020C07" w:rsidP="00020C07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PRAMONĖS IR SANDĖLIAVIMO ŽEMĖ </w:t>
      </w:r>
    </w:p>
    <w:p w:rsidR="00020C07" w:rsidRDefault="00020C07" w:rsidP="00020C07">
      <w:pPr>
        <w:rPr>
          <w:rFonts w:cs="Times New Roman"/>
          <w:b/>
          <w:sz w:val="28"/>
          <w:szCs w:val="28"/>
        </w:rPr>
      </w:pP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0,6 mokesčio tarifas (33.1 ir 33.50 zonos) ir perskaičiuota vertė</w:t>
      </w:r>
    </w:p>
    <w:p w:rsidR="00020C07" w:rsidRDefault="00020C07" w:rsidP="00020C07">
      <w:pPr>
        <w:jc w:val="center"/>
        <w:rPr>
          <w:rFonts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600"/>
        <w:gridCol w:w="1244"/>
        <w:gridCol w:w="1840"/>
        <w:gridCol w:w="1695"/>
        <w:gridCol w:w="1985"/>
        <w:gridCol w:w="1842"/>
        <w:gridCol w:w="1985"/>
      </w:tblGrid>
      <w:tr w:rsidR="00020C07" w:rsidTr="00223E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0,6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0,7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1,5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020C07" w:rsidTr="00223E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Dembavos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0C07" w:rsidTr="00223E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Staniūnų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0,00338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22,2</w:t>
            </w:r>
          </w:p>
        </w:tc>
      </w:tr>
      <w:tr w:rsidR="00020C07" w:rsidTr="00223E4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20C07" w:rsidRDefault="00020C07" w:rsidP="00020C07">
      <w:pPr>
        <w:jc w:val="both"/>
        <w:rPr>
          <w:rFonts w:cs="Times New Roman"/>
          <w:b/>
          <w:sz w:val="24"/>
          <w:szCs w:val="24"/>
        </w:rPr>
      </w:pPr>
    </w:p>
    <w:p w:rsidR="00020C07" w:rsidRDefault="00020C07" w:rsidP="00020C07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Sklypams, kuriems buvo priskirtas 1 mokesčio tarifas (33.2-33.4 zonos) Vaivadų ir </w:t>
      </w:r>
      <w:proofErr w:type="spellStart"/>
      <w:r>
        <w:rPr>
          <w:rFonts w:cs="Times New Roman"/>
          <w:b/>
          <w:sz w:val="24"/>
          <w:szCs w:val="24"/>
        </w:rPr>
        <w:t>Molainių</w:t>
      </w:r>
      <w:proofErr w:type="spellEnd"/>
      <w:r>
        <w:rPr>
          <w:rFonts w:cs="Times New Roman"/>
          <w:b/>
          <w:sz w:val="24"/>
          <w:szCs w:val="24"/>
        </w:rPr>
        <w:t xml:space="preserve"> k. žemės vertė nebuvo perskaičiuota </w:t>
      </w:r>
    </w:p>
    <w:p w:rsidR="00020C07" w:rsidRDefault="00020C07" w:rsidP="00020C07">
      <w:pPr>
        <w:jc w:val="both"/>
        <w:rPr>
          <w:rFonts w:cs="Times New Roman"/>
          <w:b/>
          <w:sz w:val="24"/>
          <w:szCs w:val="24"/>
        </w:rPr>
      </w:pP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1,5 mokesčio tarifas</w:t>
      </w: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(33.5-33.7; 33.17-33.22; 33.24 ir 33.48 zonos) ir perskaičiuota vertė</w:t>
      </w:r>
    </w:p>
    <w:p w:rsidR="00020C07" w:rsidRDefault="00020C07" w:rsidP="00020C07">
      <w:pPr>
        <w:jc w:val="center"/>
        <w:rPr>
          <w:rFonts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2126"/>
        <w:gridCol w:w="2126"/>
        <w:gridCol w:w="2126"/>
        <w:gridCol w:w="1843"/>
      </w:tblGrid>
      <w:tr w:rsidR="00020C07" w:rsidTr="0094480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1,5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2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020C07" w:rsidTr="0094480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Panevėžio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Bliūdžių k.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2448,84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89730,61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1794,61</w:t>
            </w:r>
          </w:p>
        </w:tc>
      </w:tr>
      <w:tr w:rsidR="00020C07" w:rsidTr="0094480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Senamiesčio k.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</w:p>
        </w:tc>
      </w:tr>
      <w:tr w:rsidR="00020C07" w:rsidTr="0094480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Šilagalio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11,52</w:t>
            </w:r>
          </w:p>
        </w:tc>
      </w:tr>
      <w:tr w:rsidR="0094480A" w:rsidTr="0094480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Karsakiškio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Paliūniškio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0,2491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A" w:rsidRDefault="0094480A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97,80</w:t>
            </w:r>
          </w:p>
        </w:tc>
      </w:tr>
    </w:tbl>
    <w:p w:rsidR="00020C07" w:rsidRDefault="00020C07" w:rsidP="00020C07"/>
    <w:p w:rsidR="00020C07" w:rsidRDefault="00020C07" w:rsidP="00020C07"/>
    <w:p w:rsidR="0094480A" w:rsidRDefault="0094480A" w:rsidP="00020C07"/>
    <w:p w:rsidR="0094480A" w:rsidRDefault="0094480A" w:rsidP="00020C07"/>
    <w:p w:rsidR="0094480A" w:rsidRDefault="0094480A" w:rsidP="00020C07"/>
    <w:p w:rsidR="0094480A" w:rsidRDefault="0094480A" w:rsidP="00020C07"/>
    <w:p w:rsidR="0094480A" w:rsidRDefault="0094480A" w:rsidP="00020C07"/>
    <w:p w:rsidR="0094480A" w:rsidRDefault="0094480A" w:rsidP="00020C07">
      <w:pPr>
        <w:jc w:val="center"/>
        <w:rPr>
          <w:rFonts w:cs="Times New Roman"/>
          <w:b/>
          <w:sz w:val="24"/>
          <w:szCs w:val="24"/>
        </w:rPr>
      </w:pPr>
    </w:p>
    <w:p w:rsidR="0094480A" w:rsidRDefault="0094480A" w:rsidP="00020C07">
      <w:pPr>
        <w:jc w:val="center"/>
        <w:rPr>
          <w:rFonts w:cs="Times New Roman"/>
          <w:b/>
          <w:sz w:val="24"/>
          <w:szCs w:val="24"/>
        </w:rPr>
      </w:pPr>
    </w:p>
    <w:p w:rsidR="0094480A" w:rsidRDefault="0094480A" w:rsidP="00020C07">
      <w:pPr>
        <w:jc w:val="center"/>
        <w:rPr>
          <w:rFonts w:cs="Times New Roman"/>
          <w:b/>
          <w:sz w:val="24"/>
          <w:szCs w:val="24"/>
        </w:rPr>
      </w:pP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2 mokesčio tarifas</w:t>
      </w: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(33.25-33.27 zonos) ir perskaičiuota vertė</w:t>
      </w:r>
    </w:p>
    <w:p w:rsidR="00020C07" w:rsidRDefault="00020C07" w:rsidP="00020C07">
      <w:pPr>
        <w:jc w:val="center"/>
        <w:rPr>
          <w:rFonts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2126"/>
        <w:gridCol w:w="2126"/>
        <w:gridCol w:w="2126"/>
        <w:gridCol w:w="1843"/>
      </w:tblGrid>
      <w:tr w:rsidR="00020C07" w:rsidTr="00223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2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2,5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020C07" w:rsidTr="00223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Ramygalos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Ramygalos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020C07" w:rsidTr="00223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Raguvos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Raguvos mstl.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15,42</w:t>
            </w:r>
          </w:p>
        </w:tc>
      </w:tr>
      <w:tr w:rsidR="00020C07" w:rsidTr="00223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Krekenavos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Krekenavos mstl.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020C07" w:rsidRDefault="00020C07" w:rsidP="00020C07"/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2,5 mokesčio tarifas</w:t>
      </w: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(33.12; 33.35-33.39 zonos) ir perskaičiuota vertė</w:t>
      </w: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2126"/>
        <w:gridCol w:w="2126"/>
        <w:gridCol w:w="2126"/>
        <w:gridCol w:w="1843"/>
      </w:tblGrid>
      <w:tr w:rsidR="00020C07" w:rsidTr="00223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2,5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3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020C07" w:rsidTr="00223E4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Panevėžio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Berčiūnų k.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1,4299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532,17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465</w:t>
            </w:r>
          </w:p>
        </w:tc>
      </w:tr>
    </w:tbl>
    <w:p w:rsidR="00020C07" w:rsidRDefault="00020C07" w:rsidP="00020C07">
      <w:pPr>
        <w:jc w:val="center"/>
        <w:rPr>
          <w:rFonts w:cs="Times New Roman"/>
          <w:sz w:val="24"/>
          <w:szCs w:val="24"/>
        </w:rPr>
      </w:pPr>
    </w:p>
    <w:p w:rsidR="00696FE5" w:rsidRDefault="00696FE5" w:rsidP="00020C07">
      <w:pPr>
        <w:jc w:val="center"/>
        <w:rPr>
          <w:rFonts w:cs="Times New Roman"/>
          <w:sz w:val="24"/>
          <w:szCs w:val="24"/>
        </w:rPr>
        <w:sectPr w:rsidR="00696FE5" w:rsidSect="008D0134">
          <w:pgSz w:w="16840" w:h="11907" w:orient="landscape" w:code="9"/>
          <w:pgMar w:top="1077" w:right="1440" w:bottom="1077" w:left="1440" w:header="567" w:footer="624" w:gutter="0"/>
          <w:cols w:space="1296"/>
          <w:titlePg/>
          <w:docGrid w:linePitch="360"/>
        </w:sectPr>
      </w:pPr>
    </w:p>
    <w:p w:rsidR="00020C07" w:rsidRDefault="00020C07" w:rsidP="00020C07">
      <w:pPr>
        <w:jc w:val="center"/>
        <w:rPr>
          <w:rFonts w:cs="Times New Roman"/>
          <w:sz w:val="24"/>
          <w:szCs w:val="24"/>
        </w:rPr>
      </w:pPr>
    </w:p>
    <w:p w:rsidR="00020C07" w:rsidRDefault="00020C07" w:rsidP="00020C07"/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Metinio nuomos mokesčio dydžių palyginimas sklypams, kuriems buvo priskirtas 4 mokesčio tarifas</w:t>
      </w: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(33.8-33.11; 33.13-33.16; 33.23; 33.28-33.34; 33.40-33.47; 33.49 zonos) ir perskaičiuota sklypo vertė</w:t>
      </w:r>
    </w:p>
    <w:p w:rsidR="00020C07" w:rsidRDefault="00020C07" w:rsidP="00020C0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2126"/>
        <w:gridCol w:w="2126"/>
        <w:gridCol w:w="2126"/>
        <w:gridCol w:w="1843"/>
      </w:tblGrid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Seniūnija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Vietovė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Sklypo dydis (ha)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iki perskaičiavimo,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4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Vertė po perskaičiavimo, €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Vertė x Tarifas 4</w:t>
            </w:r>
          </w:p>
          <w:p w:rsidR="00020C07" w:rsidRDefault="00020C07" w:rsidP="00223E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Kaina€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Naujamiesčio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Gustonių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61,60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Miežiškių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Miežiškių mstl.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19,60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Dvarininkų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79,6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Liūdynės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90,40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Katinų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10,16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Paįstrio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Paįstrio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34,81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Skaistgirių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0,1076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274,87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8,88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Upytės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Ėriškių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8,44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Tarnagalos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2,7839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189,20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Raguvos sen.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Fermos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38,92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Ramygalos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Garuckų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73,60 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Vadoklių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Jotainių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0,8691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64,80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Panevėžio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Daukniūnų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3,84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Berniūnų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6,48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Krekenavos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Iciūnų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0,6879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21,80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Žibartonių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3,12</w:t>
            </w:r>
          </w:p>
        </w:tc>
      </w:tr>
      <w:tr w:rsidR="00020C07" w:rsidTr="00223E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Rodų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II 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0,0398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07" w:rsidRDefault="00020C07" w:rsidP="00223E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3,64</w:t>
            </w:r>
          </w:p>
        </w:tc>
      </w:tr>
    </w:tbl>
    <w:p w:rsidR="00020C07" w:rsidRDefault="00020C07" w:rsidP="00020C07"/>
    <w:p w:rsidR="00020C07" w:rsidRDefault="00020C07" w:rsidP="00020C07">
      <w:pPr>
        <w:jc w:val="center"/>
      </w:pPr>
      <w:r>
        <w:t>__________</w:t>
      </w:r>
    </w:p>
    <w:p w:rsidR="008D0134" w:rsidRPr="00CB288F" w:rsidRDefault="008D0134" w:rsidP="00020C07">
      <w:pPr>
        <w:jc w:val="center"/>
        <w:rPr>
          <w:rFonts w:cs="Times New Roman"/>
        </w:rPr>
      </w:pPr>
    </w:p>
    <w:sectPr w:rsidR="008D0134" w:rsidRPr="00CB288F" w:rsidSect="008D0134">
      <w:pgSz w:w="16840" w:h="11907" w:orient="landscape" w:code="9"/>
      <w:pgMar w:top="1077" w:right="1440" w:bottom="1077" w:left="144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15" w:rsidRDefault="00E74315">
      <w:r>
        <w:separator/>
      </w:r>
    </w:p>
  </w:endnote>
  <w:endnote w:type="continuationSeparator" w:id="0">
    <w:p w:rsidR="00E74315" w:rsidRDefault="00E7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15" w:rsidRDefault="00E74315">
      <w:r>
        <w:separator/>
      </w:r>
    </w:p>
  </w:footnote>
  <w:footnote w:type="continuationSeparator" w:id="0">
    <w:p w:rsidR="00E74315" w:rsidRDefault="00E7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49" w:rsidRDefault="00223E49" w:rsidP="00FA2D0B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49" w:rsidRDefault="00223E4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49" w:rsidRDefault="00223E49" w:rsidP="00260F1C">
    <w:pPr>
      <w:pStyle w:val="Antrats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5838"/>
    <w:rsid w:val="00017814"/>
    <w:rsid w:val="00020C07"/>
    <w:rsid w:val="00022413"/>
    <w:rsid w:val="00027216"/>
    <w:rsid w:val="00034F17"/>
    <w:rsid w:val="00037492"/>
    <w:rsid w:val="000450D3"/>
    <w:rsid w:val="0004570A"/>
    <w:rsid w:val="00054387"/>
    <w:rsid w:val="00064245"/>
    <w:rsid w:val="00067B7C"/>
    <w:rsid w:val="00086250"/>
    <w:rsid w:val="000929A4"/>
    <w:rsid w:val="00094421"/>
    <w:rsid w:val="000978C7"/>
    <w:rsid w:val="000A19E5"/>
    <w:rsid w:val="000A7A9E"/>
    <w:rsid w:val="000B26B0"/>
    <w:rsid w:val="000C326C"/>
    <w:rsid w:val="000D5B18"/>
    <w:rsid w:val="000E42FA"/>
    <w:rsid w:val="000E5C25"/>
    <w:rsid w:val="000E6744"/>
    <w:rsid w:val="000F40FC"/>
    <w:rsid w:val="000F4AEC"/>
    <w:rsid w:val="001056F7"/>
    <w:rsid w:val="00105DE8"/>
    <w:rsid w:val="001201EE"/>
    <w:rsid w:val="0012147E"/>
    <w:rsid w:val="001232DD"/>
    <w:rsid w:val="00123E09"/>
    <w:rsid w:val="00134261"/>
    <w:rsid w:val="00153C3B"/>
    <w:rsid w:val="00155A45"/>
    <w:rsid w:val="00160202"/>
    <w:rsid w:val="00172A5D"/>
    <w:rsid w:val="001825FA"/>
    <w:rsid w:val="00184A76"/>
    <w:rsid w:val="001B2960"/>
    <w:rsid w:val="001B5878"/>
    <w:rsid w:val="001B6F85"/>
    <w:rsid w:val="001C06AF"/>
    <w:rsid w:val="001C5E20"/>
    <w:rsid w:val="001F634F"/>
    <w:rsid w:val="00206D40"/>
    <w:rsid w:val="002226E5"/>
    <w:rsid w:val="00223E49"/>
    <w:rsid w:val="002372D9"/>
    <w:rsid w:val="00244317"/>
    <w:rsid w:val="0024568D"/>
    <w:rsid w:val="00245AF2"/>
    <w:rsid w:val="002475DF"/>
    <w:rsid w:val="00254999"/>
    <w:rsid w:val="00255971"/>
    <w:rsid w:val="00260F1C"/>
    <w:rsid w:val="002651E6"/>
    <w:rsid w:val="00275EE1"/>
    <w:rsid w:val="00280059"/>
    <w:rsid w:val="002839AE"/>
    <w:rsid w:val="002915F5"/>
    <w:rsid w:val="00297AB2"/>
    <w:rsid w:val="002A3D19"/>
    <w:rsid w:val="002B0527"/>
    <w:rsid w:val="002B1791"/>
    <w:rsid w:val="002D4D80"/>
    <w:rsid w:val="002E063A"/>
    <w:rsid w:val="002E171B"/>
    <w:rsid w:val="002F2C53"/>
    <w:rsid w:val="002F5959"/>
    <w:rsid w:val="002F6832"/>
    <w:rsid w:val="003220C8"/>
    <w:rsid w:val="00326B02"/>
    <w:rsid w:val="003274AB"/>
    <w:rsid w:val="00332262"/>
    <w:rsid w:val="00336ED4"/>
    <w:rsid w:val="00343C09"/>
    <w:rsid w:val="0034749E"/>
    <w:rsid w:val="0035186A"/>
    <w:rsid w:val="00353B28"/>
    <w:rsid w:val="003554FB"/>
    <w:rsid w:val="003632CB"/>
    <w:rsid w:val="00364217"/>
    <w:rsid w:val="003917D6"/>
    <w:rsid w:val="003A16F3"/>
    <w:rsid w:val="003A3DD4"/>
    <w:rsid w:val="003A49B5"/>
    <w:rsid w:val="003A7E8B"/>
    <w:rsid w:val="003B01B5"/>
    <w:rsid w:val="003C0EA4"/>
    <w:rsid w:val="003E3A5F"/>
    <w:rsid w:val="003F04A0"/>
    <w:rsid w:val="004253DB"/>
    <w:rsid w:val="00434A8A"/>
    <w:rsid w:val="00461AAE"/>
    <w:rsid w:val="00467FD6"/>
    <w:rsid w:val="004725CB"/>
    <w:rsid w:val="00474941"/>
    <w:rsid w:val="00482C65"/>
    <w:rsid w:val="00491D82"/>
    <w:rsid w:val="0049741C"/>
    <w:rsid w:val="004A0EDD"/>
    <w:rsid w:val="004B1FD0"/>
    <w:rsid w:val="004B2A47"/>
    <w:rsid w:val="004B4305"/>
    <w:rsid w:val="004B7489"/>
    <w:rsid w:val="004B7638"/>
    <w:rsid w:val="004C4586"/>
    <w:rsid w:val="00500037"/>
    <w:rsid w:val="0050551C"/>
    <w:rsid w:val="005073B3"/>
    <w:rsid w:val="00512002"/>
    <w:rsid w:val="00525E12"/>
    <w:rsid w:val="00526532"/>
    <w:rsid w:val="0054028B"/>
    <w:rsid w:val="0055300A"/>
    <w:rsid w:val="00557E68"/>
    <w:rsid w:val="005729D2"/>
    <w:rsid w:val="00584279"/>
    <w:rsid w:val="005875B3"/>
    <w:rsid w:val="005A0025"/>
    <w:rsid w:val="005A504F"/>
    <w:rsid w:val="005A78A5"/>
    <w:rsid w:val="005B3AB6"/>
    <w:rsid w:val="005B70B5"/>
    <w:rsid w:val="005B7E0D"/>
    <w:rsid w:val="005C555E"/>
    <w:rsid w:val="005C67A4"/>
    <w:rsid w:val="005D234B"/>
    <w:rsid w:val="005D536A"/>
    <w:rsid w:val="005E395D"/>
    <w:rsid w:val="005E60BC"/>
    <w:rsid w:val="005E6917"/>
    <w:rsid w:val="00603BE6"/>
    <w:rsid w:val="00604098"/>
    <w:rsid w:val="00606A0B"/>
    <w:rsid w:val="006147FE"/>
    <w:rsid w:val="00616699"/>
    <w:rsid w:val="0061725D"/>
    <w:rsid w:val="00621AD2"/>
    <w:rsid w:val="0063401E"/>
    <w:rsid w:val="00636BB5"/>
    <w:rsid w:val="00644113"/>
    <w:rsid w:val="00654388"/>
    <w:rsid w:val="006674CC"/>
    <w:rsid w:val="006846AE"/>
    <w:rsid w:val="006927C3"/>
    <w:rsid w:val="00696FE5"/>
    <w:rsid w:val="006A3CE1"/>
    <w:rsid w:val="006B6FA9"/>
    <w:rsid w:val="006D7051"/>
    <w:rsid w:val="006D73A1"/>
    <w:rsid w:val="006F0FFD"/>
    <w:rsid w:val="00701E4F"/>
    <w:rsid w:val="00704CFF"/>
    <w:rsid w:val="00725EAB"/>
    <w:rsid w:val="00742E07"/>
    <w:rsid w:val="00756AC5"/>
    <w:rsid w:val="00763D21"/>
    <w:rsid w:val="00785948"/>
    <w:rsid w:val="00790EED"/>
    <w:rsid w:val="00797939"/>
    <w:rsid w:val="007A13F0"/>
    <w:rsid w:val="007B05B4"/>
    <w:rsid w:val="007C6DF9"/>
    <w:rsid w:val="007D00F5"/>
    <w:rsid w:val="007D4C8E"/>
    <w:rsid w:val="007D5137"/>
    <w:rsid w:val="007D7E38"/>
    <w:rsid w:val="007F3E48"/>
    <w:rsid w:val="007F7C3C"/>
    <w:rsid w:val="0080248F"/>
    <w:rsid w:val="00802D8A"/>
    <w:rsid w:val="00804D3E"/>
    <w:rsid w:val="00826FD6"/>
    <w:rsid w:val="00840D3B"/>
    <w:rsid w:val="00847A22"/>
    <w:rsid w:val="00852880"/>
    <w:rsid w:val="00877F5D"/>
    <w:rsid w:val="00892E19"/>
    <w:rsid w:val="008933A2"/>
    <w:rsid w:val="00894DD4"/>
    <w:rsid w:val="008B3C5B"/>
    <w:rsid w:val="008C3F66"/>
    <w:rsid w:val="008D0134"/>
    <w:rsid w:val="008D28BB"/>
    <w:rsid w:val="008D6A36"/>
    <w:rsid w:val="00907EDA"/>
    <w:rsid w:val="009145F2"/>
    <w:rsid w:val="00922004"/>
    <w:rsid w:val="00925E8D"/>
    <w:rsid w:val="009309B9"/>
    <w:rsid w:val="00933E29"/>
    <w:rsid w:val="009353AE"/>
    <w:rsid w:val="0094480A"/>
    <w:rsid w:val="009554BB"/>
    <w:rsid w:val="009748F7"/>
    <w:rsid w:val="00980318"/>
    <w:rsid w:val="00980F65"/>
    <w:rsid w:val="00986716"/>
    <w:rsid w:val="0099011E"/>
    <w:rsid w:val="00993B03"/>
    <w:rsid w:val="00996609"/>
    <w:rsid w:val="009A5AD4"/>
    <w:rsid w:val="009B2A9D"/>
    <w:rsid w:val="009B6920"/>
    <w:rsid w:val="009B711B"/>
    <w:rsid w:val="009D2AF7"/>
    <w:rsid w:val="009D6D53"/>
    <w:rsid w:val="009D7AA7"/>
    <w:rsid w:val="009F50B6"/>
    <w:rsid w:val="009F5695"/>
    <w:rsid w:val="00A074AE"/>
    <w:rsid w:val="00A1396A"/>
    <w:rsid w:val="00A14609"/>
    <w:rsid w:val="00A2706E"/>
    <w:rsid w:val="00A41B12"/>
    <w:rsid w:val="00A46985"/>
    <w:rsid w:val="00A52C9F"/>
    <w:rsid w:val="00A53E3B"/>
    <w:rsid w:val="00A56624"/>
    <w:rsid w:val="00A56C73"/>
    <w:rsid w:val="00A64462"/>
    <w:rsid w:val="00A7053E"/>
    <w:rsid w:val="00A87047"/>
    <w:rsid w:val="00A95D8B"/>
    <w:rsid w:val="00AA27B9"/>
    <w:rsid w:val="00AA2EBA"/>
    <w:rsid w:val="00AA46FC"/>
    <w:rsid w:val="00AB74AE"/>
    <w:rsid w:val="00AC3AE8"/>
    <w:rsid w:val="00AC3CB0"/>
    <w:rsid w:val="00AC48E8"/>
    <w:rsid w:val="00AC599C"/>
    <w:rsid w:val="00AC59DF"/>
    <w:rsid w:val="00AD1FE7"/>
    <w:rsid w:val="00AF220A"/>
    <w:rsid w:val="00B05623"/>
    <w:rsid w:val="00B12C25"/>
    <w:rsid w:val="00B15DDD"/>
    <w:rsid w:val="00B24F4D"/>
    <w:rsid w:val="00B3760F"/>
    <w:rsid w:val="00B4078B"/>
    <w:rsid w:val="00B471F0"/>
    <w:rsid w:val="00B4746D"/>
    <w:rsid w:val="00B55F53"/>
    <w:rsid w:val="00B72C44"/>
    <w:rsid w:val="00B74D34"/>
    <w:rsid w:val="00B77F0D"/>
    <w:rsid w:val="00B80DC4"/>
    <w:rsid w:val="00B909E2"/>
    <w:rsid w:val="00B90FE4"/>
    <w:rsid w:val="00B92F60"/>
    <w:rsid w:val="00B951F0"/>
    <w:rsid w:val="00B97007"/>
    <w:rsid w:val="00BA0F7D"/>
    <w:rsid w:val="00BA15E9"/>
    <w:rsid w:val="00BA299F"/>
    <w:rsid w:val="00BA6222"/>
    <w:rsid w:val="00BB63B8"/>
    <w:rsid w:val="00BB79B2"/>
    <w:rsid w:val="00BD0AEA"/>
    <w:rsid w:val="00BE109B"/>
    <w:rsid w:val="00BF42DB"/>
    <w:rsid w:val="00C230B7"/>
    <w:rsid w:val="00C2562B"/>
    <w:rsid w:val="00C33B5B"/>
    <w:rsid w:val="00C34135"/>
    <w:rsid w:val="00C53B63"/>
    <w:rsid w:val="00C924CC"/>
    <w:rsid w:val="00CB288F"/>
    <w:rsid w:val="00CD5F1A"/>
    <w:rsid w:val="00CD7229"/>
    <w:rsid w:val="00CF015E"/>
    <w:rsid w:val="00D051B1"/>
    <w:rsid w:val="00D201A8"/>
    <w:rsid w:val="00D2318D"/>
    <w:rsid w:val="00D23EA7"/>
    <w:rsid w:val="00D27373"/>
    <w:rsid w:val="00D407E0"/>
    <w:rsid w:val="00D44A3B"/>
    <w:rsid w:val="00D46E28"/>
    <w:rsid w:val="00D6545C"/>
    <w:rsid w:val="00D736E4"/>
    <w:rsid w:val="00DA7B3C"/>
    <w:rsid w:val="00DB0CA8"/>
    <w:rsid w:val="00DB6BC9"/>
    <w:rsid w:val="00DD50F4"/>
    <w:rsid w:val="00DE2173"/>
    <w:rsid w:val="00DF5FFC"/>
    <w:rsid w:val="00DF72D7"/>
    <w:rsid w:val="00DF7C9C"/>
    <w:rsid w:val="00E0082D"/>
    <w:rsid w:val="00E0118B"/>
    <w:rsid w:val="00E06312"/>
    <w:rsid w:val="00E21572"/>
    <w:rsid w:val="00E46D84"/>
    <w:rsid w:val="00E74315"/>
    <w:rsid w:val="00E80982"/>
    <w:rsid w:val="00E9647A"/>
    <w:rsid w:val="00EC0A4A"/>
    <w:rsid w:val="00EC18A0"/>
    <w:rsid w:val="00EC1CD9"/>
    <w:rsid w:val="00EC5399"/>
    <w:rsid w:val="00ED7DAF"/>
    <w:rsid w:val="00EF0C98"/>
    <w:rsid w:val="00F27A50"/>
    <w:rsid w:val="00F47E96"/>
    <w:rsid w:val="00F50883"/>
    <w:rsid w:val="00F50B72"/>
    <w:rsid w:val="00F57710"/>
    <w:rsid w:val="00F639B3"/>
    <w:rsid w:val="00F65159"/>
    <w:rsid w:val="00F727DE"/>
    <w:rsid w:val="00F836B8"/>
    <w:rsid w:val="00F8795D"/>
    <w:rsid w:val="00FA2D0B"/>
    <w:rsid w:val="00FA53EF"/>
    <w:rsid w:val="00FE09E2"/>
    <w:rsid w:val="00FE45B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  <w:style w:type="character" w:styleId="Grietas">
    <w:name w:val="Strong"/>
    <w:basedOn w:val="Numatytasispastraiposriftas"/>
    <w:uiPriority w:val="22"/>
    <w:qFormat/>
    <w:rsid w:val="00D23EA7"/>
    <w:rPr>
      <w:b/>
      <w:bCs/>
    </w:rPr>
  </w:style>
  <w:style w:type="character" w:styleId="Rykuspabraukimas">
    <w:name w:val="Intense Emphasis"/>
    <w:basedOn w:val="Numatytasispastraiposriftas"/>
    <w:uiPriority w:val="21"/>
    <w:qFormat/>
    <w:rsid w:val="0058427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  <w:style w:type="character" w:styleId="Grietas">
    <w:name w:val="Strong"/>
    <w:basedOn w:val="Numatytasispastraiposriftas"/>
    <w:uiPriority w:val="22"/>
    <w:qFormat/>
    <w:rsid w:val="00D23EA7"/>
    <w:rPr>
      <w:b/>
      <w:bCs/>
    </w:rPr>
  </w:style>
  <w:style w:type="character" w:styleId="Rykuspabraukimas">
    <w:name w:val="Intense Emphasis"/>
    <w:basedOn w:val="Numatytasispastraiposriftas"/>
    <w:uiPriority w:val="21"/>
    <w:qFormat/>
    <w:rsid w:val="0058427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E4E2-2FD4-451B-8F1C-3D336047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16</TotalTime>
  <Pages>8</Pages>
  <Words>8447</Words>
  <Characters>4815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13236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6</cp:revision>
  <cp:lastPrinted>2019-05-16T07:07:00Z</cp:lastPrinted>
  <dcterms:created xsi:type="dcterms:W3CDTF">2019-05-16T06:51:00Z</dcterms:created>
  <dcterms:modified xsi:type="dcterms:W3CDTF">2019-05-30T12:39:00Z</dcterms:modified>
</cp:coreProperties>
</file>