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9179" w14:textId="77777777" w:rsidR="00216D84" w:rsidRDefault="00216D84" w:rsidP="00216D84"/>
    <w:p w14:paraId="318ACF29" w14:textId="77777777" w:rsidR="00216D84" w:rsidRDefault="00216D84" w:rsidP="00216D84"/>
    <w:p w14:paraId="353A29A4" w14:textId="2635DC56" w:rsidR="00216D84" w:rsidRDefault="00216D84" w:rsidP="00216D84">
      <w:pPr>
        <w:tabs>
          <w:tab w:val="center" w:pos="4153"/>
          <w:tab w:val="right" w:pos="8306"/>
        </w:tabs>
        <w:autoSpaceDE w:val="0"/>
        <w:rPr>
          <w:rFonts w:eastAsia="Andale Sans UI" w:cs="Times New Roman"/>
          <w:b/>
        </w:rPr>
      </w:pPr>
      <w:r>
        <w:rPr>
          <w:rFonts w:eastAsia="Andale Sans UI" w:cs="Times New Roman"/>
          <w:lang w:eastAsia="ar-SA" w:bidi="ar-SA"/>
        </w:rPr>
        <w:t xml:space="preserve">                                                                        </w:t>
      </w:r>
      <w:r>
        <w:rPr>
          <w:rFonts w:eastAsia="Andale Sans UI" w:cs="Times New Roman"/>
          <w:noProof/>
          <w:lang w:eastAsia="ar-SA" w:bidi="ar-SA"/>
        </w:rPr>
        <w:drawing>
          <wp:inline distT="0" distB="0" distL="0" distR="0" wp14:anchorId="5CCA7437" wp14:editId="11AC9DFE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ndale Sans UI" w:cs="Times New Roman"/>
        </w:rPr>
        <w:t xml:space="preserve">                              </w:t>
      </w:r>
      <w:r>
        <w:rPr>
          <w:rFonts w:eastAsia="Andale Sans UI" w:cs="Times New Roman"/>
          <w:b/>
        </w:rPr>
        <w:t>Projektas</w:t>
      </w:r>
    </w:p>
    <w:p w14:paraId="135C58F0" w14:textId="77777777" w:rsidR="00216D84" w:rsidRDefault="00216D84" w:rsidP="00216D84">
      <w:pPr>
        <w:tabs>
          <w:tab w:val="center" w:pos="4153"/>
          <w:tab w:val="right" w:pos="8306"/>
        </w:tabs>
        <w:autoSpaceDE w:val="0"/>
        <w:jc w:val="right"/>
        <w:rPr>
          <w:rFonts w:eastAsia="Andale Sans UI" w:cs="Times New Roman"/>
        </w:rPr>
      </w:pPr>
      <w:r>
        <w:rPr>
          <w:rFonts w:eastAsia="Andale Sans UI" w:cs="Times New Roman"/>
        </w:rPr>
        <w:t xml:space="preserve">                                                                   </w:t>
      </w:r>
    </w:p>
    <w:p w14:paraId="58CCB94A" w14:textId="77777777" w:rsidR="00216D84" w:rsidRDefault="00216D84" w:rsidP="00216D84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40ED3E60" w14:textId="77777777" w:rsidR="00216D84" w:rsidRDefault="00216D84" w:rsidP="00216D84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</w:p>
    <w:p w14:paraId="687EB154" w14:textId="77777777" w:rsidR="00216D84" w:rsidRDefault="00216D84" w:rsidP="00216D84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5F65D628" w14:textId="7A54C26F" w:rsidR="00216D84" w:rsidRDefault="00216D84" w:rsidP="00216D84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</w:rPr>
      </w:pPr>
      <w:r>
        <w:rPr>
          <w:rFonts w:eastAsia="Andale Sans UI" w:cs="Times New Roman"/>
          <w:b/>
          <w:bCs/>
        </w:rPr>
        <w:t>DĖL PANEVĖŽIO RAJONO SAVIVALDYBĖS TARYBOS 201</w:t>
      </w:r>
      <w:r w:rsidR="00F76B22">
        <w:rPr>
          <w:rFonts w:eastAsia="Andale Sans UI" w:cs="Times New Roman"/>
          <w:b/>
          <w:bCs/>
        </w:rPr>
        <w:t>9</w:t>
      </w:r>
      <w:r>
        <w:rPr>
          <w:rFonts w:eastAsia="Andale Sans UI" w:cs="Times New Roman"/>
          <w:b/>
          <w:bCs/>
        </w:rPr>
        <w:t xml:space="preserve"> M. VASARIO 2</w:t>
      </w:r>
      <w:r w:rsidR="00F76B22">
        <w:rPr>
          <w:rFonts w:eastAsia="Andale Sans UI" w:cs="Times New Roman"/>
          <w:b/>
          <w:bCs/>
        </w:rPr>
        <w:t>0</w:t>
      </w:r>
      <w:r>
        <w:rPr>
          <w:rFonts w:eastAsia="Andale Sans UI" w:cs="Times New Roman"/>
          <w:b/>
          <w:bCs/>
        </w:rPr>
        <w:t xml:space="preserve"> D. SPRENDIMO NR. T-2</w:t>
      </w:r>
      <w:r w:rsidR="00F76B22">
        <w:rPr>
          <w:rFonts w:eastAsia="Andale Sans UI" w:cs="Times New Roman"/>
          <w:b/>
          <w:bCs/>
        </w:rPr>
        <w:t>5</w:t>
      </w:r>
      <w:r>
        <w:rPr>
          <w:rFonts w:eastAsia="Andale Sans UI" w:cs="Times New Roman"/>
          <w:b/>
          <w:bCs/>
        </w:rPr>
        <w:t xml:space="preserve"> „DĖL PANEVĖŽIO RAJONO SAVIVALDYBĖS 201</w:t>
      </w:r>
      <w:r w:rsidR="00F76B22">
        <w:rPr>
          <w:rFonts w:eastAsia="Andale Sans UI" w:cs="Times New Roman"/>
          <w:b/>
          <w:bCs/>
        </w:rPr>
        <w:t>9</w:t>
      </w:r>
      <w:r>
        <w:rPr>
          <w:rFonts w:eastAsia="Andale Sans UI" w:cs="Times New Roman"/>
          <w:b/>
          <w:bCs/>
        </w:rPr>
        <w:t xml:space="preserve"> M. MELIORACIJOS PRIORITETINIŲ DARBŲ PROGRAMOS PATVIRTINIMO“ PAKEITIMO</w:t>
      </w:r>
    </w:p>
    <w:p w14:paraId="60D592EC" w14:textId="77777777" w:rsidR="00216D84" w:rsidRDefault="00216D84" w:rsidP="00216D84">
      <w:pPr>
        <w:autoSpaceDE w:val="0"/>
        <w:jc w:val="center"/>
        <w:rPr>
          <w:rFonts w:eastAsia="Andale Sans UI" w:cs="Times New Roman"/>
          <w:b/>
          <w:bCs/>
        </w:rPr>
      </w:pPr>
    </w:p>
    <w:p w14:paraId="7C725221" w14:textId="77777777" w:rsidR="00216D84" w:rsidRDefault="00216D84" w:rsidP="00216D84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 xml:space="preserve"> </w:t>
      </w:r>
    </w:p>
    <w:p w14:paraId="48C5B97E" w14:textId="4EC8A834" w:rsidR="00216D84" w:rsidRDefault="00216D84" w:rsidP="00216D84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201</w:t>
      </w:r>
      <w:r w:rsidR="00F76B22">
        <w:rPr>
          <w:rFonts w:eastAsia="Andale Sans UI" w:cs="Times New Roman"/>
        </w:rPr>
        <w:t>9</w:t>
      </w:r>
      <w:r>
        <w:rPr>
          <w:rFonts w:eastAsia="Andale Sans UI" w:cs="Times New Roman"/>
        </w:rPr>
        <w:t xml:space="preserve"> m. </w:t>
      </w:r>
      <w:r w:rsidR="00F76B22">
        <w:rPr>
          <w:rFonts w:eastAsia="Andale Sans UI" w:cs="Times New Roman"/>
        </w:rPr>
        <w:t>birželio</w:t>
      </w:r>
      <w:r>
        <w:rPr>
          <w:rFonts w:eastAsia="Andale Sans UI" w:cs="Times New Roman"/>
        </w:rPr>
        <w:t xml:space="preserve"> </w:t>
      </w:r>
      <w:r w:rsidR="00F76B22">
        <w:rPr>
          <w:rFonts w:eastAsia="Andale Sans UI" w:cs="Times New Roman"/>
        </w:rPr>
        <w:t>2</w:t>
      </w:r>
      <w:r>
        <w:rPr>
          <w:rFonts w:eastAsia="Andale Sans UI" w:cs="Times New Roman"/>
        </w:rPr>
        <w:t>0 d. Nr. T-</w:t>
      </w:r>
    </w:p>
    <w:p w14:paraId="6469FA34" w14:textId="77777777" w:rsidR="00216D84" w:rsidRDefault="00216D84" w:rsidP="00216D84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50B07827" w14:textId="77777777" w:rsidR="00216D84" w:rsidRDefault="00216D84" w:rsidP="00216D84">
      <w:pPr>
        <w:autoSpaceDE w:val="0"/>
        <w:rPr>
          <w:rFonts w:eastAsia="Andale Sans UI" w:cs="Times New Roman"/>
        </w:rPr>
      </w:pPr>
    </w:p>
    <w:p w14:paraId="1CFE5327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63C8B09E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straipsnio 1 dalimi,             Savivaldybės taryba n u s p r e n d ž i a:</w:t>
      </w:r>
    </w:p>
    <w:p w14:paraId="252C991B" w14:textId="56A8928F" w:rsidR="00216D84" w:rsidRDefault="00216D84" w:rsidP="00216D84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201</w:t>
      </w:r>
      <w:r w:rsidR="00F76B22">
        <w:rPr>
          <w:rFonts w:eastAsia="Andale Sans UI" w:cs="Times New Roman"/>
        </w:rPr>
        <w:t>9</w:t>
      </w:r>
      <w:r>
        <w:rPr>
          <w:rFonts w:eastAsia="Andale Sans UI" w:cs="Times New Roman"/>
        </w:rPr>
        <w:t xml:space="preserve"> m. melioracijos prioritetinių darbų programą, patvirtintą Savivaldybės tarybos 201</w:t>
      </w:r>
      <w:r w:rsidR="00F76B22">
        <w:rPr>
          <w:rFonts w:eastAsia="Andale Sans UI" w:cs="Times New Roman"/>
        </w:rPr>
        <w:t>9</w:t>
      </w:r>
      <w:r>
        <w:rPr>
          <w:rFonts w:eastAsia="Andale Sans UI" w:cs="Times New Roman"/>
        </w:rPr>
        <w:t xml:space="preserve"> m. vasario 2</w:t>
      </w:r>
      <w:r w:rsidR="00F76B22">
        <w:rPr>
          <w:rFonts w:eastAsia="Andale Sans UI" w:cs="Times New Roman"/>
        </w:rPr>
        <w:t>0</w:t>
      </w:r>
      <w:r>
        <w:rPr>
          <w:rFonts w:eastAsia="Andale Sans UI" w:cs="Times New Roman"/>
        </w:rPr>
        <w:t xml:space="preserve"> d. sprendimu Nr. T-2</w:t>
      </w:r>
      <w:r w:rsidR="00F76B22">
        <w:rPr>
          <w:rFonts w:eastAsia="Andale Sans UI" w:cs="Times New Roman"/>
        </w:rPr>
        <w:t>5</w:t>
      </w:r>
      <w:r>
        <w:rPr>
          <w:rFonts w:eastAsia="Andale Sans UI" w:cs="Times New Roman"/>
        </w:rPr>
        <w:t xml:space="preserve"> „Dėl Panevėžio rajono savivaldybės 201</w:t>
      </w:r>
      <w:r w:rsidR="00F76B22">
        <w:rPr>
          <w:rFonts w:eastAsia="Andale Sans UI" w:cs="Times New Roman"/>
        </w:rPr>
        <w:t>9</w:t>
      </w:r>
      <w:r>
        <w:rPr>
          <w:rFonts w:eastAsia="Andale Sans UI" w:cs="Times New Roman"/>
        </w:rPr>
        <w:t xml:space="preserve"> m. melioracijos prioritetinių darbų programos patvirtinimo“, ir išdėstyti ją nauja redakcija  (pridedama).</w:t>
      </w:r>
    </w:p>
    <w:p w14:paraId="3AFA7661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359C2B59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4337D371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4FB77549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4C1B4630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4D608304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0A8F19A8" w14:textId="77777777" w:rsidR="00216D84" w:rsidRDefault="00216D84" w:rsidP="00216D84">
      <w:pPr>
        <w:autoSpaceDE w:val="0"/>
        <w:jc w:val="both"/>
        <w:rPr>
          <w:rFonts w:eastAsia="Andale Sans UI" w:cs="Times New Roman"/>
        </w:rPr>
      </w:pPr>
    </w:p>
    <w:p w14:paraId="2ED7F668" w14:textId="77777777" w:rsidR="00216D84" w:rsidRDefault="00216D84" w:rsidP="00216D84">
      <w:pPr>
        <w:autoSpaceDE w:val="0"/>
        <w:rPr>
          <w:rFonts w:eastAsia="Andale Sans UI" w:cs="Times New Roman"/>
        </w:rPr>
      </w:pPr>
    </w:p>
    <w:p w14:paraId="2E14CC59" w14:textId="77777777" w:rsidR="00216D84" w:rsidRDefault="00216D84" w:rsidP="00216D84"/>
    <w:p w14:paraId="6EF040A1" w14:textId="77777777" w:rsidR="00216D84" w:rsidRDefault="00216D84" w:rsidP="00216D84"/>
    <w:p w14:paraId="11EC5993" w14:textId="77777777" w:rsidR="00216D84" w:rsidRDefault="00216D84" w:rsidP="00216D84"/>
    <w:p w14:paraId="33352442" w14:textId="77777777" w:rsidR="00216D84" w:rsidRDefault="00216D84" w:rsidP="00216D84"/>
    <w:p w14:paraId="18BCD93C" w14:textId="77777777" w:rsidR="00216D84" w:rsidRDefault="00216D84" w:rsidP="00216D84"/>
    <w:p w14:paraId="1FE6A3CC" w14:textId="77777777" w:rsidR="00216D84" w:rsidRDefault="00216D84" w:rsidP="00216D84"/>
    <w:p w14:paraId="6E268A25" w14:textId="77777777" w:rsidR="00216D84" w:rsidRDefault="00216D84" w:rsidP="00216D84"/>
    <w:p w14:paraId="578EA0C1" w14:textId="77777777" w:rsidR="00216D84" w:rsidRDefault="00216D84" w:rsidP="00216D84"/>
    <w:p w14:paraId="15B9FAEF" w14:textId="77777777" w:rsidR="00216D84" w:rsidRDefault="00216D84" w:rsidP="00216D84"/>
    <w:p w14:paraId="1ADC6F1B" w14:textId="77777777" w:rsidR="00216D84" w:rsidRDefault="00216D84" w:rsidP="00216D84"/>
    <w:p w14:paraId="159F0ED7" w14:textId="77777777" w:rsidR="00216D84" w:rsidRDefault="00216D84" w:rsidP="00216D84"/>
    <w:p w14:paraId="12091225" w14:textId="77777777" w:rsidR="00216D84" w:rsidRDefault="00216D84" w:rsidP="00216D84"/>
    <w:p w14:paraId="0109C639" w14:textId="77777777" w:rsidR="00216D84" w:rsidRDefault="00216D84" w:rsidP="00216D84"/>
    <w:p w14:paraId="6F0635B2" w14:textId="77777777" w:rsidR="00216D84" w:rsidRDefault="00216D84" w:rsidP="00216D84"/>
    <w:p w14:paraId="5C46E852" w14:textId="15AD7C7A" w:rsidR="00216D84" w:rsidRDefault="008F5A5A" w:rsidP="00216D84">
      <w:r>
        <w:t xml:space="preserve">Antanas </w:t>
      </w:r>
      <w:proofErr w:type="spellStart"/>
      <w:r>
        <w:t>Berežanskis</w:t>
      </w:r>
      <w:proofErr w:type="spellEnd"/>
      <w:r w:rsidR="00216D84">
        <w:t xml:space="preserve"> </w:t>
      </w:r>
    </w:p>
    <w:p w14:paraId="274B8482" w14:textId="15B224F5" w:rsidR="00216D84" w:rsidRDefault="00216D84" w:rsidP="00216D84">
      <w:r>
        <w:t>201</w:t>
      </w:r>
      <w:r w:rsidR="00F76B22">
        <w:t>9</w:t>
      </w:r>
      <w:r>
        <w:t>-0</w:t>
      </w:r>
      <w:r w:rsidR="00F76B22">
        <w:t>6</w:t>
      </w:r>
      <w:r>
        <w:t>-</w:t>
      </w:r>
      <w:r w:rsidR="00F76B22">
        <w:t>0</w:t>
      </w:r>
      <w:r w:rsidR="006F2C04">
        <w:t>4</w:t>
      </w:r>
    </w:p>
    <w:p w14:paraId="1727263A" w14:textId="77777777" w:rsidR="00216D84" w:rsidRDefault="00216D84" w:rsidP="00216D84"/>
    <w:p w14:paraId="53F23EFC" w14:textId="77777777" w:rsidR="00216D84" w:rsidRDefault="00216D84" w:rsidP="00216D84"/>
    <w:p w14:paraId="0F672111" w14:textId="77777777" w:rsidR="00216D84" w:rsidRDefault="00216D84" w:rsidP="00216D84">
      <w:pPr>
        <w:pStyle w:val="Standard"/>
        <w:jc w:val="center"/>
        <w:rPr>
          <w:rFonts w:cs="Tahoma"/>
          <w:b/>
          <w:bCs/>
          <w:kern w:val="3"/>
          <w:lang w:eastAsia="ja-JP"/>
        </w:rPr>
      </w:pPr>
      <w:r>
        <w:rPr>
          <w:b/>
          <w:bCs/>
        </w:rPr>
        <w:t>PANEVĖŽIO RAJONO SAVIVALDYBĖS ADMINISTRACIJOS</w:t>
      </w:r>
    </w:p>
    <w:p w14:paraId="026C42A6" w14:textId="77777777" w:rsidR="00216D84" w:rsidRDefault="00216D84" w:rsidP="00216D84">
      <w:pPr>
        <w:pStyle w:val="Standard"/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0E4599FF" w14:textId="77777777" w:rsidR="00216D84" w:rsidRDefault="00216D84" w:rsidP="00216D84">
      <w:pPr>
        <w:pStyle w:val="Standard"/>
      </w:pPr>
    </w:p>
    <w:p w14:paraId="1F318E41" w14:textId="77777777" w:rsidR="00216D84" w:rsidRDefault="00216D84" w:rsidP="00216D84">
      <w:pPr>
        <w:pStyle w:val="Standard"/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</w:p>
    <w:p w14:paraId="4B2B0A16" w14:textId="77777777" w:rsidR="00216D84" w:rsidRDefault="00216D84" w:rsidP="00216D84">
      <w:pPr>
        <w:pStyle w:val="Standard"/>
      </w:pPr>
    </w:p>
    <w:p w14:paraId="4D2EC9DB" w14:textId="63BBDFFD" w:rsidR="00216D84" w:rsidRDefault="00216D84" w:rsidP="00216D84">
      <w:pPr>
        <w:jc w:val="center"/>
      </w:pPr>
      <w:r>
        <w:rPr>
          <w:b/>
          <w:bCs/>
        </w:rPr>
        <w:t>AIŠKINAMASIS RAŠTAS DĖL SPRENDIMO „</w:t>
      </w:r>
      <w:r>
        <w:rPr>
          <w:b/>
        </w:rPr>
        <w:t>DĖL PANEVĖŽIO RAJONO SAVIVALDYBĖS TARYBOS 201</w:t>
      </w:r>
      <w:r w:rsidR="00F76B22">
        <w:rPr>
          <w:b/>
        </w:rPr>
        <w:t>9</w:t>
      </w:r>
      <w:r>
        <w:rPr>
          <w:b/>
        </w:rPr>
        <w:t xml:space="preserve"> M. VASARIO  2</w:t>
      </w:r>
      <w:r w:rsidR="00F76B22">
        <w:rPr>
          <w:b/>
        </w:rPr>
        <w:t>0</w:t>
      </w:r>
      <w:r>
        <w:rPr>
          <w:b/>
        </w:rPr>
        <w:t xml:space="preserve"> D. SPRENDIMO NR. T-2</w:t>
      </w:r>
      <w:r w:rsidR="00F76B22">
        <w:rPr>
          <w:b/>
        </w:rPr>
        <w:t>5</w:t>
      </w:r>
      <w:r>
        <w:rPr>
          <w:b/>
        </w:rPr>
        <w:t xml:space="preserve"> „DĖL PANEVĖŽIO RAJONO SAVIVALDYBĖS 201</w:t>
      </w:r>
      <w:r w:rsidR="00F76B22">
        <w:rPr>
          <w:b/>
        </w:rPr>
        <w:t>9</w:t>
      </w:r>
      <w:r>
        <w:rPr>
          <w:b/>
        </w:rPr>
        <w:t xml:space="preserve"> M. MELIORACIJOS PRIORITETINIŲ DARBŲ PROGRAMOS PATVIRTINIMO</w:t>
      </w:r>
      <w:r w:rsidR="008F5A5A">
        <w:rPr>
          <w:b/>
        </w:rPr>
        <w:t>“</w:t>
      </w:r>
      <w:r>
        <w:rPr>
          <w:b/>
        </w:rPr>
        <w:t xml:space="preserve"> PAKEITIMO  PROJEKTO</w:t>
      </w:r>
    </w:p>
    <w:p w14:paraId="1702A490" w14:textId="77777777" w:rsidR="00216D84" w:rsidRDefault="00216D84" w:rsidP="00216D84">
      <w:pPr>
        <w:pStyle w:val="Standard"/>
        <w:jc w:val="center"/>
        <w:rPr>
          <w:b/>
        </w:rPr>
      </w:pPr>
    </w:p>
    <w:p w14:paraId="5B6FDF29" w14:textId="77777777" w:rsidR="00216D84" w:rsidRDefault="00216D84" w:rsidP="00216D84">
      <w:pPr>
        <w:pStyle w:val="Standard"/>
        <w:rPr>
          <w:b/>
          <w:bCs/>
        </w:rPr>
      </w:pPr>
    </w:p>
    <w:p w14:paraId="6DD1003C" w14:textId="6CB05E45" w:rsidR="00216D84" w:rsidRDefault="00216D84" w:rsidP="00216D84">
      <w:pPr>
        <w:pStyle w:val="Standard"/>
        <w:jc w:val="center"/>
      </w:pPr>
      <w:r>
        <w:t>201</w:t>
      </w:r>
      <w:r w:rsidR="00F76B22">
        <w:t>9</w:t>
      </w:r>
      <w:r>
        <w:t xml:space="preserve"> m. </w:t>
      </w:r>
      <w:r w:rsidR="00F76B22">
        <w:rPr>
          <w:lang w:val="lt-LT"/>
        </w:rPr>
        <w:t>birželio</w:t>
      </w:r>
      <w:r>
        <w:t xml:space="preserve"> </w:t>
      </w:r>
      <w:r w:rsidR="006F2C04">
        <w:rPr>
          <w:lang w:val="lt-LT"/>
        </w:rPr>
        <w:t>4</w:t>
      </w:r>
      <w:r>
        <w:t xml:space="preserve"> d.</w:t>
      </w:r>
    </w:p>
    <w:p w14:paraId="0602DD8F" w14:textId="77777777" w:rsidR="00216D84" w:rsidRDefault="00216D84" w:rsidP="00216D84">
      <w:pPr>
        <w:pStyle w:val="Standard"/>
        <w:jc w:val="center"/>
      </w:pPr>
      <w:r>
        <w:t>Panevėžys</w:t>
      </w:r>
    </w:p>
    <w:p w14:paraId="36FA6FD2" w14:textId="77777777" w:rsidR="00216D84" w:rsidRDefault="00216D84" w:rsidP="00216D84">
      <w:pPr>
        <w:pStyle w:val="Standard"/>
        <w:jc w:val="center"/>
      </w:pPr>
    </w:p>
    <w:p w14:paraId="40A09FF5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Projekto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rengimą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paskatinusios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priežastys</w:t>
      </w:r>
      <w:proofErr w:type="spellEnd"/>
      <w:r>
        <w:rPr>
          <w:b/>
          <w:bCs/>
        </w:rPr>
        <w:t>.</w:t>
      </w:r>
    </w:p>
    <w:p w14:paraId="6D255D95" w14:textId="2BD5B5C4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taryba</w:t>
      </w:r>
      <w:proofErr w:type="spellEnd"/>
      <w:r>
        <w:rPr>
          <w:bCs/>
        </w:rPr>
        <w:t xml:space="preserve"> 201</w:t>
      </w:r>
      <w:r w:rsidR="00F76B22">
        <w:rPr>
          <w:bCs/>
        </w:rPr>
        <w:t>9</w:t>
      </w:r>
      <w:r>
        <w:rPr>
          <w:bCs/>
        </w:rPr>
        <w:t xml:space="preserve"> m. </w:t>
      </w:r>
      <w:r>
        <w:rPr>
          <w:bCs/>
          <w:lang w:val="lt-LT"/>
        </w:rPr>
        <w:t>vasario</w:t>
      </w:r>
      <w:r>
        <w:rPr>
          <w:bCs/>
        </w:rPr>
        <w:t xml:space="preserve"> 2</w:t>
      </w:r>
      <w:r w:rsidR="00F76B22">
        <w:rPr>
          <w:bCs/>
          <w:lang w:val="lt-LT"/>
        </w:rPr>
        <w:t>0</w:t>
      </w:r>
      <w:r>
        <w:rPr>
          <w:bCs/>
        </w:rPr>
        <w:t xml:space="preserve"> d. </w:t>
      </w:r>
      <w:proofErr w:type="spellStart"/>
      <w:r>
        <w:rPr>
          <w:bCs/>
        </w:rPr>
        <w:t>sprendimu</w:t>
      </w:r>
      <w:proofErr w:type="spellEnd"/>
      <w:r>
        <w:rPr>
          <w:bCs/>
        </w:rPr>
        <w:t xml:space="preserve"> Nr. T-</w:t>
      </w:r>
      <w:r>
        <w:rPr>
          <w:bCs/>
          <w:lang w:val="lt-LT"/>
        </w:rPr>
        <w:t>2</w:t>
      </w:r>
      <w:r w:rsidR="00F76B22">
        <w:rPr>
          <w:bCs/>
          <w:lang w:val="lt-LT"/>
        </w:rPr>
        <w:t>5</w:t>
      </w:r>
      <w:r>
        <w:rPr>
          <w:bCs/>
        </w:rPr>
        <w:t xml:space="preserve"> </w:t>
      </w:r>
      <w:r>
        <w:rPr>
          <w:bCs/>
          <w:lang w:val="lt-LT"/>
        </w:rPr>
        <w:t>„Dėl Panevėžio rajono savivaldybės 201</w:t>
      </w:r>
      <w:r w:rsidR="00F76B22">
        <w:rPr>
          <w:bCs/>
          <w:lang w:val="lt-LT"/>
        </w:rPr>
        <w:t>9</w:t>
      </w:r>
      <w:r>
        <w:rPr>
          <w:bCs/>
          <w:lang w:val="lt-LT"/>
        </w:rPr>
        <w:t xml:space="preserve"> m. melioracijos prioritetinių darbų programos patvirtinimo“ </w:t>
      </w:r>
      <w:r>
        <w:rPr>
          <w:bCs/>
        </w:rPr>
        <w:t xml:space="preserve">  </w:t>
      </w:r>
      <w:proofErr w:type="spellStart"/>
      <w:proofErr w:type="gramStart"/>
      <w:r>
        <w:rPr>
          <w:bCs/>
        </w:rPr>
        <w:t>patvirtino</w:t>
      </w:r>
      <w:proofErr w:type="spellEnd"/>
      <w:r>
        <w:rPr>
          <w:bCs/>
        </w:rPr>
        <w:t xml:space="preserve"> </w:t>
      </w:r>
      <w:r>
        <w:rPr>
          <w:bCs/>
          <w:lang w:val="lt-LT"/>
        </w:rPr>
        <w:t xml:space="preserve"> </w:t>
      </w:r>
      <w:r>
        <w:rPr>
          <w:bCs/>
        </w:rPr>
        <w:t>201</w:t>
      </w:r>
      <w:r w:rsidR="00F76B22">
        <w:rPr>
          <w:bCs/>
        </w:rPr>
        <w:t>9</w:t>
      </w:r>
      <w:proofErr w:type="gramEnd"/>
      <w:r>
        <w:rPr>
          <w:bCs/>
        </w:rPr>
        <w:t xml:space="preserve"> m. </w:t>
      </w:r>
      <w:proofErr w:type="spellStart"/>
      <w:r>
        <w:rPr>
          <w:bCs/>
        </w:rPr>
        <w:t>melioracijos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prioritetinių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darbų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programą</w:t>
      </w:r>
      <w:proofErr w:type="spellEnd"/>
      <w:r>
        <w:rPr>
          <w:bCs/>
        </w:rPr>
        <w:t>.</w:t>
      </w:r>
      <w:r>
        <w:rPr>
          <w:bCs/>
          <w:color w:val="000000"/>
          <w:lang w:eastAsia="lt-LT"/>
        </w:rPr>
        <w:t xml:space="preserve"> </w:t>
      </w:r>
      <w:r>
        <w:rPr>
          <w:bCs/>
          <w:color w:val="000000"/>
          <w:lang w:val="lt-LT" w:eastAsia="lt-LT"/>
        </w:rPr>
        <w:t>Atlikus viešuosius numatytų darbų, paslaugų pirkimus, paaiškėjo lėšų, reikalingų apmokėti už atliktus darbus</w:t>
      </w:r>
      <w:r w:rsidR="008F5A5A">
        <w:rPr>
          <w:bCs/>
          <w:color w:val="000000"/>
          <w:lang w:val="lt-LT" w:eastAsia="lt-LT"/>
        </w:rPr>
        <w:t>,</w:t>
      </w:r>
      <w:r>
        <w:rPr>
          <w:bCs/>
          <w:color w:val="000000"/>
          <w:lang w:val="lt-LT" w:eastAsia="lt-LT"/>
        </w:rPr>
        <w:t xml:space="preserve"> dydis, todėl būtina keisti melioracijos darbų programą.</w:t>
      </w:r>
    </w:p>
    <w:p w14:paraId="4D840654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Projekto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rengimo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esmė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tikslai</w:t>
      </w:r>
      <w:proofErr w:type="spellEnd"/>
      <w:r>
        <w:rPr>
          <w:b/>
          <w:bCs/>
        </w:rPr>
        <w:t>.</w:t>
      </w:r>
    </w:p>
    <w:p w14:paraId="5CF39F41" w14:textId="74D39BE3" w:rsidR="00216D84" w:rsidRDefault="00216D84" w:rsidP="00216D84">
      <w:pPr>
        <w:pStyle w:val="Standard"/>
        <w:jc w:val="both"/>
      </w:pPr>
      <w:r>
        <w:tab/>
      </w:r>
      <w:proofErr w:type="spellStart"/>
      <w:r>
        <w:t>Projekto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 –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patikslintą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finansuojamų</w:t>
      </w:r>
      <w:proofErr w:type="spellEnd"/>
      <w:r w:rsidR="008F5A5A">
        <w:t xml:space="preserve"> 2019 m.</w:t>
      </w:r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prioritetinių</w:t>
      </w:r>
      <w:proofErr w:type="spellEnd"/>
      <w:r>
        <w:t xml:space="preserve"> </w:t>
      </w:r>
      <w:proofErr w:type="spellStart"/>
      <w:proofErr w:type="gramStart"/>
      <w:r>
        <w:t>darbų</w:t>
      </w:r>
      <w:proofErr w:type="spellEnd"/>
      <w:r>
        <w:t xml:space="preserve">  </w:t>
      </w:r>
      <w:proofErr w:type="spellStart"/>
      <w:r>
        <w:t>programą</w:t>
      </w:r>
      <w:proofErr w:type="spellEnd"/>
      <w:proofErr w:type="gramEnd"/>
      <w:r>
        <w:t>.</w:t>
      </w:r>
    </w:p>
    <w:p w14:paraId="0931592F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pozityvių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rezultatų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laukiama</w:t>
      </w:r>
      <w:proofErr w:type="spellEnd"/>
      <w:r>
        <w:rPr>
          <w:b/>
          <w:bCs/>
        </w:rPr>
        <w:t>.</w:t>
      </w:r>
    </w:p>
    <w:p w14:paraId="45370803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t>Atlikus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bus</w:t>
      </w:r>
      <w:proofErr w:type="spellEnd"/>
      <w:r>
        <w:t xml:space="preserve">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savininkų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naudotojų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esančių</w:t>
      </w:r>
      <w:proofErr w:type="spellEnd"/>
      <w:r>
        <w:t xml:space="preserve"> </w:t>
      </w:r>
      <w:proofErr w:type="spellStart"/>
      <w:r>
        <w:t>valstybei</w:t>
      </w:r>
      <w:proofErr w:type="spellEnd"/>
      <w: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priklausančių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tinkamas</w:t>
      </w:r>
      <w:proofErr w:type="spellEnd"/>
      <w:r>
        <w:t xml:space="preserve"> </w:t>
      </w:r>
      <w:proofErr w:type="spellStart"/>
      <w:r>
        <w:t>veikimas</w:t>
      </w:r>
      <w:proofErr w:type="spellEnd"/>
      <w:r>
        <w:t>.</w:t>
      </w:r>
    </w:p>
    <w:p w14:paraId="6B3B2DCF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Galimos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neigiamos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priemonių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reikėtų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imtis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tokių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pasekmių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išvengta</w:t>
      </w:r>
      <w:proofErr w:type="spellEnd"/>
      <w:r>
        <w:rPr>
          <w:b/>
          <w:bCs/>
        </w:rPr>
        <w:t>.</w:t>
      </w:r>
    </w:p>
    <w:p w14:paraId="58594C6B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t>Neigiamų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nenumatoma</w:t>
      </w:r>
      <w:proofErr w:type="spellEnd"/>
      <w:r>
        <w:t>.</w:t>
      </w:r>
    </w:p>
    <w:p w14:paraId="74D58633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Kokius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galiojančius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būtina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pakeisti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panaikinti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priėmus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teikiamą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projektą</w:t>
      </w:r>
      <w:proofErr w:type="spellEnd"/>
      <w:r>
        <w:rPr>
          <w:b/>
          <w:bCs/>
        </w:rPr>
        <w:t>.</w:t>
      </w:r>
    </w:p>
    <w:p w14:paraId="3E8A50DB" w14:textId="77777777" w:rsidR="00216D84" w:rsidRDefault="00216D84" w:rsidP="00216D84">
      <w:pPr>
        <w:pStyle w:val="Standard"/>
        <w:jc w:val="both"/>
      </w:pPr>
      <w:r>
        <w:rPr>
          <w:b/>
          <w:bCs/>
        </w:rPr>
        <w:tab/>
      </w:r>
      <w:proofErr w:type="spellStart"/>
      <w:r>
        <w:t>Galiojančių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panaikinti</w:t>
      </w:r>
      <w:proofErr w:type="spellEnd"/>
      <w:r>
        <w:t xml:space="preserve"> </w:t>
      </w:r>
      <w:proofErr w:type="spellStart"/>
      <w:r>
        <w:t>nereikia</w:t>
      </w:r>
      <w:proofErr w:type="spellEnd"/>
      <w:r>
        <w:t>.</w:t>
      </w:r>
    </w:p>
    <w:p w14:paraId="5B4CC4FD" w14:textId="77777777" w:rsidR="00216D84" w:rsidRDefault="00216D84" w:rsidP="00216D84">
      <w:pPr>
        <w:pStyle w:val="Standard"/>
        <w:jc w:val="both"/>
      </w:pPr>
      <w:r>
        <w:tab/>
      </w:r>
      <w:proofErr w:type="spellStart"/>
      <w:r>
        <w:rPr>
          <w:b/>
          <w:bCs/>
        </w:rPr>
        <w:t>Reikiami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paskaičiavimai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išlaidų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sąmatos</w:t>
      </w:r>
      <w:proofErr w:type="spellEnd"/>
      <w:r>
        <w:rPr>
          <w:b/>
          <w:bCs/>
        </w:rPr>
        <w:t xml:space="preserve"> bei </w:t>
      </w:r>
      <w:proofErr w:type="spellStart"/>
      <w:r>
        <w:rPr>
          <w:b/>
          <w:bCs/>
        </w:rPr>
        <w:t>finansavimo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šaltiniai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reikalingi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sprendimui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įgyvendin</w:t>
      </w:r>
      <w:r>
        <w:t>ti</w:t>
      </w:r>
      <w:proofErr w:type="spellEnd"/>
      <w:r>
        <w:t>.</w:t>
      </w:r>
    </w:p>
    <w:p w14:paraId="2B2DF92D" w14:textId="17FECAAF" w:rsidR="00216D84" w:rsidRDefault="00216D84" w:rsidP="00216D84">
      <w:pPr>
        <w:pStyle w:val="Standard"/>
        <w:jc w:val="both"/>
      </w:pPr>
      <w:r>
        <w:tab/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šaltiniai</w:t>
      </w:r>
      <w:proofErr w:type="spellEnd"/>
      <w:r>
        <w:t xml:space="preserve"> –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, </w:t>
      </w:r>
      <w:proofErr w:type="spellStart"/>
      <w:r>
        <w:t>skirtos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funkcijai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paskirta</w:t>
      </w:r>
      <w:proofErr w:type="spellEnd"/>
      <w:r>
        <w:t xml:space="preserve"> 45</w:t>
      </w:r>
      <w:r w:rsidR="00F76B22">
        <w:t>0</w:t>
      </w:r>
      <w:r>
        <w:t xml:space="preserve"> 000 </w:t>
      </w:r>
      <w:proofErr w:type="spellStart"/>
      <w:r>
        <w:t>eurų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.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melioracijos</w:t>
      </w:r>
      <w:proofErr w:type="spellEnd"/>
      <w:r>
        <w:t xml:space="preserve"> </w:t>
      </w:r>
      <w:proofErr w:type="spellStart"/>
      <w:r>
        <w:t>griovių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hidrotechnikos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skersmens</w:t>
      </w:r>
      <w:proofErr w:type="spellEnd"/>
      <w:r>
        <w:t xml:space="preserve"> </w:t>
      </w:r>
      <w:proofErr w:type="spellStart"/>
      <w:r>
        <w:t>drenažo</w:t>
      </w:r>
      <w:proofErr w:type="spellEnd"/>
      <w:r>
        <w:t xml:space="preserve"> </w:t>
      </w:r>
      <w:proofErr w:type="spellStart"/>
      <w:r>
        <w:t>rinktuvų</w:t>
      </w:r>
      <w:proofErr w:type="spellEnd"/>
      <w:r>
        <w:t xml:space="preserve"> </w:t>
      </w:r>
      <w:proofErr w:type="spellStart"/>
      <w:r>
        <w:t>avariniams</w:t>
      </w:r>
      <w:proofErr w:type="spellEnd"/>
      <w:r>
        <w:t xml:space="preserve"> </w:t>
      </w:r>
      <w:proofErr w:type="spellStart"/>
      <w:r>
        <w:t>gedimams</w:t>
      </w:r>
      <w:proofErr w:type="spellEnd"/>
      <w:r>
        <w:t xml:space="preserve"> </w:t>
      </w:r>
      <w:proofErr w:type="spellStart"/>
      <w:r>
        <w:t>šalinti</w:t>
      </w:r>
      <w:proofErr w:type="spellEnd"/>
      <w:r>
        <w:t>.</w:t>
      </w:r>
    </w:p>
    <w:p w14:paraId="1DBCEFF8" w14:textId="350F466F" w:rsidR="00216D84" w:rsidRPr="0035233F" w:rsidRDefault="0035233F" w:rsidP="00216D84">
      <w:pPr>
        <w:pStyle w:val="Standard"/>
        <w:jc w:val="both"/>
        <w:rPr>
          <w:b/>
          <w:bCs/>
        </w:rPr>
      </w:pPr>
      <w:r>
        <w:tab/>
      </w:r>
    </w:p>
    <w:p w14:paraId="744EAE8B" w14:textId="77777777" w:rsidR="00216D84" w:rsidRDefault="00216D84" w:rsidP="00216D84">
      <w:pPr>
        <w:pStyle w:val="Standard"/>
        <w:suppressAutoHyphens w:val="0"/>
        <w:spacing w:after="120" w:line="360" w:lineRule="auto"/>
        <w:jc w:val="both"/>
        <w:rPr>
          <w:shd w:val="clear" w:color="auto" w:fill="FFFF00"/>
          <w:lang w:val="lt-LT" w:eastAsia="lt-LT"/>
        </w:rPr>
      </w:pPr>
    </w:p>
    <w:p w14:paraId="2EB6A83F" w14:textId="18992BC9" w:rsidR="00A721E9" w:rsidRDefault="00216D84" w:rsidP="00A721E9">
      <w:pPr>
        <w:pStyle w:val="Standard"/>
        <w:rPr>
          <w:lang w:eastAsia="ja-JP"/>
        </w:rPr>
      </w:pPr>
      <w:proofErr w:type="spellStart"/>
      <w:r>
        <w:t>Vyr</w:t>
      </w:r>
      <w:proofErr w:type="spellEnd"/>
      <w:r>
        <w:t xml:space="preserve">. </w:t>
      </w:r>
      <w:proofErr w:type="spellStart"/>
      <w:r>
        <w:t>specialistas</w:t>
      </w:r>
      <w:proofErr w:type="spellEnd"/>
      <w:r>
        <w:tab/>
      </w:r>
      <w:r>
        <w:tab/>
      </w:r>
      <w:r w:rsidR="0035233F">
        <w:t xml:space="preserve">                                    Antanas </w:t>
      </w:r>
      <w:proofErr w:type="spellStart"/>
      <w:r w:rsidR="0035233F">
        <w:t>Berežanskis</w:t>
      </w:r>
      <w:proofErr w:type="spellEnd"/>
      <w:r>
        <w:tab/>
      </w:r>
      <w:r>
        <w:tab/>
        <w:t xml:space="preserve">                                                   </w:t>
      </w:r>
    </w:p>
    <w:p w14:paraId="61C3AFC8" w14:textId="2B3B77DB" w:rsidR="00CE4EA8" w:rsidRDefault="00CE4EA8"/>
    <w:p w14:paraId="2371CB20" w14:textId="47317132" w:rsidR="00CE4EA8" w:rsidRDefault="00CE4EA8"/>
    <w:p w14:paraId="4ED06753" w14:textId="2C18C507" w:rsidR="00A721E9" w:rsidRDefault="00A721E9"/>
    <w:p w14:paraId="4D4B6A45" w14:textId="77777777" w:rsidR="00A721E9" w:rsidRDefault="00A721E9">
      <w:bookmarkStart w:id="0" w:name="_GoBack"/>
      <w:bookmarkEnd w:id="0"/>
    </w:p>
    <w:p w14:paraId="01B00600" w14:textId="77777777" w:rsidR="00CE4EA8" w:rsidRDefault="00CE4EA8" w:rsidP="00CE4EA8">
      <w:pPr>
        <w:pStyle w:val="Standard"/>
        <w:autoSpaceDE w:val="0"/>
        <w:ind w:left="5184"/>
      </w:pPr>
      <w:r>
        <w:lastRenderedPageBreak/>
        <w:t xml:space="preserve">              PATVIRTINTA</w:t>
      </w:r>
    </w:p>
    <w:p w14:paraId="58E2EDFD" w14:textId="77777777" w:rsidR="00CE4EA8" w:rsidRDefault="00CE4EA8" w:rsidP="00CE4EA8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</w:p>
    <w:p w14:paraId="14D0E166" w14:textId="77777777" w:rsidR="00CE4EA8" w:rsidRDefault="00CE4EA8" w:rsidP="00CE4EA8">
      <w:pPr>
        <w:pStyle w:val="Standard"/>
        <w:autoSpaceDE w:val="0"/>
        <w:ind w:left="5184"/>
      </w:pPr>
      <w:r>
        <w:t xml:space="preserve">              </w:t>
      </w:r>
      <w:proofErr w:type="spellStart"/>
      <w:r>
        <w:t>tarybos</w:t>
      </w:r>
      <w:proofErr w:type="spellEnd"/>
    </w:p>
    <w:p w14:paraId="2C63D268" w14:textId="28B3A009" w:rsidR="00CE4EA8" w:rsidRDefault="00CE4EA8" w:rsidP="00CE4EA8">
      <w:pPr>
        <w:pStyle w:val="Standard"/>
        <w:autoSpaceDE w:val="0"/>
      </w:pPr>
      <w:r>
        <w:t xml:space="preserve">                                                                                                    2019 m. </w:t>
      </w:r>
      <w:r>
        <w:rPr>
          <w:lang w:val="lt-LT"/>
        </w:rPr>
        <w:t>vasario</w:t>
      </w:r>
      <w:r>
        <w:t xml:space="preserve"> 20 d. </w:t>
      </w:r>
      <w:proofErr w:type="spellStart"/>
      <w:r>
        <w:t>sprendimu</w:t>
      </w:r>
      <w:proofErr w:type="spellEnd"/>
    </w:p>
    <w:p w14:paraId="0C8BBD25" w14:textId="78DDD9EA" w:rsidR="00CE4EA8" w:rsidRDefault="00CE4EA8" w:rsidP="00CE4EA8">
      <w:pPr>
        <w:pStyle w:val="Standard"/>
        <w:autoSpaceDE w:val="0"/>
      </w:pPr>
      <w:r>
        <w:t xml:space="preserve">                                                                                                     Nr. T-25</w:t>
      </w:r>
    </w:p>
    <w:p w14:paraId="67E3F45A" w14:textId="77777777" w:rsidR="00CE4EA8" w:rsidRDefault="00CE4EA8" w:rsidP="00CE4EA8">
      <w:pPr>
        <w:pStyle w:val="Standard"/>
        <w:autoSpaceDE w:val="0"/>
        <w:ind w:left="5970"/>
      </w:pPr>
      <w:r>
        <w:t>(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2F221E94" w14:textId="75103A7D" w:rsidR="00CE4EA8" w:rsidRDefault="00CE4EA8" w:rsidP="00CE4EA8">
      <w:pPr>
        <w:pStyle w:val="Standard"/>
        <w:autoSpaceDE w:val="0"/>
        <w:ind w:left="5970"/>
      </w:pPr>
      <w:r>
        <w:t xml:space="preserve">2019 m. </w:t>
      </w:r>
      <w:proofErr w:type="spellStart"/>
      <w:r>
        <w:t>birželio</w:t>
      </w:r>
      <w:proofErr w:type="spellEnd"/>
      <w:r>
        <w:t xml:space="preserve"> 20</w:t>
      </w:r>
      <w:r w:rsidR="008F5A5A">
        <w:t xml:space="preserve"> </w:t>
      </w:r>
      <w:r>
        <w:t xml:space="preserve">d. </w:t>
      </w:r>
      <w:proofErr w:type="spellStart"/>
      <w:r>
        <w:t>sprendimo</w:t>
      </w:r>
      <w:proofErr w:type="spellEnd"/>
      <w:r>
        <w:t xml:space="preserve"> </w:t>
      </w:r>
      <w:r w:rsidR="00CE2F1F">
        <w:t xml:space="preserve">   </w:t>
      </w:r>
      <w:r>
        <w:t xml:space="preserve">Nr. T-        </w:t>
      </w:r>
      <w:proofErr w:type="spellStart"/>
      <w:r>
        <w:t>redakcija</w:t>
      </w:r>
      <w:proofErr w:type="spellEnd"/>
      <w:r>
        <w:t>)</w:t>
      </w:r>
    </w:p>
    <w:p w14:paraId="71584DB8" w14:textId="77777777" w:rsidR="00CE4EA8" w:rsidRDefault="00CE4EA8" w:rsidP="00CE4EA8">
      <w:pPr>
        <w:autoSpaceDE w:val="0"/>
        <w:rPr>
          <w:rFonts w:eastAsia="Andale Sans UI" w:cs="Times New Roman"/>
          <w:lang w:val="de-DE" w:eastAsia="fa-IR" w:bidi="fa-IR"/>
        </w:rPr>
      </w:pPr>
      <w:r>
        <w:rPr>
          <w:rFonts w:eastAsia="Andale Sans UI" w:cs="Times New Roman"/>
          <w:lang w:val="de-DE" w:eastAsia="fa-IR" w:bidi="fa-IR"/>
        </w:rPr>
        <w:t xml:space="preserve">                                                                                                 </w:t>
      </w:r>
    </w:p>
    <w:p w14:paraId="63AA7378" w14:textId="77777777" w:rsidR="00CE4EA8" w:rsidRDefault="00CE4EA8" w:rsidP="00CE4EA8">
      <w:pPr>
        <w:autoSpaceDE w:val="0"/>
        <w:rPr>
          <w:rFonts w:eastAsia="Andale Sans UI" w:cs="Tahoma"/>
          <w:b/>
          <w:bCs/>
          <w:lang w:val="de-DE" w:eastAsia="fa-IR" w:bidi="fa-IR"/>
        </w:rPr>
      </w:pPr>
    </w:p>
    <w:p w14:paraId="1D1CA487" w14:textId="77777777" w:rsidR="00CE4EA8" w:rsidRDefault="00CE4EA8" w:rsidP="00CE4EA8">
      <w:pPr>
        <w:autoSpaceDE w:val="0"/>
        <w:jc w:val="center"/>
        <w:rPr>
          <w:rFonts w:eastAsia="Andale Sans UI" w:cs="Tahoma"/>
          <w:b/>
          <w:bCs/>
          <w:lang w:val="de-DE" w:eastAsia="fa-IR" w:bidi="fa-IR"/>
        </w:rPr>
      </w:pPr>
    </w:p>
    <w:p w14:paraId="6EE09207" w14:textId="77777777" w:rsidR="00CE4EA8" w:rsidRDefault="00CE4EA8" w:rsidP="00CE4EA8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PANEVĖŽIO RAJONO SAVIVALDYBĖS 2019 METŲ</w:t>
      </w:r>
    </w:p>
    <w:p w14:paraId="384EFF38" w14:textId="77777777" w:rsidR="00CE4EA8" w:rsidRDefault="00CE4EA8" w:rsidP="00CE4EA8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MELIORACIJOS PRIORITETINIŲ DARBŲ</w:t>
      </w:r>
    </w:p>
    <w:p w14:paraId="49A1D7BE" w14:textId="77777777" w:rsidR="00CE4EA8" w:rsidRDefault="00CE4EA8" w:rsidP="00CE4EA8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PROGRAMA</w:t>
      </w:r>
    </w:p>
    <w:p w14:paraId="60DE6A0A" w14:textId="77777777" w:rsidR="00CE4EA8" w:rsidRDefault="00CE4EA8" w:rsidP="00CE4EA8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8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9"/>
        <w:gridCol w:w="6096"/>
        <w:gridCol w:w="820"/>
        <w:gridCol w:w="1134"/>
        <w:gridCol w:w="1276"/>
      </w:tblGrid>
      <w:tr w:rsidR="00CE4EA8" w14:paraId="73C474D7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96EF8D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0DFF8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pavadinimas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4D0E9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Mato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5036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CF823F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vertė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Eur</w:t>
            </w:r>
            <w:proofErr w:type="spellEnd"/>
          </w:p>
        </w:tc>
      </w:tr>
      <w:tr w:rsidR="00CE4EA8" w14:paraId="728FC37A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C340A9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94643E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677FE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C5FA1A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18A57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</w:t>
            </w:r>
          </w:p>
        </w:tc>
      </w:tr>
      <w:tr w:rsidR="00CE4EA8" w14:paraId="7DFB3204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20F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3BC70C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D6BF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50DA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A0918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450 000,00</w:t>
            </w:r>
          </w:p>
        </w:tc>
      </w:tr>
      <w:tr w:rsidR="00CE4EA8" w14:paraId="0CC0890A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C528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A533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priežiūra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65978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2FBD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3C671" w14:textId="63A8550C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41</w:t>
            </w:r>
            <w:r w:rsidR="00494C02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7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="00494C02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360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,</w:t>
            </w:r>
            <w:r w:rsidR="00494C02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18</w:t>
            </w:r>
          </w:p>
        </w:tc>
      </w:tr>
      <w:tr w:rsidR="00CE4EA8" w14:paraId="00BCCD8C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55E9A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154CD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Paįstrio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Preibių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Kriaučiūnų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31F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93C7D0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4C357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7616C5F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5,72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DA66F8" w14:textId="77777777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2B6252B" w14:textId="4AE199E9" w:rsidR="00CE4EA8" w:rsidRDefault="00DB0737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44 956,34</w:t>
            </w:r>
          </w:p>
        </w:tc>
      </w:tr>
      <w:tr w:rsidR="00CE4EA8" w14:paraId="58E7EB1D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62F0D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E7F298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Dudonių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Kučių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939A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CF54160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F63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FC6621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7,14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5BCF8D" w14:textId="77777777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8ADA6E2" w14:textId="14AD2471" w:rsidR="00CE4EA8" w:rsidRDefault="00DB0737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58 075,35</w:t>
            </w:r>
          </w:p>
        </w:tc>
      </w:tr>
      <w:tr w:rsidR="00CE4EA8" w14:paraId="55E30AC1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33AE85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B0F3D" w14:textId="07DA5566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Karsakiškio</w:t>
            </w:r>
            <w:proofErr w:type="spellEnd"/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</w:t>
            </w: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Pinigėlių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Vynupės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78B7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9D7F15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0C52E0B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955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6A8A098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E25CD9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4,96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C3887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E2FAF5B" w14:textId="77777777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6214864" w14:textId="4A363F85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  <w:r w:rsidR="00DB07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0 135,70</w:t>
            </w:r>
          </w:p>
        </w:tc>
      </w:tr>
      <w:tr w:rsidR="00CE4EA8" w14:paraId="5ED763D1" w14:textId="77777777" w:rsidTr="00CE4EA8">
        <w:trPr>
          <w:trHeight w:val="584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20739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FE5945" w14:textId="138DE825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sen.,</w:t>
            </w:r>
            <w:r w:rsidR="002569F4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</w:t>
            </w: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Barinės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36C83" w14:textId="77777777" w:rsidR="00CE4EA8" w:rsidRDefault="00CE4EA8">
            <w:pPr>
              <w:autoSpaceDE w:val="0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F5689CC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3764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51E6E0D4" w14:textId="77777777" w:rsidR="00CE4EA8" w:rsidRDefault="00CE4EA8">
            <w:pPr>
              <w:autoSpaceDE w:val="0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     4,18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F544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7A0CF9C8" w14:textId="6271E935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3</w:t>
            </w:r>
            <w:r w:rsidR="00DB073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2 912,00</w:t>
            </w:r>
          </w:p>
        </w:tc>
      </w:tr>
      <w:tr w:rsidR="00CE4EA8" w14:paraId="3823DFCC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1D340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60AD21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 sen.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Stebeikių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Žižmių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EAF9F" w14:textId="77777777" w:rsidR="00CE4EA8" w:rsidRDefault="00CE4EA8">
            <w:pPr>
              <w:autoSpaceDE w:val="0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1004181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0B9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6F530F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DDA128" w14:textId="77777777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776350E9" w14:textId="2666E7F6" w:rsidR="00CE4EA8" w:rsidRDefault="00DB0737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90 387,00</w:t>
            </w:r>
          </w:p>
        </w:tc>
      </w:tr>
      <w:tr w:rsidR="00CE4EA8" w14:paraId="738FA339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56D45" w14:textId="143F5990" w:rsidR="00CE4EA8" w:rsidRDefault="00285A6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DE793" w14:textId="34500AAB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rajono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sen.,</w:t>
            </w: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4A3284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</w:t>
            </w:r>
            <w:proofErr w:type="spellEnd"/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</w:t>
            </w:r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 w:rsidR="004A3284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</w:t>
            </w:r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  <w:r w:rsidR="004A3284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Pažv</w:t>
            </w:r>
            <w:r w:rsidR="002569F4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ė</w:t>
            </w:r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</w:t>
            </w:r>
            <w:r w:rsidR="008F5A5A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</w:t>
            </w:r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ešečių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="008D663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7BBB" w14:textId="77777777" w:rsidR="00CE4EA8" w:rsidRDefault="00CE4EA8" w:rsidP="008D6637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7A000941" w14:textId="77777777" w:rsidR="008D6637" w:rsidRDefault="008D6637" w:rsidP="008D6637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5A9E7BD" w14:textId="56ADC5C3" w:rsidR="008D6637" w:rsidRDefault="008D6637" w:rsidP="008D6637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5928C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05D80B89" w14:textId="77777777" w:rsidR="009D2EEC" w:rsidRDefault="009D2EEC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22C28BC" w14:textId="0981E3C4" w:rsidR="009D2EEC" w:rsidRDefault="009D2EEC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C386B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283B0577" w14:textId="77777777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14:paraId="33237D6E" w14:textId="63817343" w:rsidR="005F4895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64 2</w:t>
            </w:r>
            <w:r w:rsidR="00494C02">
              <w:rPr>
                <w:rFonts w:eastAsia="Times New Roman" w:cs="Times New Roman"/>
                <w:sz w:val="20"/>
                <w:szCs w:val="20"/>
                <w:lang w:eastAsia="fa-IR" w:bidi="fa-IR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3,79</w:t>
            </w:r>
          </w:p>
        </w:tc>
      </w:tr>
      <w:tr w:rsidR="00CE4EA8" w14:paraId="4F7A1C9B" w14:textId="77777777" w:rsidTr="00CE4EA8">
        <w:trPr>
          <w:trHeight w:val="34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D7757" w14:textId="1ED72057" w:rsidR="00CE4EA8" w:rsidRDefault="00285A6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  <w:r w:rsidR="00CE4EA8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E82377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avarinis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646C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D0A550E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DE169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26D657E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5F46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FE2EBBA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70 000,00</w:t>
            </w:r>
          </w:p>
        </w:tc>
      </w:tr>
      <w:tr w:rsidR="00CE4EA8" w14:paraId="0F9252A6" w14:textId="77777777" w:rsidTr="00CE4EA8">
        <w:trPr>
          <w:trHeight w:val="49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A83E94" w14:textId="3335AFCE" w:rsidR="00CE4EA8" w:rsidRDefault="00285A6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</w:t>
            </w:r>
            <w:r w:rsidR="00CE4EA8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756631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12,5 cm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skersmens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didesnių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drenažo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rinktuvų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gyvenvietėse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490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2FA3981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4CF9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69ABC32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68B6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763FFB23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16 600,00</w:t>
            </w:r>
          </w:p>
        </w:tc>
      </w:tr>
      <w:tr w:rsidR="00CE4EA8" w14:paraId="2FF978EA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95130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2CA90D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sistemų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hidrotechninių</w:t>
            </w:r>
            <w:proofErr w:type="spellEnd"/>
          </w:p>
          <w:p w14:paraId="645E596C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6E4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B4A4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C92D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  <w:p w14:paraId="3AB795C5" w14:textId="5DA91038" w:rsidR="00CE4EA8" w:rsidRDefault="00CE4EA8">
            <w:pPr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13 </w:t>
            </w:r>
            <w:r w:rsidR="00494C02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56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CE4EA8" w14:paraId="157202F6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07464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9DC976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Vandens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kėlimo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siurblinių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Skaistgirių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Bernatonių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46A95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DBDAB5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6212A4" w14:textId="35DDC858" w:rsidR="00CE4EA8" w:rsidRDefault="00CE4EA8">
            <w:pPr>
              <w:autoSpaceDE w:val="0"/>
              <w:jc w:val="both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</w:t>
            </w:r>
            <w:r w:rsidR="00494C02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</w:t>
            </w: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0,00</w:t>
            </w:r>
          </w:p>
        </w:tc>
      </w:tr>
      <w:tr w:rsidR="00CE4EA8" w14:paraId="360DB97B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E841A0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2A820C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elektros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energiją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BE7E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CE8E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CED6A8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CE4EA8" w14:paraId="0AA95A8D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918457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8EE395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Stepanionių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Žibartonių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Švaininkų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BDAD2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A7E1A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8941AC" w14:textId="78C19466" w:rsidR="00CE4EA8" w:rsidRDefault="00CE4EA8">
            <w:pPr>
              <w:autoSpaceDE w:val="0"/>
              <w:jc w:val="both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3</w:t>
            </w:r>
            <w:r w:rsidR="005F4895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 </w:t>
            </w: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1</w:t>
            </w:r>
            <w:r w:rsidR="00DB073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1</w:t>
            </w:r>
            <w:r w:rsidR="005F4895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0,00</w:t>
            </w:r>
            <w:r w:rsidR="00DB073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 xml:space="preserve">                                         </w:t>
            </w:r>
          </w:p>
        </w:tc>
      </w:tr>
      <w:tr w:rsidR="00CE4EA8" w14:paraId="024F7480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7877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12B46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DF3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2E93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E773BA" w14:textId="094C31E7" w:rsidR="00CE4EA8" w:rsidRDefault="005F4895">
            <w:pPr>
              <w:autoSpaceDE w:val="0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19 079,82</w:t>
            </w:r>
          </w:p>
        </w:tc>
      </w:tr>
      <w:tr w:rsidR="00CE4EA8" w14:paraId="6319B857" w14:textId="77777777" w:rsidTr="00CE4EA8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350261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A91FB4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kadastro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sudarymas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320C6A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13180B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E6086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CE4EA8" w14:paraId="701ED19A" w14:textId="77777777" w:rsidTr="00CE4EA8">
        <w:trPr>
          <w:trHeight w:val="496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C1BC44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6074A9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M1:2000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planinės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medžiagos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vektorizavimas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atributinių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duomenų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rinkinio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pagal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Mel GIS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specifikaciją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7042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4BA746ED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  <w:p w14:paraId="6B58DFB7" w14:textId="77777777" w:rsidR="00CE4EA8" w:rsidRDefault="00CE4EA8">
            <w:pPr>
              <w:autoSpaceDE w:val="0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65B8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DCA0F99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33 237,4</w:t>
            </w:r>
          </w:p>
          <w:p w14:paraId="0BC52C90" w14:textId="77777777" w:rsidR="00CE4EA8" w:rsidRDefault="00CE4EA8">
            <w:pPr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4AD5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14:paraId="3182A1E6" w14:textId="472ABD25" w:rsidR="00CE4EA8" w:rsidRDefault="005F4895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14 449,82</w:t>
            </w:r>
          </w:p>
          <w:p w14:paraId="7B89CA32" w14:textId="77777777" w:rsidR="00CE4EA8" w:rsidRDefault="00CE4EA8">
            <w:pPr>
              <w:autoSpaceDE w:val="0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</w:tr>
    </w:tbl>
    <w:p w14:paraId="695C0172" w14:textId="77777777" w:rsidR="00CE4EA8" w:rsidRDefault="00CE4EA8" w:rsidP="00CE4EA8">
      <w:pPr>
        <w:autoSpaceDE w:val="0"/>
        <w:jc w:val="center"/>
        <w:rPr>
          <w:rFonts w:eastAsia="Andale Sans UI" w:cs="Times New Roman"/>
          <w:lang w:val="de-DE" w:eastAsia="fa-IR" w:bidi="fa-IR"/>
        </w:rPr>
      </w:pPr>
      <w:r>
        <w:rPr>
          <w:rFonts w:eastAsia="Andale Sans UI" w:cs="Times New Roman"/>
          <w:lang w:val="de-DE" w:eastAsia="fa-IR" w:bidi="fa-IR"/>
        </w:rPr>
        <w:t>_____________</w:t>
      </w:r>
    </w:p>
    <w:p w14:paraId="09B0600A" w14:textId="77777777" w:rsidR="00CE4EA8" w:rsidRDefault="00CE4EA8" w:rsidP="00CE4EA8">
      <w:pPr>
        <w:autoSpaceDE w:val="0"/>
        <w:jc w:val="center"/>
        <w:rPr>
          <w:rFonts w:eastAsia="Andale Sans UI" w:cs="Times New Roman"/>
          <w:lang w:val="de-DE" w:eastAsia="fa-IR" w:bidi="fa-IR"/>
        </w:rPr>
      </w:pPr>
    </w:p>
    <w:p w14:paraId="4E610924" w14:textId="77777777" w:rsidR="00CE4EA8" w:rsidRDefault="00CE4EA8" w:rsidP="00CE4EA8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95730C2" w14:textId="210408BB" w:rsidR="00CE4EA8" w:rsidRDefault="00CE4EA8"/>
    <w:p w14:paraId="3A637598" w14:textId="77777777" w:rsidR="00402E18" w:rsidRPr="00402E18" w:rsidRDefault="00402E18" w:rsidP="00402E18">
      <w:pPr>
        <w:jc w:val="both"/>
        <w:rPr>
          <w:rFonts w:eastAsia="Lucida Sans Unicode"/>
          <w:kern w:val="1"/>
          <w:lang w:eastAsia="zh-CN"/>
        </w:rPr>
      </w:pPr>
    </w:p>
    <w:sectPr w:rsidR="00402E18" w:rsidRPr="00402E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AC"/>
    <w:rsid w:val="00216D84"/>
    <w:rsid w:val="002569F4"/>
    <w:rsid w:val="00285A68"/>
    <w:rsid w:val="0029108D"/>
    <w:rsid w:val="00330654"/>
    <w:rsid w:val="0035233F"/>
    <w:rsid w:val="00402E18"/>
    <w:rsid w:val="00494C02"/>
    <w:rsid w:val="004A3284"/>
    <w:rsid w:val="004D60AC"/>
    <w:rsid w:val="005F4895"/>
    <w:rsid w:val="00644E31"/>
    <w:rsid w:val="006F2C04"/>
    <w:rsid w:val="007D6DA2"/>
    <w:rsid w:val="008D6637"/>
    <w:rsid w:val="008F5A5A"/>
    <w:rsid w:val="00997069"/>
    <w:rsid w:val="009D2EEC"/>
    <w:rsid w:val="00A721E9"/>
    <w:rsid w:val="00A92FEC"/>
    <w:rsid w:val="00C82E50"/>
    <w:rsid w:val="00CE2F1F"/>
    <w:rsid w:val="00CE4EA8"/>
    <w:rsid w:val="00DB0737"/>
    <w:rsid w:val="00F7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C987"/>
  <w15:chartTrackingRefBased/>
  <w15:docId w15:val="{2C3F9EAE-C174-4A9B-911A-C8554EC8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D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216D8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EEC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EE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25</cp:revision>
  <cp:lastPrinted>2019-06-04T10:48:00Z</cp:lastPrinted>
  <dcterms:created xsi:type="dcterms:W3CDTF">2019-06-03T06:01:00Z</dcterms:created>
  <dcterms:modified xsi:type="dcterms:W3CDTF">2019-06-04T10:59:00Z</dcterms:modified>
</cp:coreProperties>
</file>