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CEE" w:rsidRPr="00646750" w:rsidRDefault="00FC6CEE" w:rsidP="00FC6CEE">
      <w:pPr>
        <w:pStyle w:val="Standard"/>
        <w:ind w:left="4320" w:firstLine="720"/>
        <w:jc w:val="both"/>
        <w:rPr>
          <w:bCs/>
        </w:rPr>
      </w:pPr>
      <w:r>
        <w:rPr>
          <w:bCs/>
        </w:rPr>
        <w:t>PRITAR</w:t>
      </w:r>
      <w:r w:rsidRPr="00646750">
        <w:rPr>
          <w:bCs/>
        </w:rPr>
        <w:t>TA</w:t>
      </w:r>
    </w:p>
    <w:p w:rsidR="00FC6CEE" w:rsidRPr="00646750" w:rsidRDefault="00FC6CEE" w:rsidP="00FC6CEE">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FC6CEE" w:rsidRPr="008235A8" w:rsidRDefault="00FC6CEE" w:rsidP="00FC6CEE">
      <w:pPr>
        <w:ind w:left="4320" w:firstLine="720"/>
        <w:rPr>
          <w:rStyle w:val="Numatytasispastraiposriftas1"/>
          <w:sz w:val="24"/>
          <w:szCs w:val="24"/>
          <w:lang w:val="pt-PT"/>
        </w:rPr>
      </w:pPr>
      <w:r w:rsidRPr="00102952">
        <w:rPr>
          <w:bCs/>
          <w:sz w:val="24"/>
          <w:szCs w:val="24"/>
        </w:rPr>
        <w:t xml:space="preserve">2019 m. </w:t>
      </w:r>
      <w:r>
        <w:rPr>
          <w:bCs/>
          <w:sz w:val="24"/>
          <w:szCs w:val="24"/>
        </w:rPr>
        <w:t>gegužės 3</w:t>
      </w:r>
      <w:r w:rsidRPr="00102952">
        <w:rPr>
          <w:bCs/>
          <w:sz w:val="24"/>
          <w:szCs w:val="24"/>
        </w:rPr>
        <w:t>0 d.</w:t>
      </w:r>
      <w:r w:rsidRPr="00102952">
        <w:rPr>
          <w:sz w:val="24"/>
          <w:szCs w:val="24"/>
          <w:lang w:val="pt-PT"/>
        </w:rPr>
        <w:t xml:space="preserve"> sprendimu Nr. </w:t>
      </w:r>
      <w:r w:rsidRPr="008235A8">
        <w:rPr>
          <w:sz w:val="24"/>
          <w:szCs w:val="24"/>
          <w:lang w:val="pt-PT"/>
        </w:rPr>
        <w:t>T-</w:t>
      </w:r>
    </w:p>
    <w:p w:rsidR="00A4636B" w:rsidRDefault="00A4636B" w:rsidP="00A4636B">
      <w:pPr>
        <w:pStyle w:val="Standard"/>
        <w:jc w:val="both"/>
        <w:rPr>
          <w:bCs/>
          <w:lang w:val="pt-PT"/>
        </w:rPr>
      </w:pPr>
    </w:p>
    <w:p w:rsidR="00184CEC" w:rsidRPr="00FC6CEE" w:rsidRDefault="00184CEC" w:rsidP="00A4636B">
      <w:pPr>
        <w:pStyle w:val="Standard"/>
        <w:jc w:val="both"/>
        <w:rPr>
          <w:bCs/>
          <w:lang w:val="pt-PT"/>
        </w:rPr>
      </w:pPr>
    </w:p>
    <w:p w:rsidR="00A4636B" w:rsidRDefault="00A4636B" w:rsidP="00A4636B">
      <w:pPr>
        <w:ind w:left="360"/>
        <w:jc w:val="center"/>
        <w:rPr>
          <w:b/>
          <w:sz w:val="24"/>
          <w:szCs w:val="24"/>
        </w:rPr>
      </w:pPr>
      <w:r>
        <w:rPr>
          <w:b/>
          <w:sz w:val="24"/>
          <w:szCs w:val="24"/>
        </w:rPr>
        <w:t xml:space="preserve">PANEVĖŽIO RAJONO </w:t>
      </w:r>
      <w:r w:rsidR="0094172B">
        <w:rPr>
          <w:b/>
          <w:sz w:val="24"/>
          <w:szCs w:val="24"/>
        </w:rPr>
        <w:t>NAUJAMIESČIO KULTŪROS CENTRO-DAILĖS GALERIJOS 2018</w:t>
      </w:r>
      <w:r>
        <w:rPr>
          <w:b/>
          <w:sz w:val="24"/>
          <w:szCs w:val="24"/>
        </w:rPr>
        <w:t xml:space="preserve"> METŲ VEIKLOS ATASKAITA</w:t>
      </w:r>
    </w:p>
    <w:p w:rsidR="00A4636B" w:rsidRDefault="00A4636B" w:rsidP="00A4636B">
      <w:pPr>
        <w:ind w:left="360"/>
        <w:jc w:val="center"/>
        <w:rPr>
          <w:sz w:val="24"/>
          <w:szCs w:val="24"/>
        </w:rPr>
      </w:pPr>
    </w:p>
    <w:p w:rsidR="00184CEC" w:rsidRDefault="00184CEC" w:rsidP="00A4636B">
      <w:pPr>
        <w:ind w:left="360"/>
        <w:jc w:val="center"/>
        <w:rPr>
          <w:sz w:val="24"/>
          <w:szCs w:val="24"/>
        </w:rPr>
      </w:pPr>
    </w:p>
    <w:p w:rsidR="00A4636B" w:rsidRDefault="00A4636B" w:rsidP="00A4636B">
      <w:pPr>
        <w:ind w:firstLine="626"/>
        <w:jc w:val="center"/>
        <w:rPr>
          <w:sz w:val="24"/>
          <w:szCs w:val="24"/>
        </w:rPr>
      </w:pPr>
      <w:r>
        <w:rPr>
          <w:b/>
          <w:sz w:val="24"/>
          <w:szCs w:val="24"/>
        </w:rPr>
        <w:t xml:space="preserve">I. PANEVĖŽIO RAJONO SAVIVALDYBĖS AKTYVAUS BENDRUOMENĖS GYVENIMO SKATINIMO PROGRAMOS (Nr. 3) 01 UŽDAVINYS – </w:t>
      </w:r>
      <w:r>
        <w:rPr>
          <w:b/>
          <w:caps/>
          <w:sz w:val="24"/>
          <w:szCs w:val="24"/>
        </w:rPr>
        <w:t>Sudaryti sąlygas gauti aukštos kokybės kultūrines paslaugas</w:t>
      </w:r>
    </w:p>
    <w:p w:rsidR="00A4636B" w:rsidRPr="00184CEC" w:rsidRDefault="00A4636B" w:rsidP="00A4636B">
      <w:pPr>
        <w:pStyle w:val="Antrats"/>
        <w:jc w:val="both"/>
        <w:rPr>
          <w:sz w:val="24"/>
          <w:szCs w:val="24"/>
        </w:rPr>
      </w:pPr>
    </w:p>
    <w:p w:rsidR="00A4636B" w:rsidRDefault="00A4636B" w:rsidP="00A4636B">
      <w:pPr>
        <w:ind w:firstLine="626"/>
        <w:jc w:val="both"/>
        <w:rPr>
          <w:sz w:val="24"/>
          <w:szCs w:val="24"/>
        </w:rPr>
      </w:pPr>
      <w:r>
        <w:rPr>
          <w:sz w:val="24"/>
          <w:szCs w:val="24"/>
        </w:rPr>
        <w:t xml:space="preserve">1.1. Aprašymas (kultūros centro tikslai, uždaviniai ir funkcijos (pagal nuostatus ir savivaldybės strateginį veiklos planą). Didžiausi </w:t>
      </w:r>
      <w:r w:rsidR="0094172B">
        <w:rPr>
          <w:sz w:val="24"/>
          <w:szCs w:val="24"/>
        </w:rPr>
        <w:t>2018</w:t>
      </w:r>
      <w:r>
        <w:rPr>
          <w:sz w:val="24"/>
          <w:szCs w:val="24"/>
        </w:rPr>
        <w:t xml:space="preserve"> m. pasiekimai ir įgyvendinti projektai.</w:t>
      </w:r>
    </w:p>
    <w:p w:rsidR="00D15D60" w:rsidRDefault="00D15D60" w:rsidP="00D15D60">
      <w:pPr>
        <w:ind w:firstLine="626"/>
        <w:jc w:val="both"/>
        <w:rPr>
          <w:sz w:val="24"/>
          <w:szCs w:val="24"/>
        </w:rPr>
      </w:pPr>
      <w:r>
        <w:rPr>
          <w:sz w:val="24"/>
          <w:szCs w:val="24"/>
        </w:rPr>
        <w:t>Centras savo ve</w:t>
      </w:r>
      <w:r w:rsidR="00184CEC">
        <w:rPr>
          <w:sz w:val="24"/>
          <w:szCs w:val="24"/>
        </w:rPr>
        <w:t>iklos pobūdžiu yra daugiafunkc</w:t>
      </w:r>
      <w:r>
        <w:rPr>
          <w:sz w:val="24"/>
          <w:szCs w:val="24"/>
        </w:rPr>
        <w:t>is. Jis savo veikla puoselėja etninę kultūrą, mėgėjų meną, kuria menines programas, plėtoja šviečiamąją veiklą (edukacinę), pramoginę veiklą, tenkina bendruomenės kultūrinius poreikius ir organizuoja profesionalaus meno sklaidą. Trylikti metai vykdomas šiaudinių skulptūrų pleneras „Aukščiau žolės, ž</w:t>
      </w:r>
      <w:r w:rsidR="00184CEC">
        <w:rPr>
          <w:sz w:val="24"/>
          <w:szCs w:val="24"/>
        </w:rPr>
        <w:t>emiau dangaus“, kurį aplanko</w:t>
      </w:r>
      <w:r>
        <w:rPr>
          <w:sz w:val="24"/>
          <w:szCs w:val="24"/>
        </w:rPr>
        <w:t xml:space="preserve"> </w:t>
      </w:r>
      <w:r w:rsidR="00184CEC">
        <w:rPr>
          <w:sz w:val="24"/>
          <w:szCs w:val="24"/>
        </w:rPr>
        <w:br/>
      </w:r>
      <w:r>
        <w:rPr>
          <w:sz w:val="24"/>
          <w:szCs w:val="24"/>
        </w:rPr>
        <w:t>2</w:t>
      </w:r>
      <w:r w:rsidR="00184CEC">
        <w:rPr>
          <w:sz w:val="24"/>
          <w:szCs w:val="24"/>
        </w:rPr>
        <w:t xml:space="preserve"> 000–</w:t>
      </w:r>
      <w:r>
        <w:rPr>
          <w:sz w:val="24"/>
          <w:szCs w:val="24"/>
        </w:rPr>
        <w:t>4</w:t>
      </w:r>
      <w:r w:rsidR="00184CEC">
        <w:rPr>
          <w:sz w:val="24"/>
          <w:szCs w:val="24"/>
        </w:rPr>
        <w:t xml:space="preserve"> </w:t>
      </w:r>
      <w:r>
        <w:rPr>
          <w:sz w:val="24"/>
          <w:szCs w:val="24"/>
        </w:rPr>
        <w:t>000 žiūrovų ne tik iš Lietuvos</w:t>
      </w:r>
      <w:r w:rsidR="00184CEC">
        <w:rPr>
          <w:sz w:val="24"/>
          <w:szCs w:val="24"/>
        </w:rPr>
        <w:t>,</w:t>
      </w:r>
      <w:r>
        <w:rPr>
          <w:sz w:val="24"/>
          <w:szCs w:val="24"/>
        </w:rPr>
        <w:t xml:space="preserve"> bet ir užsienio. Prancūzų architektai išleido knygą apie ateities skulptūrą, kurioje publikuoja mažo Lietuvos miestelio šiaudines skulptūras. Jaunimo vario dūdų orkestras „Aukštyn“ kasmet dalyvauja Europos pučiamųjų instrumentų orkestrų čempionatuose (2018 m. dalyvavo Europos pučiamųjų instrumentų orkestrų čempionate Nyderlanduose,</w:t>
      </w:r>
      <w:r w:rsidR="00184CEC">
        <w:rPr>
          <w:sz w:val="24"/>
          <w:szCs w:val="24"/>
        </w:rPr>
        <w:t xml:space="preserve"> Utrechto mieste ir užėmė II</w:t>
      </w:r>
      <w:r>
        <w:rPr>
          <w:sz w:val="24"/>
          <w:szCs w:val="24"/>
        </w:rPr>
        <w:t xml:space="preserve"> vietą). Centre vykdomi tarptautiniai mokymai, seminarai, konferencijos</w:t>
      </w:r>
      <w:r w:rsidR="00184CEC">
        <w:rPr>
          <w:sz w:val="24"/>
          <w:szCs w:val="24"/>
        </w:rPr>
        <w:t>. Vykdomi tęstiniai projektai: „</w:t>
      </w:r>
      <w:r>
        <w:rPr>
          <w:sz w:val="24"/>
          <w:szCs w:val="24"/>
        </w:rPr>
        <w:t>Profesionaliuoju menu prusinkime kaimo žmog</w:t>
      </w:r>
      <w:r w:rsidR="00184CEC">
        <w:rPr>
          <w:sz w:val="24"/>
          <w:szCs w:val="24"/>
        </w:rPr>
        <w:t xml:space="preserve">ų...“, „Buvę </w:t>
      </w:r>
      <w:proofErr w:type="spellStart"/>
      <w:r w:rsidR="00184CEC">
        <w:rPr>
          <w:sz w:val="24"/>
          <w:szCs w:val="24"/>
        </w:rPr>
        <w:t>n</w:t>
      </w:r>
      <w:r>
        <w:rPr>
          <w:sz w:val="24"/>
          <w:szCs w:val="24"/>
        </w:rPr>
        <w:t>aujamiestiečiai</w:t>
      </w:r>
      <w:proofErr w:type="spellEnd"/>
      <w:r>
        <w:rPr>
          <w:sz w:val="24"/>
          <w:szCs w:val="24"/>
        </w:rPr>
        <w:t xml:space="preserve"> grįžta su meno dovanomis“, „Galerijos galia mažame miestelyje“, kasmet vykdomas Panevėžio rajono vokalinių ansamblių konkursas „Dainuok, širdie“ bei Lietuvos kultūros ir meno premijos laureatų susitikimai-koncertai.</w:t>
      </w:r>
    </w:p>
    <w:p w:rsidR="00A4636B" w:rsidRDefault="00A4636B" w:rsidP="00A4636B">
      <w:pPr>
        <w:ind w:firstLine="626"/>
        <w:jc w:val="both"/>
        <w:rPr>
          <w:sz w:val="24"/>
          <w:szCs w:val="24"/>
        </w:rPr>
      </w:pPr>
      <w:r>
        <w:rPr>
          <w:sz w:val="24"/>
          <w:szCs w:val="24"/>
        </w:rPr>
        <w:t xml:space="preserve">1.2. Rezultatai (kultūros centro problemos </w:t>
      </w:r>
      <w:r w:rsidR="0094172B">
        <w:rPr>
          <w:sz w:val="24"/>
          <w:szCs w:val="24"/>
        </w:rPr>
        <w:t>2018</w:t>
      </w:r>
      <w:r>
        <w:rPr>
          <w:sz w:val="24"/>
          <w:szCs w:val="24"/>
        </w:rPr>
        <w:t xml:space="preserve"> m., patirtos finansinės ir kt. nesėkmės).</w:t>
      </w:r>
    </w:p>
    <w:p w:rsidR="00D15D60" w:rsidRDefault="00D15D60" w:rsidP="00A4636B">
      <w:pPr>
        <w:ind w:firstLine="626"/>
        <w:jc w:val="both"/>
        <w:rPr>
          <w:sz w:val="24"/>
          <w:szCs w:val="24"/>
        </w:rPr>
      </w:pPr>
      <w:r>
        <w:rPr>
          <w:sz w:val="24"/>
          <w:szCs w:val="24"/>
        </w:rPr>
        <w:t xml:space="preserve">Išlaikyti tradicija tapusius renginius, vykdomus projektus, meno mėgėjų kolektyvus, klubus ir darbuotojus. Atnaujinti ekspozicijos įrangas, biuro baldus, scenos užuolaidas, įsigyti naujų </w:t>
      </w:r>
      <w:r w:rsidR="00A229F7">
        <w:rPr>
          <w:sz w:val="24"/>
          <w:szCs w:val="24"/>
        </w:rPr>
        <w:t xml:space="preserve">instrumentų, </w:t>
      </w:r>
      <w:r>
        <w:rPr>
          <w:sz w:val="24"/>
          <w:szCs w:val="24"/>
        </w:rPr>
        <w:t>sceninių kostiumų</w:t>
      </w:r>
      <w:r w:rsidR="00A229F7">
        <w:rPr>
          <w:sz w:val="24"/>
          <w:szCs w:val="24"/>
        </w:rPr>
        <w:t>, įkurti Bažnyčios kronikos muziejų.</w:t>
      </w:r>
    </w:p>
    <w:p w:rsidR="00A229F7" w:rsidRDefault="00A229F7" w:rsidP="00A4636B">
      <w:pPr>
        <w:ind w:firstLine="626"/>
        <w:jc w:val="both"/>
        <w:rPr>
          <w:sz w:val="24"/>
          <w:szCs w:val="24"/>
        </w:rPr>
      </w:pPr>
      <w:r>
        <w:rPr>
          <w:sz w:val="24"/>
          <w:szCs w:val="24"/>
        </w:rPr>
        <w:t>Berčiūnuose jau dvidešimt metų vykdoma kultūrinė veikla, bet neturi p</w:t>
      </w:r>
      <w:r w:rsidR="00184CEC">
        <w:rPr>
          <w:sz w:val="24"/>
          <w:szCs w:val="24"/>
        </w:rPr>
        <w:t>atalpų, nors tokia galimybė yra –</w:t>
      </w:r>
      <w:r>
        <w:rPr>
          <w:sz w:val="24"/>
          <w:szCs w:val="24"/>
        </w:rPr>
        <w:t xml:space="preserve"> esančiame bendruomenės jaunimo centre galėtų vykti renginiai ir kūrybinis darbas.</w:t>
      </w:r>
    </w:p>
    <w:p w:rsidR="00A4636B" w:rsidRDefault="00A4636B" w:rsidP="00A4636B">
      <w:pPr>
        <w:ind w:firstLine="626"/>
        <w:jc w:val="both"/>
        <w:rPr>
          <w:sz w:val="24"/>
          <w:szCs w:val="24"/>
        </w:rPr>
      </w:pPr>
    </w:p>
    <w:p w:rsidR="00A4636B" w:rsidRDefault="00A4636B" w:rsidP="00A4636B">
      <w:pPr>
        <w:ind w:left="2160"/>
        <w:jc w:val="center"/>
        <w:rPr>
          <w:b/>
          <w:sz w:val="24"/>
          <w:szCs w:val="24"/>
        </w:rPr>
      </w:pPr>
      <w:r>
        <w:rPr>
          <w:b/>
          <w:sz w:val="24"/>
          <w:szCs w:val="24"/>
        </w:rPr>
        <w:t>II. KULTŪROS CENTRO STRUKTŪRA</w:t>
      </w:r>
    </w:p>
    <w:p w:rsidR="00184CEC" w:rsidRPr="00184CEC" w:rsidRDefault="00184CEC" w:rsidP="00184CEC">
      <w:pPr>
        <w:rPr>
          <w:sz w:val="24"/>
          <w:szCs w:val="24"/>
        </w:rPr>
      </w:pPr>
    </w:p>
    <w:p w:rsidR="00184CEC" w:rsidRPr="00184CEC" w:rsidRDefault="00184CEC" w:rsidP="00184CEC">
      <w:pPr>
        <w:rPr>
          <w:sz w:val="24"/>
          <w:szCs w:val="24"/>
        </w:rPr>
      </w:pPr>
      <w:r>
        <w:rPr>
          <w:sz w:val="24"/>
          <w:szCs w:val="24"/>
        </w:rPr>
        <w:t>2.1. Darbuotojai:</w:t>
      </w:r>
    </w:p>
    <w:tbl>
      <w:tblPr>
        <w:tblpPr w:leftFromText="180" w:rightFromText="180" w:vertAnchor="text" w:horzAnchor="margin" w:tblpX="108" w:tblpY="548"/>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739"/>
        <w:gridCol w:w="528"/>
        <w:gridCol w:w="739"/>
        <w:gridCol w:w="528"/>
        <w:gridCol w:w="742"/>
        <w:gridCol w:w="608"/>
        <w:gridCol w:w="798"/>
        <w:gridCol w:w="574"/>
        <w:gridCol w:w="745"/>
        <w:gridCol w:w="528"/>
        <w:gridCol w:w="739"/>
        <w:gridCol w:w="528"/>
        <w:gridCol w:w="683"/>
      </w:tblGrid>
      <w:tr w:rsidR="00A4636B" w:rsidTr="00184CEC">
        <w:trPr>
          <w:trHeight w:val="381"/>
        </w:trPr>
        <w:tc>
          <w:tcPr>
            <w:tcW w:w="572" w:type="pct"/>
            <w:vMerge w:val="restart"/>
            <w:tcBorders>
              <w:top w:val="single" w:sz="4" w:space="0" w:color="auto"/>
              <w:left w:val="single" w:sz="4" w:space="0" w:color="auto"/>
              <w:bottom w:val="single" w:sz="4" w:space="0" w:color="auto"/>
              <w:right w:val="single" w:sz="4" w:space="0" w:color="auto"/>
            </w:tcBorders>
          </w:tcPr>
          <w:p w:rsidR="00A4636B" w:rsidRDefault="00A4636B">
            <w:pPr>
              <w:rPr>
                <w:sz w:val="24"/>
                <w:szCs w:val="24"/>
              </w:rPr>
            </w:pP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Darbuotojai</w:t>
            </w:r>
          </w:p>
        </w:tc>
        <w:tc>
          <w:tcPr>
            <w:tcW w:w="662" w:type="pct"/>
            <w:gridSpan w:val="2"/>
            <w:vMerge w:val="restart"/>
            <w:tcBorders>
              <w:top w:val="single" w:sz="4" w:space="0" w:color="auto"/>
              <w:left w:val="single" w:sz="4" w:space="0" w:color="auto"/>
              <w:bottom w:val="single" w:sz="4" w:space="0" w:color="auto"/>
              <w:right w:val="single" w:sz="4" w:space="0" w:color="auto"/>
            </w:tcBorders>
            <w:hideMark/>
          </w:tcPr>
          <w:p w:rsidR="00A4636B" w:rsidRDefault="00A4636B">
            <w:pPr>
              <w:jc w:val="center"/>
            </w:pPr>
            <w:r>
              <w:t>Pareigybės</w:t>
            </w:r>
          </w:p>
        </w:tc>
        <w:tc>
          <w:tcPr>
            <w:tcW w:w="3104" w:type="pct"/>
            <w:gridSpan w:val="9"/>
            <w:tcBorders>
              <w:top w:val="single" w:sz="4" w:space="0" w:color="auto"/>
              <w:left w:val="single" w:sz="4" w:space="0" w:color="auto"/>
              <w:bottom w:val="single" w:sz="4" w:space="0" w:color="auto"/>
              <w:right w:val="single" w:sz="4" w:space="0" w:color="auto"/>
            </w:tcBorders>
            <w:hideMark/>
          </w:tcPr>
          <w:p w:rsidR="00A4636B" w:rsidRDefault="00A4636B">
            <w:pPr>
              <w:jc w:val="center"/>
            </w:pPr>
            <w:r>
              <w:t>Kultūros ir meno darbuotojų išsilavinimas</w:t>
            </w:r>
          </w:p>
          <w:p w:rsidR="00A4636B" w:rsidRDefault="00A4636B">
            <w:pPr>
              <w:jc w:val="center"/>
            </w:pPr>
            <w:r>
              <w:t>(pagal turimus diplomus)</w:t>
            </w:r>
          </w:p>
        </w:tc>
      </w:tr>
      <w:tr w:rsidR="00A4636B" w:rsidTr="00184CEC">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pPr>
          </w:p>
        </w:tc>
        <w:tc>
          <w:tcPr>
            <w:tcW w:w="70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Aukštasis universitetinis</w:t>
            </w:r>
          </w:p>
        </w:tc>
        <w:tc>
          <w:tcPr>
            <w:tcW w:w="716" w:type="pct"/>
            <w:gridSpan w:val="2"/>
            <w:tcBorders>
              <w:top w:val="single" w:sz="4" w:space="0" w:color="auto"/>
              <w:left w:val="single" w:sz="4" w:space="0" w:color="auto"/>
              <w:bottom w:val="single" w:sz="4" w:space="0" w:color="auto"/>
              <w:right w:val="single" w:sz="4" w:space="0" w:color="auto"/>
            </w:tcBorders>
            <w:hideMark/>
          </w:tcPr>
          <w:p w:rsidR="00A4636B" w:rsidRDefault="00A4636B">
            <w:r>
              <w:t xml:space="preserve">Aukštasis </w:t>
            </w:r>
            <w:proofErr w:type="spellStart"/>
            <w:r>
              <w:t>neuniversiteti-nis</w:t>
            </w:r>
            <w:proofErr w:type="spellEnd"/>
          </w:p>
        </w:tc>
        <w:tc>
          <w:tcPr>
            <w:tcW w:w="665" w:type="pct"/>
            <w:gridSpan w:val="2"/>
            <w:tcBorders>
              <w:top w:val="single" w:sz="4" w:space="0" w:color="auto"/>
              <w:left w:val="single" w:sz="4" w:space="0" w:color="auto"/>
              <w:bottom w:val="single" w:sz="4" w:space="0" w:color="auto"/>
              <w:right w:val="single" w:sz="4" w:space="0" w:color="auto"/>
            </w:tcBorders>
            <w:hideMark/>
          </w:tcPr>
          <w:p w:rsidR="00A4636B" w:rsidRDefault="00A4636B">
            <w:r>
              <w:t>Aukštesnysis</w:t>
            </w:r>
          </w:p>
        </w:tc>
        <w:tc>
          <w:tcPr>
            <w:tcW w:w="662" w:type="pct"/>
            <w:gridSpan w:val="2"/>
            <w:tcBorders>
              <w:top w:val="single" w:sz="4" w:space="0" w:color="auto"/>
              <w:left w:val="single" w:sz="4" w:space="0" w:color="auto"/>
              <w:bottom w:val="single" w:sz="4" w:space="0" w:color="auto"/>
              <w:right w:val="single" w:sz="4" w:space="0" w:color="auto"/>
            </w:tcBorders>
            <w:hideMark/>
          </w:tcPr>
          <w:p w:rsidR="00A4636B" w:rsidRDefault="00A4636B">
            <w:r>
              <w:t>Specialusis vidurinis</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r>
              <w:t>Vidu-</w:t>
            </w:r>
            <w:proofErr w:type="spellStart"/>
            <w:r>
              <w:t>rinis</w:t>
            </w:r>
            <w:proofErr w:type="spellEnd"/>
          </w:p>
        </w:tc>
      </w:tr>
      <w:tr w:rsidR="00A4636B" w:rsidTr="00184CEC">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Kiti</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proofErr w:type="spellStart"/>
            <w:r>
              <w:t>Kultū</w:t>
            </w:r>
            <w:proofErr w:type="spellEnd"/>
            <w:r>
              <w:t>-ros ir meno</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r>
              <w:t>Kiti</w:t>
            </w:r>
          </w:p>
        </w:tc>
        <w:tc>
          <w:tcPr>
            <w:tcW w:w="357" w:type="pct"/>
            <w:tcBorders>
              <w:top w:val="single" w:sz="4" w:space="0" w:color="auto"/>
              <w:left w:val="single" w:sz="4" w:space="0" w:color="auto"/>
              <w:bottom w:val="single" w:sz="4" w:space="0" w:color="auto"/>
              <w:right w:val="single" w:sz="4" w:space="0" w:color="auto"/>
            </w:tcBorders>
          </w:tcPr>
          <w:p w:rsidR="00A4636B" w:rsidRDefault="00A4636B"/>
        </w:tc>
      </w:tr>
      <w:tr w:rsidR="00A4636B" w:rsidTr="00184CEC">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24"/>
                <w:szCs w:val="24"/>
              </w:rPr>
            </w:pP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2</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3</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4</w:t>
            </w:r>
          </w:p>
        </w:tc>
        <w:tc>
          <w:tcPr>
            <w:tcW w:w="38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5</w:t>
            </w:r>
          </w:p>
        </w:tc>
        <w:tc>
          <w:tcPr>
            <w:tcW w:w="31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6</w:t>
            </w:r>
          </w:p>
        </w:tc>
        <w:tc>
          <w:tcPr>
            <w:tcW w:w="41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7</w:t>
            </w:r>
          </w:p>
        </w:tc>
        <w:tc>
          <w:tcPr>
            <w:tcW w:w="300"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8</w:t>
            </w:r>
          </w:p>
        </w:tc>
        <w:tc>
          <w:tcPr>
            <w:tcW w:w="389"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9</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10</w:t>
            </w:r>
          </w:p>
        </w:tc>
        <w:tc>
          <w:tcPr>
            <w:tcW w:w="38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11</w:t>
            </w:r>
          </w:p>
        </w:tc>
        <w:tc>
          <w:tcPr>
            <w:tcW w:w="276"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12</w:t>
            </w:r>
          </w:p>
        </w:tc>
        <w:tc>
          <w:tcPr>
            <w:tcW w:w="357" w:type="pct"/>
            <w:tcBorders>
              <w:top w:val="single" w:sz="4" w:space="0" w:color="auto"/>
              <w:left w:val="single" w:sz="4" w:space="0" w:color="auto"/>
              <w:bottom w:val="single" w:sz="4" w:space="0" w:color="auto"/>
              <w:right w:val="single" w:sz="4" w:space="0" w:color="auto"/>
            </w:tcBorders>
            <w:hideMark/>
          </w:tcPr>
          <w:p w:rsidR="00A4636B" w:rsidRDefault="00A4636B">
            <w:pPr>
              <w:jc w:val="center"/>
            </w:pPr>
            <w:r>
              <w:t>13</w:t>
            </w:r>
          </w:p>
        </w:tc>
      </w:tr>
      <w:tr w:rsidR="00A4636B" w:rsidTr="00184CEC">
        <w:trPr>
          <w:trHeight w:val="697"/>
        </w:trPr>
        <w:tc>
          <w:tcPr>
            <w:tcW w:w="572" w:type="pct"/>
            <w:tcBorders>
              <w:top w:val="single" w:sz="4" w:space="0" w:color="auto"/>
              <w:left w:val="single" w:sz="4" w:space="0" w:color="auto"/>
              <w:bottom w:val="single" w:sz="4" w:space="0" w:color="auto"/>
              <w:right w:val="single" w:sz="4" w:space="0" w:color="auto"/>
            </w:tcBorders>
            <w:hideMark/>
          </w:tcPr>
          <w:p w:rsidR="00A4636B" w:rsidRPr="0094172B" w:rsidRDefault="0094172B">
            <w:pPr>
              <w:rPr>
                <w:sz w:val="16"/>
                <w:szCs w:val="16"/>
              </w:rPr>
            </w:pPr>
            <w:r w:rsidRPr="0094172B">
              <w:rPr>
                <w:sz w:val="16"/>
                <w:szCs w:val="16"/>
              </w:rPr>
              <w:t>Naujamiesčio</w:t>
            </w:r>
          </w:p>
          <w:p w:rsidR="00A4636B" w:rsidRPr="0094172B" w:rsidRDefault="00A4636B">
            <w:pPr>
              <w:rPr>
                <w:sz w:val="16"/>
                <w:szCs w:val="16"/>
              </w:rPr>
            </w:pPr>
            <w:r w:rsidRPr="0094172B">
              <w:rPr>
                <w:sz w:val="16"/>
                <w:szCs w:val="16"/>
              </w:rPr>
              <w:t>kultūros centras</w:t>
            </w:r>
            <w:r w:rsidR="0094172B" w:rsidRPr="0094172B">
              <w:rPr>
                <w:sz w:val="16"/>
                <w:szCs w:val="16"/>
              </w:rPr>
              <w:t>-dailės galerija</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13</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rsidRPr="0094172B">
              <w:t>4</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6,</w:t>
            </w:r>
            <w:r w:rsidR="0094172B" w:rsidRPr="0094172B">
              <w:t>5</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387"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5</w:t>
            </w:r>
          </w:p>
        </w:tc>
        <w:tc>
          <w:tcPr>
            <w:tcW w:w="31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2</w:t>
            </w:r>
          </w:p>
        </w:tc>
        <w:tc>
          <w:tcPr>
            <w:tcW w:w="416" w:type="pct"/>
            <w:tcBorders>
              <w:top w:val="single" w:sz="4" w:space="0" w:color="auto"/>
              <w:left w:val="single" w:sz="4" w:space="0" w:color="auto"/>
              <w:bottom w:val="single" w:sz="4" w:space="0" w:color="auto"/>
              <w:right w:val="single" w:sz="4" w:space="0" w:color="auto"/>
            </w:tcBorders>
          </w:tcPr>
          <w:p w:rsidR="00A4636B" w:rsidRPr="0094172B" w:rsidRDefault="00184CEC" w:rsidP="0094172B">
            <w:pPr>
              <w:jc w:val="center"/>
            </w:pPr>
            <w:r>
              <w:t>3</w:t>
            </w:r>
          </w:p>
        </w:tc>
        <w:tc>
          <w:tcPr>
            <w:tcW w:w="300"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389"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8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1</w:t>
            </w:r>
          </w:p>
        </w:tc>
        <w:tc>
          <w:tcPr>
            <w:tcW w:w="276"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c>
          <w:tcPr>
            <w:tcW w:w="357" w:type="pct"/>
            <w:tcBorders>
              <w:top w:val="single" w:sz="4" w:space="0" w:color="auto"/>
              <w:left w:val="single" w:sz="4" w:space="0" w:color="auto"/>
              <w:bottom w:val="single" w:sz="4" w:space="0" w:color="auto"/>
              <w:right w:val="single" w:sz="4" w:space="0" w:color="auto"/>
            </w:tcBorders>
          </w:tcPr>
          <w:p w:rsidR="00A4636B" w:rsidRPr="0094172B" w:rsidRDefault="0094172B" w:rsidP="0094172B">
            <w:pPr>
              <w:jc w:val="center"/>
            </w:pPr>
            <w:r>
              <w:t>-</w:t>
            </w:r>
          </w:p>
        </w:tc>
      </w:tr>
    </w:tbl>
    <w:p w:rsidR="00A4636B" w:rsidRPr="00184CEC" w:rsidRDefault="00A4636B" w:rsidP="00A4636B">
      <w:pPr>
        <w:rPr>
          <w:sz w:val="24"/>
          <w:szCs w:val="24"/>
        </w:rPr>
      </w:pPr>
    </w:p>
    <w:p w:rsidR="00A4636B" w:rsidRDefault="00A4636B" w:rsidP="00184CEC">
      <w:pPr>
        <w:ind w:firstLine="1296"/>
        <w:rPr>
          <w:sz w:val="24"/>
          <w:szCs w:val="24"/>
        </w:rPr>
      </w:pPr>
      <w:r>
        <w:rPr>
          <w:sz w:val="24"/>
          <w:szCs w:val="24"/>
        </w:rPr>
        <w:lastRenderedPageBreak/>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A4636B" w:rsidTr="00184CEC">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Kėlė kvalifikaciją</w:t>
            </w:r>
          </w:p>
          <w:p w:rsidR="00A4636B" w:rsidRDefault="00A4636B">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Laisvų pareigybių </w:t>
            </w:r>
          </w:p>
          <w:p w:rsidR="00A4636B" w:rsidRDefault="00A4636B">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 xml:space="preserve">Kultūros ir meno specialistų </w:t>
            </w:r>
          </w:p>
          <w:p w:rsidR="00A4636B" w:rsidRDefault="00A4636B">
            <w:pPr>
              <w:rPr>
                <w:sz w:val="16"/>
                <w:szCs w:val="16"/>
              </w:rPr>
            </w:pPr>
            <w:r>
              <w:rPr>
                <w:sz w:val="16"/>
                <w:szCs w:val="16"/>
              </w:rPr>
              <w:t>poreikis</w:t>
            </w:r>
          </w:p>
        </w:tc>
      </w:tr>
      <w:tr w:rsidR="00A4636B" w:rsidTr="00184CEC">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A4636B" w:rsidRDefault="00A4636B">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A4636B" w:rsidRDefault="00A4636B">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636B" w:rsidRDefault="00A4636B">
            <w:pPr>
              <w:suppressAutoHyphens w:val="0"/>
              <w:rPr>
                <w:sz w:val="16"/>
                <w:szCs w:val="16"/>
              </w:rPr>
            </w:pPr>
          </w:p>
        </w:tc>
      </w:tr>
      <w:tr w:rsidR="00A4636B" w:rsidTr="00184CEC">
        <w:trPr>
          <w:trHeight w:val="275"/>
        </w:trPr>
        <w:tc>
          <w:tcPr>
            <w:tcW w:w="2943" w:type="dxa"/>
            <w:tcBorders>
              <w:top w:val="single" w:sz="4" w:space="0" w:color="auto"/>
              <w:left w:val="single" w:sz="4" w:space="0" w:color="auto"/>
              <w:bottom w:val="single" w:sz="4" w:space="0" w:color="auto"/>
              <w:right w:val="single" w:sz="4" w:space="0" w:color="auto"/>
            </w:tcBorders>
            <w:hideMark/>
          </w:tcPr>
          <w:p w:rsidR="00A4636B" w:rsidRDefault="0094172B">
            <w:r>
              <w:t>Naujamiesčio</w:t>
            </w:r>
            <w:r w:rsidR="00A4636B">
              <w:t xml:space="preserve"> kultūros centras</w:t>
            </w:r>
            <w:r>
              <w:t>-dailės galerija</w:t>
            </w:r>
          </w:p>
        </w:tc>
        <w:tc>
          <w:tcPr>
            <w:tcW w:w="1560" w:type="dxa"/>
            <w:tcBorders>
              <w:top w:val="single" w:sz="4" w:space="0" w:color="auto"/>
              <w:left w:val="single" w:sz="4" w:space="0" w:color="auto"/>
              <w:bottom w:val="single" w:sz="4" w:space="0" w:color="auto"/>
              <w:right w:val="single" w:sz="4" w:space="0" w:color="auto"/>
            </w:tcBorders>
          </w:tcPr>
          <w:p w:rsidR="00A4636B" w:rsidRDefault="0094172B">
            <w:pPr>
              <w:rPr>
                <w:sz w:val="16"/>
                <w:szCs w:val="16"/>
              </w:rPr>
            </w:pPr>
            <w:r>
              <w:rPr>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A4636B" w:rsidRDefault="0094172B">
            <w:pP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A4636B" w:rsidRDefault="00A4636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A4636B" w:rsidRDefault="0094172B">
            <w:pPr>
              <w:rPr>
                <w:sz w:val="16"/>
                <w:szCs w:val="16"/>
              </w:rPr>
            </w:pPr>
            <w:r>
              <w:rPr>
                <w:sz w:val="16"/>
                <w:szCs w:val="16"/>
              </w:rPr>
              <w:t>3</w:t>
            </w:r>
          </w:p>
        </w:tc>
      </w:tr>
    </w:tbl>
    <w:p w:rsidR="00A4636B" w:rsidRDefault="00A4636B" w:rsidP="00A4636B">
      <w:pPr>
        <w:jc w:val="both"/>
        <w:rPr>
          <w:sz w:val="24"/>
          <w:szCs w:val="24"/>
        </w:rPr>
      </w:pPr>
    </w:p>
    <w:p w:rsidR="00A4636B" w:rsidRDefault="00A4636B" w:rsidP="00A4636B">
      <w:pPr>
        <w:jc w:val="center"/>
        <w:rPr>
          <w:b/>
          <w:sz w:val="24"/>
          <w:szCs w:val="24"/>
        </w:rPr>
      </w:pPr>
      <w:r>
        <w:rPr>
          <w:b/>
          <w:sz w:val="24"/>
          <w:szCs w:val="24"/>
        </w:rPr>
        <w:t>III. VEIKLA</w:t>
      </w:r>
    </w:p>
    <w:p w:rsidR="00A4636B" w:rsidRPr="00184CEC" w:rsidRDefault="00A4636B" w:rsidP="00A4636B">
      <w:pPr>
        <w:ind w:left="2160"/>
        <w:rPr>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400"/>
        <w:gridCol w:w="1388"/>
      </w:tblGrid>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Veiklos</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A4636B">
            <w:r>
              <w:t>Skaičius / priedas</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žiūrovų ir lankytojų</w:t>
            </w:r>
          </w:p>
        </w:tc>
        <w:tc>
          <w:tcPr>
            <w:tcW w:w="1388" w:type="dxa"/>
            <w:tcBorders>
              <w:top w:val="single" w:sz="4" w:space="0" w:color="auto"/>
              <w:left w:val="single" w:sz="4" w:space="0" w:color="auto"/>
              <w:bottom w:val="single" w:sz="4" w:space="0" w:color="auto"/>
              <w:right w:val="single" w:sz="4" w:space="0" w:color="auto"/>
            </w:tcBorders>
          </w:tcPr>
          <w:p w:rsidR="00A4636B" w:rsidRDefault="0094172B">
            <w:r>
              <w:t>141/10</w:t>
            </w:r>
            <w:r w:rsidR="00184CEC">
              <w:t xml:space="preserve"> </w:t>
            </w:r>
            <w:r>
              <w:t>000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Parduotų bilietų skaičius</w:t>
            </w:r>
          </w:p>
        </w:tc>
        <w:tc>
          <w:tcPr>
            <w:tcW w:w="1388" w:type="dxa"/>
            <w:tcBorders>
              <w:top w:val="single" w:sz="4" w:space="0" w:color="auto"/>
              <w:left w:val="single" w:sz="4" w:space="0" w:color="auto"/>
              <w:bottom w:val="single" w:sz="4" w:space="0" w:color="auto"/>
              <w:right w:val="single" w:sz="4" w:space="0" w:color="auto"/>
            </w:tcBorders>
          </w:tcPr>
          <w:p w:rsidR="00A4636B" w:rsidRDefault="00A4636B"/>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Iš viso dalyvių, užimtų kultūros įstaigos veikloje</w:t>
            </w:r>
          </w:p>
        </w:tc>
        <w:tc>
          <w:tcPr>
            <w:tcW w:w="1388" w:type="dxa"/>
            <w:tcBorders>
              <w:top w:val="single" w:sz="4" w:space="0" w:color="auto"/>
              <w:left w:val="single" w:sz="4" w:space="0" w:color="auto"/>
              <w:bottom w:val="single" w:sz="4" w:space="0" w:color="auto"/>
              <w:right w:val="single" w:sz="4" w:space="0" w:color="auto"/>
            </w:tcBorders>
          </w:tcPr>
          <w:p w:rsidR="00A4636B" w:rsidRDefault="0094172B">
            <w:r>
              <w:t>140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vietos gyventojų, gyvenančių ar dirbančių Panevėžio rajone</w:t>
            </w:r>
          </w:p>
        </w:tc>
        <w:tc>
          <w:tcPr>
            <w:tcW w:w="1388" w:type="dxa"/>
            <w:tcBorders>
              <w:top w:val="single" w:sz="4" w:space="0" w:color="auto"/>
              <w:left w:val="single" w:sz="4" w:space="0" w:color="auto"/>
              <w:bottom w:val="single" w:sz="4" w:space="0" w:color="auto"/>
              <w:right w:val="single" w:sz="4" w:space="0" w:color="auto"/>
            </w:tcBorders>
          </w:tcPr>
          <w:p w:rsidR="00A4636B" w:rsidRDefault="0094172B">
            <w:r>
              <w:t>140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kultūros centro veikloje dalyvaujančių savanorių </w:t>
            </w:r>
          </w:p>
        </w:tc>
        <w:tc>
          <w:tcPr>
            <w:tcW w:w="1388" w:type="dxa"/>
            <w:tcBorders>
              <w:top w:val="single" w:sz="4" w:space="0" w:color="auto"/>
              <w:left w:val="single" w:sz="4" w:space="0" w:color="auto"/>
              <w:bottom w:val="single" w:sz="4" w:space="0" w:color="auto"/>
              <w:right w:val="single" w:sz="4" w:space="0" w:color="auto"/>
            </w:tcBorders>
          </w:tcPr>
          <w:p w:rsidR="00A4636B" w:rsidRDefault="0094172B">
            <w:r>
              <w:t>20</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Pateiktų projektų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184CEC">
            <w:r>
              <w:t xml:space="preserve">3 </w:t>
            </w:r>
            <w:r w:rsidR="0094172B">
              <w:t>(1p</w:t>
            </w:r>
            <w:r w:rsidR="00A4636B">
              <w:t>riedas</w:t>
            </w:r>
            <w:r w:rsidR="0094172B">
              <w:t>)</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 xml:space="preserve">Naujų parengtų programų (koncertinių, edukacinių) ir kitų naujų veiklų </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94172B">
            <w:r>
              <w:t>78 (2 p</w:t>
            </w:r>
            <w:r w:rsidR="00A4636B">
              <w:t>riedas</w:t>
            </w:r>
            <w:r>
              <w:t>)</w:t>
            </w:r>
          </w:p>
        </w:tc>
      </w:tr>
      <w:tr w:rsidR="00A4636B" w:rsidTr="0094172B">
        <w:tc>
          <w:tcPr>
            <w:tcW w:w="709" w:type="dxa"/>
            <w:tcBorders>
              <w:top w:val="single" w:sz="4" w:space="0" w:color="auto"/>
              <w:left w:val="single" w:sz="4" w:space="0" w:color="auto"/>
              <w:bottom w:val="single" w:sz="4" w:space="0" w:color="auto"/>
              <w:right w:val="single" w:sz="4" w:space="0" w:color="auto"/>
            </w:tcBorders>
            <w:hideMark/>
          </w:tcPr>
          <w:p w:rsidR="00A4636B" w:rsidRDefault="00A4636B">
            <w:r>
              <w:t xml:space="preserve">6. </w:t>
            </w:r>
          </w:p>
        </w:tc>
        <w:tc>
          <w:tcPr>
            <w:tcW w:w="7400" w:type="dxa"/>
            <w:tcBorders>
              <w:top w:val="single" w:sz="4" w:space="0" w:color="auto"/>
              <w:left w:val="single" w:sz="4" w:space="0" w:color="auto"/>
              <w:bottom w:val="single" w:sz="4" w:space="0" w:color="auto"/>
              <w:right w:val="single" w:sz="4" w:space="0" w:color="auto"/>
            </w:tcBorders>
            <w:hideMark/>
          </w:tcPr>
          <w:p w:rsidR="00A4636B" w:rsidRDefault="00A4636B">
            <w:r>
              <w:t>Laimėjimai konkursuose: pagrindinis prizas, I, II, III vietos (rajono, regiono, šalies bei tarptautiniuose), kultūros srities nominacijų laimėjimai</w:t>
            </w:r>
          </w:p>
        </w:tc>
        <w:tc>
          <w:tcPr>
            <w:tcW w:w="1388" w:type="dxa"/>
            <w:tcBorders>
              <w:top w:val="single" w:sz="4" w:space="0" w:color="auto"/>
              <w:left w:val="single" w:sz="4" w:space="0" w:color="auto"/>
              <w:bottom w:val="single" w:sz="4" w:space="0" w:color="auto"/>
              <w:right w:val="single" w:sz="4" w:space="0" w:color="auto"/>
            </w:tcBorders>
            <w:hideMark/>
          </w:tcPr>
          <w:p w:rsidR="00A4636B" w:rsidRDefault="00184CEC">
            <w:r>
              <w:t xml:space="preserve">3 </w:t>
            </w:r>
            <w:r w:rsidR="0094172B">
              <w:t>(3 p</w:t>
            </w:r>
            <w:r w:rsidR="00A4636B">
              <w:t>riedas</w:t>
            </w:r>
            <w:r w:rsidR="0094172B">
              <w:t>)</w:t>
            </w:r>
          </w:p>
        </w:tc>
      </w:tr>
    </w:tbl>
    <w:p w:rsidR="00A4636B" w:rsidRPr="00184CEC" w:rsidRDefault="00A4636B" w:rsidP="00A4636B">
      <w:pPr>
        <w:rPr>
          <w:sz w:val="24"/>
          <w:szCs w:val="24"/>
        </w:rPr>
      </w:pPr>
    </w:p>
    <w:p w:rsidR="00A4636B" w:rsidRDefault="00A4636B" w:rsidP="00A4636B">
      <w:pPr>
        <w:tabs>
          <w:tab w:val="left" w:pos="567"/>
        </w:tabs>
        <w:jc w:val="center"/>
        <w:rPr>
          <w:sz w:val="24"/>
          <w:szCs w:val="24"/>
        </w:rPr>
      </w:pPr>
      <w:r>
        <w:rPr>
          <w:b/>
          <w:sz w:val="24"/>
          <w:szCs w:val="24"/>
        </w:rPr>
        <w:t>IV. RENGINIAI</w:t>
      </w:r>
    </w:p>
    <w:p w:rsidR="00A4636B" w:rsidRPr="00184CEC" w:rsidRDefault="00A4636B" w:rsidP="00A4636B">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Renginių skaičius</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iš viso (1 + 2)</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181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141</w:t>
            </w:r>
          </w:p>
        </w:tc>
      </w:tr>
      <w:tr w:rsidR="00A4636B" w:rsidTr="00A4636B">
        <w:tc>
          <w:tcPr>
            <w:tcW w:w="576" w:type="dxa"/>
            <w:tcBorders>
              <w:top w:val="single" w:sz="4" w:space="0" w:color="auto"/>
              <w:left w:val="single" w:sz="4" w:space="0" w:color="auto"/>
              <w:bottom w:val="single" w:sz="4" w:space="0" w:color="auto"/>
              <w:right w:val="single" w:sz="4" w:space="0" w:color="auto"/>
            </w:tcBorders>
          </w:tcPr>
          <w:p w:rsidR="00A4636B" w:rsidRDefault="00A4636B" w:rsidP="005B5356">
            <w:pPr>
              <w:numPr>
                <w:ilvl w:val="1"/>
                <w:numId w:val="1"/>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lauke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131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40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šalyje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16</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Etniniai renginiai (visi)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šalies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6</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4.3.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6</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21</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vizualiojo meno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9</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5.3.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kitos</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17</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akademinio žanro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6.2.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3</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7.1.</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edukaciniai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25</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7.2.</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7.3.</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kvalifikacijos kėlimo</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20</w:t>
            </w:r>
          </w:p>
        </w:tc>
      </w:tr>
      <w:tr w:rsidR="00A4636B" w:rsidTr="00A4636B">
        <w:tc>
          <w:tcPr>
            <w:tcW w:w="576" w:type="dxa"/>
            <w:tcBorders>
              <w:top w:val="single" w:sz="4" w:space="0" w:color="auto"/>
              <w:left w:val="single" w:sz="4" w:space="0" w:color="auto"/>
              <w:bottom w:val="single" w:sz="4" w:space="0" w:color="auto"/>
              <w:right w:val="single" w:sz="4" w:space="0" w:color="auto"/>
            </w:tcBorders>
            <w:hideMark/>
          </w:tcPr>
          <w:p w:rsidR="00A4636B" w:rsidRDefault="00A4636B">
            <w:r>
              <w:t>8.</w:t>
            </w:r>
          </w:p>
        </w:tc>
        <w:tc>
          <w:tcPr>
            <w:tcW w:w="7608" w:type="dxa"/>
            <w:tcBorders>
              <w:top w:val="single" w:sz="4" w:space="0" w:color="auto"/>
              <w:left w:val="single" w:sz="4" w:space="0" w:color="auto"/>
              <w:bottom w:val="single" w:sz="4" w:space="0" w:color="auto"/>
              <w:right w:val="single" w:sz="4" w:space="0" w:color="auto"/>
            </w:tcBorders>
            <w:hideMark/>
          </w:tcPr>
          <w:p w:rsidR="00A4636B" w:rsidRDefault="00A4636B">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 MENO KOLEKTYVAI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Kolektyvų skaičius</w:t>
            </w:r>
          </w:p>
        </w:tc>
      </w:tr>
      <w:tr w:rsidR="00A4636B" w:rsidTr="00A4636B">
        <w:tc>
          <w:tcPr>
            <w:tcW w:w="755" w:type="dxa"/>
            <w:tcBorders>
              <w:top w:val="single" w:sz="4" w:space="0" w:color="auto"/>
              <w:left w:val="single" w:sz="4" w:space="0" w:color="auto"/>
              <w:bottom w:val="single" w:sz="4" w:space="0" w:color="auto"/>
              <w:right w:val="single" w:sz="4" w:space="0" w:color="auto"/>
            </w:tcBorders>
          </w:tcPr>
          <w:p w:rsidR="00A4636B" w:rsidRDefault="00A4636B"/>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14</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A4636B" w:rsidRDefault="00324B9E">
            <w:r>
              <w:t>12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94172B">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sidP="00184CEC">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10</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3.1.</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muzikiniai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8</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3.2.</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choreografiniai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3.3.</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teatriniai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3.4.</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etniniai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3.5.</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tautodailės</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r w:rsidR="00A4636B" w:rsidTr="00A4636B">
        <w:tc>
          <w:tcPr>
            <w:tcW w:w="755" w:type="dxa"/>
            <w:tcBorders>
              <w:top w:val="single" w:sz="4" w:space="0" w:color="auto"/>
              <w:left w:val="single" w:sz="4" w:space="0" w:color="auto"/>
              <w:bottom w:val="single" w:sz="4" w:space="0" w:color="auto"/>
              <w:right w:val="single" w:sz="4" w:space="0" w:color="auto"/>
            </w:tcBorders>
            <w:hideMark/>
          </w:tcPr>
          <w:p w:rsidR="00A4636B" w:rsidRDefault="00A4636B">
            <w:r>
              <w:t>3.6.</w:t>
            </w:r>
          </w:p>
        </w:tc>
        <w:tc>
          <w:tcPr>
            <w:tcW w:w="7429" w:type="dxa"/>
            <w:tcBorders>
              <w:top w:val="single" w:sz="4" w:space="0" w:color="auto"/>
              <w:left w:val="single" w:sz="4" w:space="0" w:color="auto"/>
              <w:bottom w:val="single" w:sz="4" w:space="0" w:color="auto"/>
              <w:right w:val="single" w:sz="4" w:space="0" w:color="auto"/>
            </w:tcBorders>
            <w:hideMark/>
          </w:tcPr>
          <w:p w:rsidR="00A4636B" w:rsidRDefault="00A4636B">
            <w:r>
              <w:t>amatai</w:t>
            </w:r>
          </w:p>
        </w:tc>
        <w:tc>
          <w:tcPr>
            <w:tcW w:w="1275" w:type="dxa"/>
            <w:tcBorders>
              <w:top w:val="single" w:sz="4" w:space="0" w:color="auto"/>
              <w:left w:val="single" w:sz="4" w:space="0" w:color="auto"/>
              <w:bottom w:val="single" w:sz="4" w:space="0" w:color="auto"/>
              <w:right w:val="single" w:sz="4" w:space="0" w:color="auto"/>
            </w:tcBorders>
          </w:tcPr>
          <w:p w:rsidR="00A4636B" w:rsidRDefault="00A229F7">
            <w:r>
              <w:t>-</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 FINANSAVIMO ŠALTINIAI</w:t>
      </w:r>
    </w:p>
    <w:p w:rsidR="00A4636B" w:rsidRPr="00184CEC" w:rsidRDefault="00A4636B" w:rsidP="00A4636B">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Eil. Nr.</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4636B">
            <w:r>
              <w:t>Gautos lėšos Eur</w:t>
            </w:r>
          </w:p>
        </w:tc>
      </w:tr>
      <w:tr w:rsidR="00A4636B" w:rsidTr="00A4636B">
        <w:tc>
          <w:tcPr>
            <w:tcW w:w="567" w:type="dxa"/>
            <w:tcBorders>
              <w:top w:val="single" w:sz="4" w:space="0" w:color="auto"/>
              <w:left w:val="single" w:sz="4" w:space="0" w:color="auto"/>
              <w:bottom w:val="single" w:sz="4" w:space="0" w:color="auto"/>
              <w:right w:val="single" w:sz="4" w:space="0" w:color="auto"/>
            </w:tcBorders>
          </w:tcPr>
          <w:p w:rsidR="00A4636B" w:rsidRDefault="00A4636B"/>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A4636B" w:rsidRPr="00BC7E6A" w:rsidRDefault="00BC7E6A">
            <w:pPr>
              <w:rPr>
                <w:b/>
              </w:rPr>
            </w:pPr>
            <w:r w:rsidRPr="00BC7E6A">
              <w:rPr>
                <w:b/>
              </w:rPr>
              <w:t>184</w:t>
            </w:r>
            <w:r w:rsidR="00184CEC">
              <w:rPr>
                <w:b/>
              </w:rPr>
              <w:t xml:space="preserve"> </w:t>
            </w:r>
            <w:r w:rsidRPr="00BC7E6A">
              <w:rPr>
                <w:b/>
              </w:rPr>
              <w:t>268,27</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A4636B" w:rsidRPr="00BC7E6A" w:rsidRDefault="00BC7E6A">
            <w:pPr>
              <w:rPr>
                <w:b/>
              </w:rPr>
            </w:pPr>
            <w:r w:rsidRPr="00BC7E6A">
              <w:rPr>
                <w:b/>
              </w:rPr>
              <w:t>175</w:t>
            </w:r>
            <w:r w:rsidR="00184CEC">
              <w:rPr>
                <w:b/>
              </w:rPr>
              <w:t xml:space="preserve"> </w:t>
            </w:r>
            <w:r w:rsidRPr="00BC7E6A">
              <w:rPr>
                <w:b/>
              </w:rPr>
              <w:t>012,25</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79</w:t>
            </w:r>
            <w:r w:rsidR="00184CEC">
              <w:t xml:space="preserve"> </w:t>
            </w:r>
            <w:r>
              <w:t>680,35</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20</w:t>
            </w:r>
            <w:r w:rsidR="00184CEC">
              <w:t xml:space="preserve"> </w:t>
            </w:r>
            <w:r>
              <w:t>000,00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lėšos veiklai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71</w:t>
            </w:r>
            <w:r w:rsidR="00184CEC">
              <w:t xml:space="preserve"> </w:t>
            </w:r>
            <w:r>
              <w:t>946,57</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1.5.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išlaidos transportui</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3</w:t>
            </w:r>
            <w:r w:rsidR="00184CEC">
              <w:t xml:space="preserve"> </w:t>
            </w:r>
            <w:r>
              <w:t>385,33</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9</w:t>
            </w:r>
            <w:r w:rsidR="00184CEC">
              <w:t xml:space="preserve"> </w:t>
            </w:r>
            <w:r>
              <w:t>256,02</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2.1.</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A4636B" w:rsidRDefault="00A229F7">
            <w:r>
              <w:t>-</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2.2.</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6</w:t>
            </w:r>
            <w:r w:rsidR="00184CEC">
              <w:t xml:space="preserve"> </w:t>
            </w:r>
            <w:r>
              <w:t>263,00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2.3.</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rėmėjų lėšos</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300,00</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2.4.</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2 % parama</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123,02</w:t>
            </w:r>
          </w:p>
        </w:tc>
      </w:tr>
      <w:tr w:rsidR="00A4636B" w:rsidTr="00A4636B">
        <w:tc>
          <w:tcPr>
            <w:tcW w:w="567" w:type="dxa"/>
            <w:tcBorders>
              <w:top w:val="single" w:sz="4" w:space="0" w:color="auto"/>
              <w:left w:val="single" w:sz="4" w:space="0" w:color="auto"/>
              <w:bottom w:val="single" w:sz="4" w:space="0" w:color="auto"/>
              <w:right w:val="single" w:sz="4" w:space="0" w:color="auto"/>
            </w:tcBorders>
            <w:hideMark/>
          </w:tcPr>
          <w:p w:rsidR="00A4636B" w:rsidRDefault="00A4636B">
            <w:r>
              <w:t>2.5.</w:t>
            </w:r>
          </w:p>
        </w:tc>
        <w:tc>
          <w:tcPr>
            <w:tcW w:w="7703" w:type="dxa"/>
            <w:tcBorders>
              <w:top w:val="single" w:sz="4" w:space="0" w:color="auto"/>
              <w:left w:val="single" w:sz="4" w:space="0" w:color="auto"/>
              <w:bottom w:val="single" w:sz="4" w:space="0" w:color="auto"/>
              <w:right w:val="single" w:sz="4" w:space="0" w:color="auto"/>
            </w:tcBorders>
            <w:hideMark/>
          </w:tcPr>
          <w:p w:rsidR="00A4636B" w:rsidRDefault="00A4636B">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A4636B" w:rsidRDefault="00BC7E6A">
            <w:r>
              <w:t>2</w:t>
            </w:r>
            <w:r w:rsidR="00184CEC">
              <w:t xml:space="preserve"> </w:t>
            </w:r>
            <w:r>
              <w:t>570,00</w:t>
            </w:r>
          </w:p>
        </w:tc>
      </w:tr>
    </w:tbl>
    <w:p w:rsidR="00A4636B" w:rsidRPr="00184CEC" w:rsidRDefault="00A4636B" w:rsidP="00A4636B">
      <w:pPr>
        <w:jc w:val="both"/>
        <w:rPr>
          <w:sz w:val="24"/>
          <w:szCs w:val="24"/>
        </w:rPr>
      </w:pPr>
    </w:p>
    <w:p w:rsidR="00A4636B" w:rsidRDefault="00A4636B" w:rsidP="00A4636B">
      <w:pPr>
        <w:jc w:val="center"/>
        <w:rPr>
          <w:b/>
          <w:sz w:val="24"/>
          <w:szCs w:val="24"/>
        </w:rPr>
      </w:pPr>
      <w:r>
        <w:rPr>
          <w:b/>
          <w:sz w:val="24"/>
          <w:szCs w:val="24"/>
        </w:rPr>
        <w:t>VII. MATERIALINIAI IR TECHNINIAI IŠTEKLIAI</w:t>
      </w:r>
    </w:p>
    <w:p w:rsidR="00A4636B" w:rsidRDefault="00A4636B" w:rsidP="00A4636B">
      <w:pPr>
        <w:ind w:firstLine="720"/>
        <w:rPr>
          <w:sz w:val="24"/>
          <w:szCs w:val="24"/>
        </w:rPr>
      </w:pPr>
    </w:p>
    <w:p w:rsidR="00A4636B" w:rsidRDefault="00A4636B" w:rsidP="00A4636B">
      <w:pPr>
        <w:ind w:firstLine="720"/>
        <w:rPr>
          <w:sz w:val="24"/>
          <w:szCs w:val="24"/>
        </w:rPr>
      </w:pPr>
      <w:r>
        <w:rPr>
          <w:sz w:val="24"/>
          <w:szCs w:val="24"/>
        </w:rPr>
        <w:t xml:space="preserve">7.1. Atlikti įstaigos remonto darbai. Jų vertė </w:t>
      </w:r>
      <w:r w:rsidR="00BC7E6A">
        <w:rPr>
          <w:sz w:val="24"/>
          <w:szCs w:val="24"/>
        </w:rPr>
        <w:t>19</w:t>
      </w:r>
      <w:r w:rsidR="00324B9E">
        <w:rPr>
          <w:sz w:val="24"/>
          <w:szCs w:val="24"/>
        </w:rPr>
        <w:t xml:space="preserve"> </w:t>
      </w:r>
      <w:r w:rsidR="00BC7E6A">
        <w:rPr>
          <w:sz w:val="24"/>
          <w:szCs w:val="24"/>
        </w:rPr>
        <w:t xml:space="preserve">622,310 </w:t>
      </w:r>
      <w:r>
        <w:rPr>
          <w:sz w:val="24"/>
          <w:szCs w:val="24"/>
        </w:rPr>
        <w:t>Eur.</w:t>
      </w:r>
    </w:p>
    <w:p w:rsidR="00A4636B" w:rsidRDefault="00A4636B" w:rsidP="00A4636B">
      <w:pPr>
        <w:ind w:firstLine="720"/>
        <w:rPr>
          <w:sz w:val="24"/>
          <w:szCs w:val="24"/>
        </w:rPr>
      </w:pPr>
      <w:r>
        <w:rPr>
          <w:sz w:val="24"/>
          <w:szCs w:val="24"/>
        </w:rPr>
        <w:t xml:space="preserve">7.2. </w:t>
      </w:r>
      <w:r w:rsidR="00184CEC">
        <w:rPr>
          <w:sz w:val="24"/>
          <w:szCs w:val="24"/>
        </w:rPr>
        <w:t>T</w:t>
      </w:r>
      <w:r w:rsidR="00184CEC">
        <w:rPr>
          <w:sz w:val="24"/>
          <w:szCs w:val="24"/>
        </w:rPr>
        <w:t>echniniai ištekliai</w:t>
      </w:r>
      <w:r w:rsidR="00184CEC">
        <w:rPr>
          <w:sz w:val="24"/>
          <w:szCs w:val="24"/>
        </w:rPr>
        <w:t xml:space="preserve"> neatnaujinti.</w:t>
      </w:r>
    </w:p>
    <w:p w:rsidR="00A4636B" w:rsidRDefault="00A4636B" w:rsidP="00A4636B">
      <w:pPr>
        <w:ind w:firstLine="720"/>
        <w:rPr>
          <w:sz w:val="24"/>
          <w:szCs w:val="24"/>
        </w:rPr>
      </w:pPr>
      <w:r>
        <w:rPr>
          <w:sz w:val="24"/>
          <w:szCs w:val="24"/>
        </w:rPr>
        <w:t xml:space="preserve">7.3. Įsigyti koncertiniai drabužiai (sceniniai, tautiniai kostiumai, jų dalys) </w:t>
      </w:r>
      <w:r w:rsidR="00BC7E6A">
        <w:rPr>
          <w:sz w:val="24"/>
          <w:szCs w:val="24"/>
        </w:rPr>
        <w:t xml:space="preserve">40 </w:t>
      </w:r>
      <w:r>
        <w:rPr>
          <w:sz w:val="24"/>
          <w:szCs w:val="24"/>
        </w:rPr>
        <w:t xml:space="preserve">(vnt.). Jų vertė </w:t>
      </w:r>
      <w:r w:rsidR="00BC7E6A">
        <w:rPr>
          <w:sz w:val="24"/>
          <w:szCs w:val="24"/>
        </w:rPr>
        <w:t>2</w:t>
      </w:r>
      <w:r w:rsidR="00324B9E">
        <w:rPr>
          <w:sz w:val="24"/>
          <w:szCs w:val="24"/>
        </w:rPr>
        <w:t xml:space="preserve"> </w:t>
      </w:r>
      <w:r w:rsidR="00BC7E6A">
        <w:rPr>
          <w:sz w:val="24"/>
          <w:szCs w:val="24"/>
        </w:rPr>
        <w:t xml:space="preserve">164,29 </w:t>
      </w:r>
      <w:r>
        <w:rPr>
          <w:sz w:val="24"/>
          <w:szCs w:val="24"/>
        </w:rPr>
        <w:t xml:space="preserve">Eur. </w:t>
      </w:r>
    </w:p>
    <w:p w:rsidR="00A4636B" w:rsidRPr="00184CEC" w:rsidRDefault="00A4636B" w:rsidP="00184CEC">
      <w:pPr>
        <w:ind w:firstLine="720"/>
        <w:rPr>
          <w:sz w:val="24"/>
          <w:szCs w:val="24"/>
        </w:rPr>
      </w:pPr>
      <w:r>
        <w:rPr>
          <w:sz w:val="24"/>
          <w:szCs w:val="24"/>
        </w:rPr>
        <w:t xml:space="preserve">7.4. </w:t>
      </w:r>
      <w:r w:rsidR="00184CEC">
        <w:rPr>
          <w:sz w:val="24"/>
          <w:szCs w:val="24"/>
        </w:rPr>
        <w:t>Instrumentų neįsigyta.</w:t>
      </w:r>
      <w:bookmarkStart w:id="0" w:name="_GoBack"/>
      <w:bookmarkEnd w:id="0"/>
    </w:p>
    <w:p w:rsidR="00324B9E" w:rsidRPr="00324B9E" w:rsidRDefault="00324B9E" w:rsidP="00324B9E">
      <w:pPr>
        <w:pStyle w:val="Standard"/>
        <w:tabs>
          <w:tab w:val="left" w:pos="1338"/>
        </w:tabs>
        <w:jc w:val="both"/>
        <w:rPr>
          <w:lang w:val="lt-LT"/>
        </w:rPr>
      </w:pPr>
      <w:r w:rsidRPr="00324B9E">
        <w:rPr>
          <w:lang w:val="lt-LT"/>
        </w:rPr>
        <w:t xml:space="preserve">            Patvirtinu, kad pateikta informacija yra tiksli ir teisinga.</w:t>
      </w:r>
    </w:p>
    <w:p w:rsidR="00324B9E" w:rsidRPr="00324B9E" w:rsidRDefault="00324B9E" w:rsidP="00324B9E">
      <w:pPr>
        <w:pStyle w:val="Standard"/>
        <w:tabs>
          <w:tab w:val="left" w:pos="1338"/>
        </w:tabs>
        <w:jc w:val="both"/>
        <w:rPr>
          <w:lang w:val="lt-LT"/>
        </w:rPr>
      </w:pPr>
    </w:p>
    <w:p w:rsidR="00324B9E" w:rsidRPr="00324B9E" w:rsidRDefault="00324B9E" w:rsidP="00324B9E">
      <w:pPr>
        <w:pStyle w:val="Standard"/>
        <w:tabs>
          <w:tab w:val="left" w:pos="1338"/>
        </w:tabs>
        <w:jc w:val="both"/>
        <w:rPr>
          <w:szCs w:val="20"/>
          <w:lang w:val="lt-LT"/>
        </w:rPr>
      </w:pPr>
      <w:r>
        <w:rPr>
          <w:lang w:val="lt-LT"/>
        </w:rPr>
        <w:t>Direktorė</w:t>
      </w:r>
      <w:r>
        <w:rPr>
          <w:lang w:val="lt-LT"/>
        </w:rPr>
        <w:tab/>
      </w:r>
      <w:r>
        <w:rPr>
          <w:lang w:val="lt-LT"/>
        </w:rPr>
        <w:tab/>
      </w:r>
      <w:r>
        <w:rPr>
          <w:lang w:val="lt-LT"/>
        </w:rPr>
        <w:tab/>
      </w:r>
      <w:r>
        <w:rPr>
          <w:lang w:val="lt-LT"/>
        </w:rPr>
        <w:tab/>
      </w:r>
      <w:r>
        <w:rPr>
          <w:lang w:val="lt-LT"/>
        </w:rPr>
        <w:tab/>
      </w:r>
      <w:r>
        <w:rPr>
          <w:lang w:val="lt-LT"/>
        </w:rPr>
        <w:tab/>
      </w:r>
      <w:proofErr w:type="spellStart"/>
      <w:r>
        <w:rPr>
          <w:lang w:val="lt-LT"/>
        </w:rPr>
        <w:t>Vigyta</w:t>
      </w:r>
      <w:proofErr w:type="spellEnd"/>
      <w:r>
        <w:rPr>
          <w:lang w:val="lt-LT"/>
        </w:rPr>
        <w:t xml:space="preserve"> </w:t>
      </w:r>
      <w:proofErr w:type="spellStart"/>
      <w:r>
        <w:rPr>
          <w:lang w:val="lt-LT"/>
        </w:rPr>
        <w:t>Dumbrienė</w:t>
      </w:r>
      <w:proofErr w:type="spellEnd"/>
    </w:p>
    <w:p w:rsidR="00324B9E" w:rsidRPr="005F1BF6" w:rsidRDefault="00324B9E" w:rsidP="00324B9E">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324B9E" w:rsidRPr="005F1BF6" w:rsidRDefault="00324B9E" w:rsidP="00324B9E">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Kultūros centro</w:t>
      </w:r>
      <w:r w:rsidRPr="005F1BF6">
        <w:rPr>
          <w:rFonts w:eastAsia="SimSun" w:cs="Mangal"/>
          <w:sz w:val="24"/>
          <w:szCs w:val="24"/>
          <w:lang w:eastAsia="x-none" w:bidi="hi-IN"/>
        </w:rPr>
        <w:t xml:space="preserve"> tarybos</w:t>
      </w:r>
    </w:p>
    <w:p w:rsidR="00324B9E" w:rsidRPr="006A2BCF" w:rsidRDefault="00324B9E" w:rsidP="00324B9E">
      <w:pPr>
        <w:keepLines/>
        <w:widowControl w:val="0"/>
        <w:tabs>
          <w:tab w:val="left" w:pos="1134"/>
        </w:tabs>
        <w:rPr>
          <w:rFonts w:eastAsia="SimSun" w:cs="Mangal"/>
          <w:sz w:val="24"/>
          <w:szCs w:val="24"/>
          <w:lang w:eastAsia="x-none" w:bidi="hi-IN"/>
        </w:rPr>
      </w:pPr>
      <w:r w:rsidRPr="00B71972">
        <w:rPr>
          <w:rFonts w:eastAsia="SimSun" w:cs="Mangal"/>
          <w:sz w:val="24"/>
          <w:szCs w:val="24"/>
          <w:lang w:eastAsia="x-none" w:bidi="hi-IN"/>
        </w:rPr>
        <w:t xml:space="preserve">2019 m. </w:t>
      </w:r>
      <w:r>
        <w:rPr>
          <w:rFonts w:eastAsia="SimSun" w:cs="Mangal"/>
          <w:sz w:val="24"/>
          <w:szCs w:val="24"/>
          <w:lang w:eastAsia="x-none" w:bidi="hi-IN"/>
        </w:rPr>
        <w:t>b</w:t>
      </w:r>
      <w:r w:rsidRPr="00B71972">
        <w:rPr>
          <w:rFonts w:eastAsia="SimSun" w:cs="Mangal"/>
          <w:sz w:val="24"/>
          <w:szCs w:val="24"/>
          <w:lang w:eastAsia="x-none" w:bidi="hi-IN"/>
        </w:rPr>
        <w:t>alandžio 1</w:t>
      </w:r>
      <w:r w:rsidR="00184CEC">
        <w:rPr>
          <w:rFonts w:eastAsia="SimSun" w:cs="Mangal"/>
          <w:sz w:val="24"/>
          <w:szCs w:val="24"/>
          <w:lang w:eastAsia="x-none" w:bidi="hi-IN"/>
        </w:rPr>
        <w:t>6</w:t>
      </w:r>
      <w:r w:rsidRPr="00B71972">
        <w:rPr>
          <w:rFonts w:eastAsia="SimSun" w:cs="Mangal"/>
          <w:sz w:val="24"/>
          <w:szCs w:val="24"/>
          <w:lang w:eastAsia="x-none" w:bidi="hi-IN"/>
        </w:rPr>
        <w:t xml:space="preserve"> d. posėdžio protokolas Nr. </w:t>
      </w:r>
      <w:r w:rsidR="00184CEC">
        <w:rPr>
          <w:rFonts w:eastAsia="SimSun" w:cs="Mangal"/>
          <w:sz w:val="24"/>
          <w:szCs w:val="24"/>
          <w:lang w:eastAsia="x-none" w:bidi="hi-IN"/>
        </w:rPr>
        <w:t>2019-</w:t>
      </w:r>
      <w:r w:rsidRPr="006A2BCF">
        <w:rPr>
          <w:rFonts w:eastAsia="SimSun" w:cs="Mangal"/>
          <w:sz w:val="24"/>
          <w:szCs w:val="24"/>
          <w:lang w:eastAsia="x-none" w:bidi="hi-IN"/>
        </w:rPr>
        <w:t>1</w:t>
      </w:r>
    </w:p>
    <w:p w:rsidR="00324B9E" w:rsidRPr="006A2BCF" w:rsidRDefault="00324B9E" w:rsidP="00324B9E">
      <w:pPr>
        <w:keepLines/>
        <w:widowControl w:val="0"/>
        <w:rPr>
          <w:rFonts w:eastAsia="SimSun" w:cs="Mangal"/>
          <w:sz w:val="24"/>
          <w:szCs w:val="24"/>
          <w:lang w:eastAsia="hi-IN" w:bidi="hi-IN"/>
        </w:rPr>
      </w:pPr>
    </w:p>
    <w:p w:rsidR="00324B9E" w:rsidRPr="005F1BF6" w:rsidRDefault="00324B9E" w:rsidP="00324B9E">
      <w:pPr>
        <w:keepLines/>
        <w:autoSpaceDN w:val="0"/>
        <w:rPr>
          <w:kern w:val="3"/>
          <w:sz w:val="24"/>
          <w:szCs w:val="24"/>
          <w:lang w:eastAsia="zh-CN"/>
        </w:rPr>
      </w:pPr>
      <w:r w:rsidRPr="005F1BF6">
        <w:rPr>
          <w:kern w:val="3"/>
          <w:sz w:val="24"/>
          <w:szCs w:val="24"/>
          <w:lang w:eastAsia="zh-CN"/>
        </w:rPr>
        <w:t>SUDERINTA</w:t>
      </w:r>
    </w:p>
    <w:p w:rsidR="00324B9E" w:rsidRPr="005F1BF6" w:rsidRDefault="00324B9E" w:rsidP="00324B9E">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324B9E" w:rsidRPr="005F1BF6" w:rsidRDefault="00324B9E" w:rsidP="00324B9E">
      <w:pPr>
        <w:keepLines/>
        <w:autoSpaceDN w:val="0"/>
        <w:rPr>
          <w:kern w:val="3"/>
          <w:sz w:val="24"/>
          <w:szCs w:val="24"/>
          <w:lang w:eastAsia="zh-CN"/>
        </w:rPr>
      </w:pPr>
      <w:r w:rsidRPr="005F1BF6">
        <w:rPr>
          <w:kern w:val="3"/>
          <w:sz w:val="24"/>
          <w:szCs w:val="24"/>
          <w:lang w:eastAsia="zh-CN"/>
        </w:rPr>
        <w:t>Švietimo, kultūros ir sporto skyriaus vedėjas</w:t>
      </w:r>
    </w:p>
    <w:p w:rsidR="00324B9E" w:rsidRPr="00E2454F" w:rsidRDefault="00324B9E" w:rsidP="00324B9E">
      <w:pPr>
        <w:keepLines/>
        <w:autoSpaceDN w:val="0"/>
        <w:rPr>
          <w:kern w:val="3"/>
          <w:sz w:val="24"/>
          <w:szCs w:val="24"/>
          <w:lang w:eastAsia="zh-CN"/>
        </w:rPr>
      </w:pPr>
      <w:r w:rsidRPr="005F1BF6">
        <w:rPr>
          <w:kern w:val="3"/>
          <w:sz w:val="24"/>
          <w:szCs w:val="24"/>
          <w:lang w:eastAsia="zh-CN"/>
        </w:rPr>
        <w:t>Algirdas Kęstutis Rimkus</w:t>
      </w:r>
    </w:p>
    <w:sectPr w:rsidR="00324B9E" w:rsidRPr="00E2454F" w:rsidSect="00184CEC">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1D9" w:rsidRDefault="003431D9" w:rsidP="00184CEC">
      <w:r>
        <w:separator/>
      </w:r>
    </w:p>
  </w:endnote>
  <w:endnote w:type="continuationSeparator" w:id="0">
    <w:p w:rsidR="003431D9" w:rsidRDefault="003431D9" w:rsidP="0018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1D9" w:rsidRDefault="003431D9" w:rsidP="00184CEC">
      <w:r>
        <w:separator/>
      </w:r>
    </w:p>
  </w:footnote>
  <w:footnote w:type="continuationSeparator" w:id="0">
    <w:p w:rsidR="003431D9" w:rsidRDefault="003431D9" w:rsidP="00184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142234"/>
      <w:docPartObj>
        <w:docPartGallery w:val="Page Numbers (Top of Page)"/>
        <w:docPartUnique/>
      </w:docPartObj>
    </w:sdtPr>
    <w:sdtContent>
      <w:p w:rsidR="00184CEC" w:rsidRDefault="00184CEC">
        <w:pPr>
          <w:pStyle w:val="Antrats"/>
          <w:jc w:val="center"/>
        </w:pPr>
        <w:r>
          <w:fldChar w:fldCharType="begin"/>
        </w:r>
        <w:r>
          <w:instrText>PAGE   \* MERGEFORMAT</w:instrText>
        </w:r>
        <w:r>
          <w:fldChar w:fldCharType="separate"/>
        </w:r>
        <w:r>
          <w:rPr>
            <w:noProof/>
          </w:rPr>
          <w:t>3</w:t>
        </w:r>
        <w:r>
          <w:fldChar w:fldCharType="end"/>
        </w:r>
      </w:p>
    </w:sdtContent>
  </w:sdt>
  <w:p w:rsidR="00184CEC" w:rsidRDefault="00184C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6B"/>
    <w:rsid w:val="00184CEC"/>
    <w:rsid w:val="002A5929"/>
    <w:rsid w:val="00324B9E"/>
    <w:rsid w:val="003431D9"/>
    <w:rsid w:val="004033F0"/>
    <w:rsid w:val="00416C41"/>
    <w:rsid w:val="004F549A"/>
    <w:rsid w:val="00577940"/>
    <w:rsid w:val="005B5356"/>
    <w:rsid w:val="008C06C8"/>
    <w:rsid w:val="0094172B"/>
    <w:rsid w:val="00A068AC"/>
    <w:rsid w:val="00A229F7"/>
    <w:rsid w:val="00A4636B"/>
    <w:rsid w:val="00B024A1"/>
    <w:rsid w:val="00B80D9F"/>
    <w:rsid w:val="00BC7E6A"/>
    <w:rsid w:val="00D15D60"/>
    <w:rsid w:val="00FC6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FC540-143B-4A09-94FE-7FFEAB52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36B"/>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636B"/>
    <w:pPr>
      <w:tabs>
        <w:tab w:val="center" w:pos="4153"/>
        <w:tab w:val="right" w:pos="8306"/>
      </w:tabs>
    </w:pPr>
  </w:style>
  <w:style w:type="character" w:customStyle="1" w:styleId="AntratsDiagrama">
    <w:name w:val="Antraštės Diagrama"/>
    <w:basedOn w:val="Numatytasispastraiposriftas"/>
    <w:link w:val="Antrats"/>
    <w:uiPriority w:val="99"/>
    <w:rsid w:val="00A4636B"/>
    <w:rPr>
      <w:rFonts w:ascii="Times New Roman" w:eastAsia="Times New Roman" w:hAnsi="Times New Roman" w:cs="Times New Roman"/>
      <w:sz w:val="20"/>
      <w:szCs w:val="20"/>
      <w:lang w:eastAsia="ar-SA"/>
    </w:rPr>
  </w:style>
  <w:style w:type="paragraph" w:customStyle="1" w:styleId="Standard">
    <w:name w:val="Standard"/>
    <w:rsid w:val="00A4636B"/>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paragraph" w:customStyle="1" w:styleId="Betarp1">
    <w:name w:val="Be tarpų1"/>
    <w:rsid w:val="00A4636B"/>
    <w:pPr>
      <w:widowControl w:val="0"/>
      <w:suppressAutoHyphens/>
      <w:spacing w:after="0" w:line="240" w:lineRule="auto"/>
    </w:pPr>
    <w:rPr>
      <w:rFonts w:ascii="Calibri" w:eastAsia="SimSun" w:hAnsi="Calibri" w:cs="Tahoma"/>
      <w:kern w:val="2"/>
      <w:lang w:eastAsia="hi-IN" w:bidi="hi-IN"/>
    </w:rPr>
  </w:style>
  <w:style w:type="character" w:customStyle="1" w:styleId="Numatytasispastraiposriftas1">
    <w:name w:val="Numatytasis pastraipos šriftas1"/>
    <w:rsid w:val="00A4636B"/>
  </w:style>
  <w:style w:type="paragraph" w:styleId="Sraopastraipa">
    <w:name w:val="List Paragraph"/>
    <w:basedOn w:val="prastasis"/>
    <w:uiPriority w:val="34"/>
    <w:qFormat/>
    <w:rsid w:val="00D15D60"/>
    <w:pPr>
      <w:ind w:left="720"/>
      <w:contextualSpacing/>
    </w:pPr>
  </w:style>
  <w:style w:type="paragraph" w:styleId="Porat">
    <w:name w:val="footer"/>
    <w:basedOn w:val="prastasis"/>
    <w:link w:val="PoratDiagrama"/>
    <w:uiPriority w:val="99"/>
    <w:unhideWhenUsed/>
    <w:rsid w:val="00184CEC"/>
    <w:pPr>
      <w:tabs>
        <w:tab w:val="center" w:pos="4819"/>
        <w:tab w:val="right" w:pos="9638"/>
      </w:tabs>
    </w:pPr>
  </w:style>
  <w:style w:type="character" w:customStyle="1" w:styleId="PoratDiagrama">
    <w:name w:val="Poraštė Diagrama"/>
    <w:basedOn w:val="Numatytasispastraiposriftas"/>
    <w:link w:val="Porat"/>
    <w:uiPriority w:val="99"/>
    <w:rsid w:val="00184CE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4142</Words>
  <Characters>2361</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Birute Goberiene</cp:lastModifiedBy>
  <cp:revision>3</cp:revision>
  <dcterms:created xsi:type="dcterms:W3CDTF">2019-05-13T05:09:00Z</dcterms:created>
  <dcterms:modified xsi:type="dcterms:W3CDTF">2019-05-13T07:57:00Z</dcterms:modified>
</cp:coreProperties>
</file>