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C6" w:rsidRDefault="001860C6" w:rsidP="00E65215">
      <w:pPr>
        <w:shd w:val="clear" w:color="auto" w:fill="FFFFFF"/>
        <w:ind w:left="9082"/>
      </w:pPr>
      <w:bookmarkStart w:id="0" w:name="_GoBack"/>
      <w:bookmarkEnd w:id="0"/>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601636">
        <w:rPr>
          <w:b/>
          <w:bCs/>
          <w:spacing w:val="-2"/>
          <w:sz w:val="24"/>
          <w:szCs w:val="24"/>
        </w:rPr>
        <w:t>2</w:t>
      </w:r>
      <w:r w:rsidR="00134530">
        <w:rPr>
          <w:b/>
          <w:bCs/>
          <w:spacing w:val="-2"/>
          <w:sz w:val="24"/>
          <w:szCs w:val="24"/>
        </w:rPr>
        <w:t>7</w:t>
      </w:r>
    </w:p>
    <w:p w:rsidR="00601636" w:rsidRDefault="00601636" w:rsidP="00E65215">
      <w:pPr>
        <w:shd w:val="clear" w:color="auto" w:fill="FFFFFF"/>
        <w:ind w:left="3418" w:right="3418"/>
        <w:jc w:val="center"/>
      </w:pPr>
    </w:p>
    <w:p w:rsidR="00F32BF6" w:rsidRDefault="001860C6" w:rsidP="00E65215">
      <w:pPr>
        <w:shd w:val="clear" w:color="auto" w:fill="FFFFFF"/>
        <w:ind w:left="14"/>
        <w:rPr>
          <w:spacing w:val="-1"/>
          <w:sz w:val="24"/>
          <w:szCs w:val="24"/>
        </w:rPr>
      </w:pPr>
      <w:r>
        <w:rPr>
          <w:spacing w:val="-1"/>
          <w:sz w:val="24"/>
          <w:szCs w:val="24"/>
        </w:rPr>
        <w:t xml:space="preserve">Teisės akto projekto pavadinimas: </w:t>
      </w:r>
      <w:r w:rsidR="00F32BF6" w:rsidRPr="00F32BF6">
        <w:rPr>
          <w:b/>
          <w:spacing w:val="-1"/>
          <w:sz w:val="24"/>
          <w:szCs w:val="24"/>
        </w:rPr>
        <w:t xml:space="preserve">DĖL PANEVĖŽIO RAJONO SAVIVALDYBĖS NEFORMALIOJO VAIKŲ </w:t>
      </w:r>
      <w:r w:rsidR="00F32BF6">
        <w:rPr>
          <w:b/>
          <w:spacing w:val="-1"/>
          <w:sz w:val="24"/>
          <w:szCs w:val="24"/>
        </w:rPr>
        <w:t>Š</w:t>
      </w:r>
      <w:r w:rsidR="00F32BF6" w:rsidRPr="00F32BF6">
        <w:rPr>
          <w:b/>
          <w:spacing w:val="-1"/>
          <w:sz w:val="24"/>
          <w:szCs w:val="24"/>
        </w:rPr>
        <w:t>VIETIMO LĖŠŲ SKYRIMO IR PANAUDOJIMO TVARKOS APRAŠO PATVIRTINIMO</w:t>
      </w:r>
    </w:p>
    <w:p w:rsidR="001860C6" w:rsidRDefault="001860C6" w:rsidP="00E65215">
      <w:pPr>
        <w:shd w:val="clear" w:color="auto" w:fill="FFFFFF"/>
        <w:ind w:left="14"/>
      </w:pPr>
      <w:r>
        <w:rPr>
          <w:spacing w:val="-1"/>
          <w:sz w:val="24"/>
          <w:szCs w:val="24"/>
        </w:rPr>
        <w:t xml:space="preserve">Teisės akto projekto tiesioginis rengėjas: </w:t>
      </w:r>
      <w:r w:rsidR="00601636">
        <w:rPr>
          <w:spacing w:val="-1"/>
          <w:sz w:val="24"/>
          <w:szCs w:val="24"/>
        </w:rPr>
        <w:t xml:space="preserve">Panevėžio rajono savivaldybės administracijos </w:t>
      </w:r>
      <w:r w:rsidR="004A4467">
        <w:rPr>
          <w:spacing w:val="-1"/>
          <w:sz w:val="24"/>
          <w:szCs w:val="24"/>
        </w:rPr>
        <w:t>Š</w:t>
      </w:r>
      <w:r w:rsidR="00601636">
        <w:rPr>
          <w:spacing w:val="-1"/>
          <w:sz w:val="24"/>
          <w:szCs w:val="24"/>
        </w:rPr>
        <w:t xml:space="preserve">vietimo, kultūros ir sporto skyriaus vyr. specialistė </w:t>
      </w:r>
      <w:r w:rsidR="00F32BF6">
        <w:rPr>
          <w:spacing w:val="-1"/>
          <w:sz w:val="24"/>
          <w:szCs w:val="24"/>
        </w:rPr>
        <w:t>Sigita Jasiūnienė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5025" w:type="dxa"/>
        <w:tblInd w:w="40" w:type="dxa"/>
        <w:tblLayout w:type="fixed"/>
        <w:tblCellMar>
          <w:left w:w="40" w:type="dxa"/>
          <w:right w:w="40" w:type="dxa"/>
        </w:tblCellMar>
        <w:tblLook w:val="0000" w:firstRow="0" w:lastRow="0" w:firstColumn="0" w:lastColumn="0" w:noHBand="0" w:noVBand="0"/>
      </w:tblPr>
      <w:tblGrid>
        <w:gridCol w:w="589"/>
        <w:gridCol w:w="3532"/>
        <w:gridCol w:w="5389"/>
        <w:gridCol w:w="2705"/>
        <w:gridCol w:w="2810"/>
      </w:tblGrid>
      <w:tr w:rsidR="001860C6" w:rsidRPr="00502BBA" w:rsidTr="005B57E5">
        <w:trPr>
          <w:trHeight w:hRule="exact" w:val="1641"/>
        </w:trPr>
        <w:tc>
          <w:tcPr>
            <w:tcW w:w="58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53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38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7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8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B57E5">
        <w:trPr>
          <w:trHeight w:hRule="exact" w:val="671"/>
        </w:trPr>
        <w:tc>
          <w:tcPr>
            <w:tcW w:w="58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53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38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7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8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0D57BC">
        <w:trPr>
          <w:trHeight w:hRule="exact" w:val="2532"/>
        </w:trPr>
        <w:tc>
          <w:tcPr>
            <w:tcW w:w="58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B20B1">
            <w:pPr>
              <w:shd w:val="clear" w:color="auto" w:fill="FFFFFF"/>
              <w:ind w:left="192"/>
            </w:pPr>
            <w:r w:rsidRPr="00502BBA">
              <w:rPr>
                <w:sz w:val="22"/>
                <w:szCs w:val="22"/>
              </w:rPr>
              <w:t>1.</w:t>
            </w:r>
          </w:p>
        </w:tc>
        <w:tc>
          <w:tcPr>
            <w:tcW w:w="353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B20B1">
            <w:pPr>
              <w:shd w:val="clear" w:color="auto" w:fill="FFFFFF"/>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389" w:type="dxa"/>
            <w:tcBorders>
              <w:top w:val="single" w:sz="6" w:space="0" w:color="auto"/>
              <w:left w:val="single" w:sz="6" w:space="0" w:color="auto"/>
              <w:bottom w:val="single" w:sz="6" w:space="0" w:color="auto"/>
              <w:right w:val="single" w:sz="6" w:space="0" w:color="auto"/>
            </w:tcBorders>
            <w:shd w:val="clear" w:color="auto" w:fill="FFFFFF"/>
          </w:tcPr>
          <w:p w:rsidR="001860C6" w:rsidRPr="004B20B1" w:rsidRDefault="00F32BF6" w:rsidP="00F91C61">
            <w:pPr>
              <w:shd w:val="clear" w:color="auto" w:fill="FFFFFF"/>
              <w:jc w:val="both"/>
              <w:rPr>
                <w:spacing w:val="-1"/>
                <w:sz w:val="22"/>
                <w:szCs w:val="22"/>
              </w:rPr>
            </w:pPr>
            <w:r w:rsidRPr="004B20B1">
              <w:rPr>
                <w:sz w:val="22"/>
                <w:szCs w:val="22"/>
              </w:rPr>
              <w:t xml:space="preserve">Tarybos sprendimo projektas </w:t>
            </w:r>
            <w:r w:rsidR="00F91C61">
              <w:rPr>
                <w:sz w:val="22"/>
                <w:szCs w:val="22"/>
              </w:rPr>
              <w:t>–</w:t>
            </w:r>
            <w:r w:rsidRPr="004B20B1">
              <w:rPr>
                <w:sz w:val="22"/>
                <w:szCs w:val="22"/>
              </w:rPr>
              <w:t xml:space="preserve">Neformaliojo vaikų švietimo lėšų </w:t>
            </w:r>
            <w:r w:rsidR="00DE7A42" w:rsidRPr="004B20B1">
              <w:rPr>
                <w:sz w:val="22"/>
                <w:szCs w:val="22"/>
              </w:rPr>
              <w:t>skyrimo ir panaudojimo tvarkos aprašas parengtas vadovaujantis Lietuvos Respublikos švietimo ir mokslo ministro 2018-09-12 įsakymu Nr. V-758 patvirtintu Neformaliojo vaikų švietimo lėšų skyrimo ir panaudojimo tvarkos aprašu, todėl projekte nustatytos sąlygos ir kriterijai atitinka įsakymu patvirtinto aprašo nustatytas sąlygas ir kriterijus, nesudaro išskirtinių ar nevienodų sąlyg</w:t>
            </w:r>
            <w:r w:rsidR="005B57E5" w:rsidRPr="004B20B1">
              <w:rPr>
                <w:sz w:val="22"/>
                <w:szCs w:val="22"/>
              </w:rPr>
              <w:t>ų</w:t>
            </w:r>
            <w:r w:rsidR="00DE7A42" w:rsidRPr="004B20B1">
              <w:rPr>
                <w:sz w:val="22"/>
                <w:szCs w:val="22"/>
              </w:rPr>
              <w:t xml:space="preserve"> subjektams, </w:t>
            </w:r>
            <w:r w:rsidR="005B57E5" w:rsidRPr="004B20B1">
              <w:rPr>
                <w:sz w:val="22"/>
                <w:szCs w:val="22"/>
              </w:rPr>
              <w:t xml:space="preserve">su kuriais susijęs teisės akto įgyvendinimas. </w:t>
            </w:r>
          </w:p>
        </w:tc>
        <w:tc>
          <w:tcPr>
            <w:tcW w:w="27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B20B1">
            <w:pPr>
              <w:shd w:val="clear" w:color="auto" w:fill="FFFFFF"/>
            </w:pPr>
          </w:p>
        </w:tc>
        <w:tc>
          <w:tcPr>
            <w:tcW w:w="28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B20B1">
            <w:pPr>
              <w:shd w:val="clear" w:color="auto" w:fill="FFFFFF"/>
              <w:ind w:left="10" w:right="1435"/>
              <w:rPr>
                <w:sz w:val="22"/>
                <w:szCs w:val="22"/>
              </w:rPr>
            </w:pPr>
            <w:r>
              <w:rPr>
                <w:sz w:val="24"/>
                <w:szCs w:val="24"/>
              </w:rPr>
              <w:t>X</w:t>
            </w:r>
            <w:r w:rsidRPr="00502BBA">
              <w:rPr>
                <w:sz w:val="22"/>
                <w:szCs w:val="22"/>
              </w:rPr>
              <w:t xml:space="preserve"> tenkina </w:t>
            </w:r>
          </w:p>
          <w:p w:rsidR="001860C6" w:rsidRPr="00502BBA" w:rsidRDefault="001860C6" w:rsidP="00874E92">
            <w:pPr>
              <w:shd w:val="clear" w:color="auto" w:fill="FFFFFF"/>
              <w:ind w:left="10" w:right="1435"/>
            </w:pPr>
            <w:r w:rsidRPr="00502BBA">
              <w:rPr>
                <w:sz w:val="24"/>
                <w:szCs w:val="24"/>
              </w:rPr>
              <w:t>□</w:t>
            </w:r>
            <w:r w:rsidRPr="00502BBA">
              <w:rPr>
                <w:sz w:val="22"/>
                <w:szCs w:val="22"/>
              </w:rPr>
              <w:t xml:space="preserve"> netenkina</w:t>
            </w:r>
          </w:p>
        </w:tc>
      </w:tr>
    </w:tbl>
    <w:p w:rsidR="001860C6" w:rsidRDefault="00F97019" w:rsidP="004B20B1">
      <w:pPr>
        <w:shd w:val="clear" w:color="auto" w:fill="FFFFFF"/>
        <w:tabs>
          <w:tab w:val="left" w:pos="77"/>
        </w:tabs>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5B57E5">
        <w:t xml:space="preserve"> </w:t>
      </w:r>
      <w:r w:rsidR="001860C6">
        <w:t>kuriai valdyti teisės akto projekte nenumatyta priemonių.</w:t>
      </w:r>
    </w:p>
    <w:p w:rsidR="000D57BC" w:rsidRDefault="001860C6" w:rsidP="000D57BC">
      <w:pPr>
        <w:shd w:val="clear" w:color="auto" w:fill="FFFFFF"/>
        <w:tabs>
          <w:tab w:val="left" w:pos="77"/>
        </w:tabs>
        <w:ind w:left="5"/>
        <w:rPr>
          <w:spacing w:val="-2"/>
        </w:rPr>
      </w:pPr>
      <w:r>
        <w:rPr>
          <w:vertAlign w:val="superscript"/>
        </w:rPr>
        <w:t>2</w:t>
      </w:r>
      <w:r>
        <w:tab/>
      </w:r>
      <w:r w:rsidR="00F97019">
        <w:t xml:space="preserve">. </w:t>
      </w:r>
      <w:r>
        <w:rPr>
          <w:spacing w:val="-2"/>
        </w:rPr>
        <w:t>Tas pat.</w:t>
      </w:r>
    </w:p>
    <w:p w:rsidR="000D57BC" w:rsidRDefault="000D57BC"/>
    <w:p w:rsidR="000D57BC" w:rsidRDefault="000D57BC"/>
    <w:p w:rsidR="000D57BC" w:rsidRDefault="000D57BC">
      <w:r>
        <w:br w:type="page"/>
      </w:r>
    </w:p>
    <w:tbl>
      <w:tblPr>
        <w:tblpPr w:leftFromText="180" w:rightFromText="180" w:horzAnchor="margin" w:tblpX="-150" w:tblpY="-945"/>
        <w:tblW w:w="15160" w:type="dxa"/>
        <w:tblLayout w:type="fixed"/>
        <w:tblCellMar>
          <w:left w:w="40" w:type="dxa"/>
          <w:right w:w="40" w:type="dxa"/>
        </w:tblCellMar>
        <w:tblLook w:val="0000" w:firstRow="0" w:lastRow="0" w:firstColumn="0" w:lastColumn="0" w:noHBand="0" w:noVBand="0"/>
      </w:tblPr>
      <w:tblGrid>
        <w:gridCol w:w="715"/>
        <w:gridCol w:w="3530"/>
        <w:gridCol w:w="6662"/>
        <w:gridCol w:w="2551"/>
        <w:gridCol w:w="1702"/>
      </w:tblGrid>
      <w:tr w:rsidR="002F0A8E" w:rsidRPr="004B20B1" w:rsidTr="00CB6066">
        <w:trPr>
          <w:trHeight w:hRule="exact" w:val="185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9E54FE" w:rsidP="000D57BC">
            <w:pPr>
              <w:rPr>
                <w:sz w:val="22"/>
                <w:szCs w:val="22"/>
              </w:rPr>
            </w:pPr>
            <w:r w:rsidRPr="000D57BC">
              <w:rPr>
                <w:sz w:val="22"/>
                <w:szCs w:val="22"/>
              </w:rPr>
              <w:lastRenderedPageBreak/>
              <w:t>E</w:t>
            </w:r>
            <w:r w:rsidR="001860C6" w:rsidRPr="000D57BC">
              <w:rPr>
                <w:sz w:val="22"/>
                <w:szCs w:val="22"/>
              </w:rPr>
              <w:t>il.</w:t>
            </w:r>
          </w:p>
          <w:p w:rsidR="001860C6" w:rsidRPr="000D57BC" w:rsidRDefault="001860C6" w:rsidP="000D57BC">
            <w:pPr>
              <w:rPr>
                <w:sz w:val="22"/>
                <w:szCs w:val="22"/>
              </w:rPr>
            </w:pPr>
            <w:r w:rsidRPr="000D57BC">
              <w:rPr>
                <w:sz w:val="22"/>
                <w:szCs w:val="22"/>
              </w:rPr>
              <w:t>Nr.</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Kriterijus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Pagrindimas (nurodomos konkrečios</w:t>
            </w:r>
            <w:r w:rsidR="00F97019" w:rsidRPr="000D57BC">
              <w:rPr>
                <w:sz w:val="22"/>
                <w:szCs w:val="22"/>
              </w:rPr>
              <w:t xml:space="preserve"> </w:t>
            </w:r>
            <w:r w:rsidRPr="000D57BC">
              <w:rPr>
                <w:sz w:val="22"/>
                <w:szCs w:val="22"/>
              </w:rPr>
              <w:t>teisės akto projekto ar kitų teisės aktų</w:t>
            </w:r>
            <w:r w:rsidR="00F97019" w:rsidRPr="000D57BC">
              <w:rPr>
                <w:sz w:val="22"/>
                <w:szCs w:val="22"/>
              </w:rPr>
              <w:t xml:space="preserve"> </w:t>
            </w:r>
            <w:r w:rsidRPr="000D57BC">
              <w:rPr>
                <w:sz w:val="22"/>
                <w:szCs w:val="22"/>
              </w:rPr>
              <w:t>nuostatos, pagrindžiančios teigiamą</w:t>
            </w:r>
            <w:r w:rsidR="00F97019" w:rsidRPr="000D57BC">
              <w:rPr>
                <w:sz w:val="22"/>
                <w:szCs w:val="22"/>
              </w:rPr>
              <w:t xml:space="preserve"> </w:t>
            </w:r>
            <w:r w:rsidRPr="000D57BC">
              <w:rPr>
                <w:sz w:val="22"/>
                <w:szCs w:val="22"/>
              </w:rPr>
              <w:t>atsakymą, arba pateikiamos antikorupcinį</w:t>
            </w:r>
            <w:r w:rsidR="00F97019" w:rsidRPr="000D57BC">
              <w:rPr>
                <w:sz w:val="22"/>
                <w:szCs w:val="22"/>
              </w:rPr>
              <w:t xml:space="preserve"> </w:t>
            </w:r>
            <w:r w:rsidRPr="000D57BC">
              <w:rPr>
                <w:sz w:val="22"/>
                <w:szCs w:val="22"/>
              </w:rPr>
              <w:t>teisės akto projekto vertinimą atliekančio</w:t>
            </w:r>
            <w:r w:rsidR="00F97019" w:rsidRPr="000D57BC">
              <w:rPr>
                <w:sz w:val="22"/>
                <w:szCs w:val="22"/>
              </w:rPr>
              <w:t xml:space="preserve"> </w:t>
            </w:r>
            <w:r w:rsidRPr="000D57BC">
              <w:rPr>
                <w:sz w:val="22"/>
                <w:szCs w:val="22"/>
              </w:rPr>
              <w:t>specialisto pastabos ir pasiūlymai dėl</w:t>
            </w:r>
            <w:r w:rsidR="00F97019" w:rsidRPr="000D57BC">
              <w:rPr>
                <w:sz w:val="22"/>
                <w:szCs w:val="22"/>
              </w:rPr>
              <w:t xml:space="preserve"> </w:t>
            </w:r>
            <w:r w:rsidRPr="000D57BC">
              <w:rPr>
                <w:sz w:val="22"/>
                <w:szCs w:val="22"/>
              </w:rPr>
              <w:t>korupcijos rizikos mažinimo)</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projekto pakeitimas,</w:t>
            </w:r>
            <w:r w:rsidR="00F97019" w:rsidRPr="000D57BC">
              <w:rPr>
                <w:sz w:val="22"/>
                <w:szCs w:val="22"/>
              </w:rPr>
              <w:t xml:space="preserve"> </w:t>
            </w:r>
            <w:r w:rsidRPr="000D57BC">
              <w:rPr>
                <w:sz w:val="22"/>
                <w:szCs w:val="22"/>
              </w:rPr>
              <w:t>mažinantis korupcijos riziką, arba teisės</w:t>
            </w:r>
            <w:r w:rsidR="00F97019" w:rsidRPr="000D57BC">
              <w:rPr>
                <w:sz w:val="22"/>
                <w:szCs w:val="22"/>
              </w:rPr>
              <w:t xml:space="preserve"> </w:t>
            </w:r>
            <w:r w:rsidRPr="000D57BC">
              <w:rPr>
                <w:sz w:val="22"/>
                <w:szCs w:val="22"/>
              </w:rPr>
              <w:t>akto projekto tiesioginio rengėjo</w:t>
            </w:r>
            <w:r w:rsidR="00F97019" w:rsidRPr="000D57BC">
              <w:rPr>
                <w:sz w:val="22"/>
                <w:szCs w:val="22"/>
              </w:rPr>
              <w:t xml:space="preserve"> </w:t>
            </w:r>
            <w:r w:rsidRPr="000D57BC">
              <w:rPr>
                <w:sz w:val="22"/>
                <w:szCs w:val="22"/>
              </w:rPr>
              <w:t>argumentai, kodėl neatsižvelgta į</w:t>
            </w:r>
            <w:r w:rsidR="00F97019" w:rsidRPr="000D57BC">
              <w:rPr>
                <w:sz w:val="22"/>
                <w:szCs w:val="22"/>
              </w:rPr>
              <w:t xml:space="preserve"> </w:t>
            </w:r>
            <w:r w:rsidRPr="000D57BC">
              <w:rPr>
                <w:sz w:val="22"/>
                <w:szCs w:val="22"/>
              </w:rPr>
              <w:t>pastabą</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Išvada dėl teisės akto projekto pakeitimų arba</w:t>
            </w:r>
            <w:r w:rsidR="00E73E0F" w:rsidRPr="000D57BC">
              <w:rPr>
                <w:sz w:val="22"/>
                <w:szCs w:val="22"/>
              </w:rPr>
              <w:t xml:space="preserve"> </w:t>
            </w:r>
            <w:r w:rsidRPr="000D57BC">
              <w:rPr>
                <w:sz w:val="22"/>
                <w:szCs w:val="22"/>
              </w:rPr>
              <w:t>argumentų, kodėl neatsižvelgta į pastabą</w:t>
            </w:r>
          </w:p>
        </w:tc>
      </w:tr>
      <w:tr w:rsidR="002F0A8E" w:rsidRPr="004B20B1" w:rsidTr="000D57BC">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2.</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nėra spragų ar nuostatų, leisiančių dviprasmiškai aiškinti ir taikyti teisės aktą</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903BF4" w:rsidRPr="000D57BC" w:rsidRDefault="00F91C61" w:rsidP="000D57BC">
            <w:pPr>
              <w:rPr>
                <w:sz w:val="22"/>
                <w:szCs w:val="22"/>
              </w:rPr>
            </w:pPr>
            <w:r>
              <w:rPr>
                <w:sz w:val="22"/>
                <w:szCs w:val="22"/>
              </w:rPr>
              <w:t>Žiūrėti į pastabas lentelės 12 ir 15 eilutėse.</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w:t>
            </w:r>
            <w:r w:rsidR="00D06A18" w:rsidRPr="000D57BC">
              <w:rPr>
                <w:sz w:val="22"/>
                <w:szCs w:val="22"/>
              </w:rPr>
              <w:t>t</w:t>
            </w:r>
            <w:r w:rsidRPr="000D57BC">
              <w:rPr>
                <w:sz w:val="22"/>
                <w:szCs w:val="22"/>
              </w:rPr>
              <w:t>en</w:t>
            </w:r>
            <w:r w:rsidR="00DB5520" w:rsidRPr="000D57BC">
              <w:rPr>
                <w:sz w:val="22"/>
                <w:szCs w:val="22"/>
              </w:rPr>
              <w:t>k</w:t>
            </w:r>
            <w:r w:rsidRPr="000D57BC">
              <w:rPr>
                <w:sz w:val="22"/>
                <w:szCs w:val="22"/>
              </w:rPr>
              <w:t xml:space="preserve">ina </w:t>
            </w:r>
          </w:p>
          <w:p w:rsidR="001860C6" w:rsidRPr="000D57BC" w:rsidRDefault="001860C6" w:rsidP="000D57BC">
            <w:pPr>
              <w:rPr>
                <w:sz w:val="22"/>
                <w:szCs w:val="22"/>
              </w:rPr>
            </w:pPr>
            <w:r w:rsidRPr="000D57BC">
              <w:rPr>
                <w:sz w:val="22"/>
                <w:szCs w:val="22"/>
              </w:rPr>
              <w:t xml:space="preserve">□ </w:t>
            </w:r>
            <w:r w:rsidR="00032E71" w:rsidRPr="000D57BC">
              <w:rPr>
                <w:sz w:val="22"/>
                <w:szCs w:val="22"/>
              </w:rPr>
              <w:t>ne</w:t>
            </w:r>
            <w:r w:rsidRPr="000D57BC">
              <w:rPr>
                <w:sz w:val="22"/>
                <w:szCs w:val="22"/>
              </w:rPr>
              <w:t>tenkina</w:t>
            </w:r>
          </w:p>
        </w:tc>
      </w:tr>
      <w:tr w:rsidR="002F0A8E" w:rsidRPr="004B20B1" w:rsidTr="00E95C8D">
        <w:trPr>
          <w:trHeight w:hRule="exact" w:val="26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3.</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A103D9" w:rsidP="00E95C8D">
            <w:pPr>
              <w:jc w:val="both"/>
              <w:rPr>
                <w:sz w:val="22"/>
                <w:szCs w:val="22"/>
              </w:rPr>
            </w:pPr>
            <w:r w:rsidRPr="000D57BC">
              <w:rPr>
                <w:sz w:val="22"/>
                <w:szCs w:val="22"/>
              </w:rPr>
              <w:t>Atitinka</w:t>
            </w:r>
            <w:r w:rsidR="00752C34" w:rsidRPr="000D57BC">
              <w:rPr>
                <w:sz w:val="22"/>
                <w:szCs w:val="22"/>
              </w:rPr>
              <w:t>.</w:t>
            </w:r>
            <w:r w:rsidR="00ED6A04" w:rsidRPr="000D57BC">
              <w:rPr>
                <w:sz w:val="22"/>
                <w:szCs w:val="22"/>
              </w:rPr>
              <w:t xml:space="preserve"> Aprašo 20 p. nustatyta, kad NVŠ programa teikiama vertinti Savivaldybės administracijos direktoriaus įsakymu sudarytai komisijai, 21 p. nustatyta, kad Savivaldybės administracijos direktorius, atsižvelgdamas į komisijos siūlymą, priima sprendimą dėl programos atitikties reikalavimams. Tai atitinka </w:t>
            </w:r>
            <w:r w:rsidR="00E95C8D">
              <w:rPr>
                <w:sz w:val="22"/>
                <w:szCs w:val="22"/>
              </w:rPr>
              <w:t xml:space="preserve">Švietimo ir mokslo </w:t>
            </w:r>
            <w:r w:rsidR="00ED6A04" w:rsidRPr="000D57BC">
              <w:rPr>
                <w:sz w:val="22"/>
                <w:szCs w:val="22"/>
              </w:rPr>
              <w:t xml:space="preserve">ministro įsakymu patvirtinto aprašo nuostatas. Aprašo 22 p. numatyta, kad </w:t>
            </w:r>
            <w:r w:rsidR="00420BB7" w:rsidRPr="000D57BC">
              <w:rPr>
                <w:sz w:val="22"/>
                <w:szCs w:val="22"/>
              </w:rPr>
              <w:t xml:space="preserve">už </w:t>
            </w:r>
            <w:r w:rsidR="00ED6A04" w:rsidRPr="000D57BC">
              <w:rPr>
                <w:sz w:val="22"/>
                <w:szCs w:val="22"/>
              </w:rPr>
              <w:t xml:space="preserve">NVŠ programų įgyvendinimą </w:t>
            </w:r>
            <w:r w:rsidR="00420BB7" w:rsidRPr="000D57BC">
              <w:rPr>
                <w:sz w:val="22"/>
                <w:szCs w:val="22"/>
              </w:rPr>
              <w:t>yra atsakingas Savivaldybės administracijos direktoriaus įsakymu paskirtas Švietimo, kultūros ir sporto skyriaus specialistas. Taigi sprendimą priimantis subjektas skiriasi nuo įgyvendinimą prižiūrinčio subjekto</w:t>
            </w:r>
            <w:r w:rsidR="00E95C8D">
              <w:rPr>
                <w:sz w:val="22"/>
                <w:szCs w:val="22"/>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 netenkina</w:t>
            </w:r>
          </w:p>
        </w:tc>
      </w:tr>
      <w:tr w:rsidR="002F0A8E" w:rsidRPr="004B20B1" w:rsidTr="00E95C8D">
        <w:trPr>
          <w:trHeight w:hRule="exact" w:val="9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4.</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nustatyti subjekto įgaliojimai (teisės) atitinka subjekto atliekamas funkcijas (pareigas)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075B47" w:rsidP="00F91C61">
            <w:pPr>
              <w:jc w:val="both"/>
              <w:rPr>
                <w:sz w:val="22"/>
                <w:szCs w:val="22"/>
              </w:rPr>
            </w:pPr>
            <w:r w:rsidRPr="000D57BC">
              <w:rPr>
                <w:sz w:val="22"/>
                <w:szCs w:val="22"/>
              </w:rPr>
              <w:t xml:space="preserve">Subjektų (Savivaldybės administracijos direktoriaus, jo įsakymu sudarytos komisijos ir kt.) įgaliojimai atitinka atliekamas funkcijas bei Lietuvos Respublikos švietimo ir mokslo ministro įsakymu patvirtintame apraše nustatytus įgaliojimus.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 netenkina</w:t>
            </w:r>
          </w:p>
        </w:tc>
      </w:tr>
      <w:tr w:rsidR="002F0A8E" w:rsidRPr="004B20B1" w:rsidTr="000D57BC">
        <w:trPr>
          <w:trHeight w:hRule="exact" w:val="183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5.</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nustatytas baigtinis sprendimo priėmimo kriterijų (atvejų) sąrašas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075B47" w:rsidP="00F91C61">
            <w:pPr>
              <w:jc w:val="both"/>
              <w:rPr>
                <w:sz w:val="22"/>
                <w:szCs w:val="22"/>
              </w:rPr>
            </w:pPr>
            <w:r w:rsidRPr="000D57BC">
              <w:rPr>
                <w:sz w:val="22"/>
                <w:szCs w:val="22"/>
              </w:rPr>
              <w:t xml:space="preserve">Aprašo 21 p. ir aprašo 2 priedas, kuriuo patvirtinta neformaliojo vaikų švietimo programos atitikties reikalavimams vertinimo forma, kurioje nustatytas baigtinis sąrašas vertinimo kriterijų. Taip pat Aprašo 21 p. nustatyta, kad </w:t>
            </w:r>
            <w:r w:rsidR="00BF601B" w:rsidRPr="000D57BC">
              <w:rPr>
                <w:sz w:val="22"/>
                <w:szCs w:val="22"/>
              </w:rPr>
              <w:t xml:space="preserve">Savivaldybės administracijos direktorius įsakymu tvirtina programų atitiktį reikalavimams, taip pat Savivaldybės administracijos direktoriaus įsakymu </w:t>
            </w:r>
            <w:r w:rsidRPr="000D57BC">
              <w:rPr>
                <w:sz w:val="22"/>
                <w:szCs w:val="22"/>
              </w:rPr>
              <w:t xml:space="preserve">programos atitiktis </w:t>
            </w:r>
            <w:r w:rsidR="00BF601B" w:rsidRPr="000D57BC">
              <w:rPr>
                <w:sz w:val="22"/>
                <w:szCs w:val="22"/>
              </w:rPr>
              <w:t xml:space="preserve">gali būti </w:t>
            </w:r>
            <w:r w:rsidRPr="000D57BC">
              <w:rPr>
                <w:sz w:val="22"/>
                <w:szCs w:val="22"/>
              </w:rPr>
              <w:t>panaikina</w:t>
            </w:r>
            <w:r w:rsidR="00BF601B" w:rsidRPr="000D57BC">
              <w:rPr>
                <w:sz w:val="22"/>
                <w:szCs w:val="22"/>
              </w:rPr>
              <w:t>ma arba</w:t>
            </w:r>
            <w:r w:rsidRPr="000D57BC">
              <w:rPr>
                <w:sz w:val="22"/>
                <w:szCs w:val="22"/>
              </w:rPr>
              <w:t xml:space="preserve"> pratęsiama, t. y. nustatytas baigtinis sprendimų priėmimo sąrašas.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 netenkina</w:t>
            </w:r>
          </w:p>
        </w:tc>
      </w:tr>
      <w:tr w:rsidR="002F0A8E" w:rsidRPr="004B20B1" w:rsidTr="000D57BC">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6.</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nustatytas baigtinis sąrašas motyvuotų atvejų, kai priimant sprendimus taikomos išimtys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916B06" w:rsidP="000D57BC">
            <w:pPr>
              <w:rPr>
                <w:sz w:val="22"/>
                <w:szCs w:val="22"/>
              </w:rPr>
            </w:pPr>
            <w:r w:rsidRPr="000D57BC">
              <w:rPr>
                <w:sz w:val="22"/>
                <w:szCs w:val="22"/>
              </w:rPr>
              <w:t>Akto projekte išimčių taikymas neaktualus.</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 netenkina</w:t>
            </w:r>
          </w:p>
        </w:tc>
      </w:tr>
      <w:tr w:rsidR="002F0A8E" w:rsidRPr="004B20B1" w:rsidTr="000D57BC">
        <w:trPr>
          <w:trHeight w:hRule="exact" w:val="101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7.</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nustatyta sprendimų priėmimo, įforminimo tvar</w:t>
            </w:r>
            <w:r w:rsidR="00420BB7" w:rsidRPr="000D57BC">
              <w:rPr>
                <w:sz w:val="22"/>
                <w:szCs w:val="22"/>
              </w:rPr>
              <w:t>k</w:t>
            </w:r>
            <w:r w:rsidRPr="000D57BC">
              <w:rPr>
                <w:sz w:val="22"/>
                <w:szCs w:val="22"/>
              </w:rPr>
              <w:t>a ir priimtų sprendimų viešinimas</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916B06" w:rsidP="000D57BC">
            <w:pPr>
              <w:rPr>
                <w:sz w:val="22"/>
                <w:szCs w:val="22"/>
              </w:rPr>
            </w:pPr>
            <w:r w:rsidRPr="000D57BC">
              <w:rPr>
                <w:sz w:val="22"/>
                <w:szCs w:val="22"/>
              </w:rPr>
              <w:t>Aprašo VI skyrius</w:t>
            </w:r>
            <w:r w:rsidR="00A3003F" w:rsidRPr="000D57BC">
              <w:rPr>
                <w:sz w:val="22"/>
                <w:szCs w:val="22"/>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 netenkina</w:t>
            </w:r>
          </w:p>
        </w:tc>
      </w:tr>
      <w:tr w:rsidR="002F0A8E" w:rsidRPr="004B20B1" w:rsidTr="000D57BC">
        <w:trPr>
          <w:trHeight w:hRule="exact" w:val="80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8.</w:t>
            </w:r>
          </w:p>
        </w:tc>
        <w:tc>
          <w:tcPr>
            <w:tcW w:w="3530"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Teisės akto projekte nustatyta sprendimų dėl mažareikšmiškumo priėmimo tvarka</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Neaktualu</w:t>
            </w:r>
            <w:r w:rsidR="002961CE" w:rsidRPr="000D57BC">
              <w:rPr>
                <w:sz w:val="22"/>
                <w:szCs w:val="22"/>
              </w:rPr>
              <w:t>.</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p>
        </w:tc>
        <w:tc>
          <w:tcPr>
            <w:tcW w:w="1702" w:type="dxa"/>
            <w:tcBorders>
              <w:top w:val="single" w:sz="6" w:space="0" w:color="auto"/>
              <w:left w:val="single" w:sz="6" w:space="0" w:color="auto"/>
              <w:bottom w:val="single" w:sz="6" w:space="0" w:color="auto"/>
              <w:right w:val="single" w:sz="6" w:space="0" w:color="auto"/>
            </w:tcBorders>
            <w:shd w:val="clear" w:color="auto" w:fill="FFFFFF"/>
          </w:tcPr>
          <w:p w:rsidR="001860C6" w:rsidRPr="000D57BC" w:rsidRDefault="001860C6" w:rsidP="000D57BC">
            <w:pPr>
              <w:rPr>
                <w:sz w:val="22"/>
                <w:szCs w:val="22"/>
              </w:rPr>
            </w:pPr>
            <w:r w:rsidRPr="000D57BC">
              <w:rPr>
                <w:sz w:val="22"/>
                <w:szCs w:val="22"/>
              </w:rPr>
              <w:t xml:space="preserve">X tenkina </w:t>
            </w:r>
          </w:p>
          <w:p w:rsidR="001860C6" w:rsidRPr="000D57BC" w:rsidRDefault="001860C6" w:rsidP="000D57BC">
            <w:pPr>
              <w:rPr>
                <w:sz w:val="22"/>
                <w:szCs w:val="22"/>
              </w:rPr>
            </w:pPr>
            <w:r w:rsidRPr="000D57BC">
              <w:rPr>
                <w:sz w:val="22"/>
                <w:szCs w:val="22"/>
              </w:rPr>
              <w:t>□</w:t>
            </w:r>
            <w:r w:rsidR="00D06A18" w:rsidRPr="000D57BC">
              <w:rPr>
                <w:sz w:val="22"/>
                <w:szCs w:val="22"/>
              </w:rPr>
              <w:t xml:space="preserve"> n</w:t>
            </w:r>
            <w:r w:rsidRPr="000D57BC">
              <w:rPr>
                <w:sz w:val="22"/>
                <w:szCs w:val="22"/>
              </w:rPr>
              <w:t>etekina</w:t>
            </w:r>
          </w:p>
        </w:tc>
      </w:tr>
    </w:tbl>
    <w:p w:rsidR="002D7184" w:rsidRDefault="002D7184" w:rsidP="001860C6">
      <w:pPr>
        <w:spacing w:after="586" w:line="1" w:lineRule="exact"/>
        <w:rPr>
          <w:sz w:val="2"/>
          <w:szCs w:val="2"/>
        </w:rPr>
      </w:pPr>
      <w:r>
        <w:rPr>
          <w:sz w:val="2"/>
          <w:szCs w:val="2"/>
        </w:rPr>
        <w:br w:type="page"/>
      </w: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CF2AF7" w:rsidRDefault="00A103D9" w:rsidP="00E907A3">
            <w:pPr>
              <w:shd w:val="clear" w:color="auto" w:fill="FFFFFF"/>
              <w:jc w:val="both"/>
              <w:rPr>
                <w:sz w:val="22"/>
                <w:szCs w:val="22"/>
              </w:rPr>
            </w:pPr>
            <w:r w:rsidRPr="00CF2AF7">
              <w:rPr>
                <w:sz w:val="22"/>
                <w:szCs w:val="22"/>
              </w:rPr>
              <w:t>Galutin</w:t>
            </w:r>
            <w:r w:rsidR="00E907A3" w:rsidRPr="00CF2AF7">
              <w:rPr>
                <w:sz w:val="22"/>
                <w:szCs w:val="22"/>
              </w:rPr>
              <w:t>į</w:t>
            </w:r>
            <w:r w:rsidRPr="00CF2AF7">
              <w:rPr>
                <w:sz w:val="22"/>
                <w:szCs w:val="22"/>
              </w:rPr>
              <w:t xml:space="preserve"> sprendimą priima Savivaldybės administracijos direktorius (aprašo </w:t>
            </w:r>
            <w:r w:rsidR="00E940E1" w:rsidRPr="00CF2AF7">
              <w:rPr>
                <w:sz w:val="22"/>
                <w:szCs w:val="22"/>
              </w:rPr>
              <w:t xml:space="preserve">21 p.). Savivaldybės administracijos direktoriaus įsakymu sudaroma NVŠ programų vertinimo komisija, kuri galutinio sprendimo nepriima, o tiktai teikia siūlymus. </w:t>
            </w:r>
            <w:r w:rsidR="00E907A3" w:rsidRPr="00CF2AF7">
              <w:rPr>
                <w:sz w:val="22"/>
                <w:szCs w:val="22"/>
              </w:rPr>
              <w:t>Apie komisijos narių skaičių ir komisijos narių sudėtį nurodyta aprašo 20 p.</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874E92">
            <w:pPr>
              <w:rPr>
                <w:sz w:val="22"/>
                <w:szCs w:val="22"/>
              </w:rPr>
            </w:pPr>
            <w:r w:rsidRPr="00874E92">
              <w:rPr>
                <w:sz w:val="22"/>
                <w:szCs w:val="22"/>
              </w:rPr>
              <w:t xml:space="preserve">X tenkina </w:t>
            </w:r>
          </w:p>
          <w:p w:rsidR="001860C6" w:rsidRPr="00502BBA" w:rsidRDefault="001860C6" w:rsidP="00874E92">
            <w:r w:rsidRPr="00874E92">
              <w:rPr>
                <w:sz w:val="22"/>
                <w:szCs w:val="22"/>
              </w:rPr>
              <w:t xml:space="preserve">□ </w:t>
            </w:r>
            <w:r w:rsidR="00874E92" w:rsidRPr="00874E92">
              <w:rPr>
                <w:sz w:val="22"/>
                <w:szCs w:val="22"/>
              </w:rPr>
              <w:t>n</w:t>
            </w:r>
            <w:r w:rsidRPr="00874E92">
              <w:rPr>
                <w:sz w:val="22"/>
                <w:szCs w:val="22"/>
              </w:rPr>
              <w:t>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4B20B1" w:rsidRDefault="00A103D9" w:rsidP="00A103D9">
            <w:pPr>
              <w:shd w:val="clear" w:color="auto" w:fill="FFFFFF"/>
              <w:rPr>
                <w:sz w:val="22"/>
                <w:szCs w:val="22"/>
              </w:rPr>
            </w:pPr>
            <w:r w:rsidRPr="004B20B1">
              <w:rPr>
                <w:sz w:val="22"/>
                <w:szCs w:val="22"/>
              </w:rPr>
              <w:t xml:space="preserve">Taip – aprašo VI skyrius reglamentuoja administracines procedūras.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874E92">
            <w:pPr>
              <w:rPr>
                <w:sz w:val="22"/>
                <w:szCs w:val="22"/>
              </w:rPr>
            </w:pPr>
            <w:r w:rsidRPr="00874E92">
              <w:rPr>
                <w:sz w:val="22"/>
                <w:szCs w:val="22"/>
              </w:rPr>
              <w:t xml:space="preserve">X tenkina </w:t>
            </w:r>
          </w:p>
          <w:p w:rsidR="001860C6" w:rsidRPr="00502BBA" w:rsidRDefault="001860C6" w:rsidP="00874E92">
            <w:r w:rsidRPr="00874E92">
              <w:rPr>
                <w:sz w:val="22"/>
                <w:szCs w:val="22"/>
              </w:rPr>
              <w:t>□ netenkina</w:t>
            </w:r>
          </w:p>
        </w:tc>
      </w:tr>
    </w:tbl>
    <w:p w:rsidR="001860C6" w:rsidRDefault="001860C6" w:rsidP="001860C6">
      <w:pPr>
        <w:sectPr w:rsidR="001860C6" w:rsidSect="000D57BC">
          <w:pgSz w:w="16834" w:h="11909" w:orient="landscape"/>
          <w:pgMar w:top="1135" w:right="1106" w:bottom="2" w:left="1106" w:header="567" w:footer="567" w:gutter="0"/>
          <w:cols w:space="60"/>
          <w:noEndnote/>
        </w:sectPr>
      </w:pPr>
    </w:p>
    <w:tbl>
      <w:tblPr>
        <w:tblW w:w="14695" w:type="dxa"/>
        <w:tblInd w:w="40" w:type="dxa"/>
        <w:tblLayout w:type="fixed"/>
        <w:tblCellMar>
          <w:left w:w="40" w:type="dxa"/>
          <w:right w:w="40" w:type="dxa"/>
        </w:tblCellMar>
        <w:tblLook w:val="0000" w:firstRow="0" w:lastRow="0" w:firstColumn="0" w:lastColumn="0" w:noHBand="0" w:noVBand="0"/>
      </w:tblPr>
      <w:tblGrid>
        <w:gridCol w:w="715"/>
        <w:gridCol w:w="3348"/>
        <w:gridCol w:w="5528"/>
        <w:gridCol w:w="3118"/>
        <w:gridCol w:w="1986"/>
      </w:tblGrid>
      <w:tr w:rsidR="001860C6" w:rsidRPr="00502BBA" w:rsidTr="00F91C61">
        <w:trPr>
          <w:trHeight w:hRule="exact" w:val="144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F91C61">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2F0A8E" w:rsidRDefault="00356F79" w:rsidP="00356F79">
            <w:pPr>
              <w:shd w:val="clear" w:color="auto" w:fill="FFFFFF"/>
              <w:rPr>
                <w:sz w:val="22"/>
                <w:szCs w:val="22"/>
              </w:rPr>
            </w:pPr>
            <w:r w:rsidRPr="002F0A8E">
              <w:rPr>
                <w:sz w:val="22"/>
                <w:szCs w:val="22"/>
              </w:rPr>
              <w:t xml:space="preserve">Nenustatyta, todėl laikytina, kad administracinė procedūra taikoma be išlygų.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2F0A8E">
            <w:pPr>
              <w:rPr>
                <w:sz w:val="22"/>
                <w:szCs w:val="22"/>
              </w:rPr>
            </w:pPr>
            <w:r w:rsidRPr="00874E92">
              <w:rPr>
                <w:sz w:val="22"/>
                <w:szCs w:val="22"/>
              </w:rPr>
              <w:t xml:space="preserve">X tenkina </w:t>
            </w:r>
          </w:p>
          <w:p w:rsidR="001860C6" w:rsidRPr="00874E92" w:rsidRDefault="001860C6" w:rsidP="002F0A8E">
            <w:pPr>
              <w:rPr>
                <w:sz w:val="22"/>
                <w:szCs w:val="22"/>
              </w:rPr>
            </w:pPr>
            <w:r w:rsidRPr="00874E92">
              <w:rPr>
                <w:sz w:val="22"/>
                <w:szCs w:val="22"/>
              </w:rPr>
              <w:t>□ netenkina</w:t>
            </w:r>
          </w:p>
        </w:tc>
      </w:tr>
      <w:tr w:rsidR="001860C6" w:rsidRPr="00502BBA" w:rsidTr="00F91C61">
        <w:trPr>
          <w:trHeight w:hRule="exact" w:val="139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2F0A8E" w:rsidRDefault="00356F79" w:rsidP="00672CA1">
            <w:pPr>
              <w:jc w:val="both"/>
              <w:rPr>
                <w:sz w:val="22"/>
                <w:szCs w:val="22"/>
              </w:rPr>
            </w:pPr>
            <w:r w:rsidRPr="002F0A8E">
              <w:rPr>
                <w:sz w:val="22"/>
                <w:szCs w:val="22"/>
              </w:rPr>
              <w:t xml:space="preserve">Sprendimo priėmimo konkretūs </w:t>
            </w:r>
            <w:r w:rsidR="00672CA1" w:rsidRPr="002F0A8E">
              <w:rPr>
                <w:sz w:val="22"/>
                <w:szCs w:val="22"/>
              </w:rPr>
              <w:t xml:space="preserve">terminai nenustatyti. Neįgyvendinta Lietuvos Respublikos švietimo ir mokslo ministro įsakymo 21 p. numatyta sąlyga, kad NVŠ programų vertinimo periodiškumą nustato savivaldybė, apraše NVŠ programų vertinimo periodiškumas nėra numatytas.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0B10A8" w:rsidP="00CB6066">
            <w:pPr>
              <w:shd w:val="clear" w:color="auto" w:fill="FFFFFF"/>
              <w:jc w:val="both"/>
            </w:pPr>
            <w:r>
              <w:t>Aprašo 21 p</w:t>
            </w:r>
            <w:r w:rsidR="00CB6066">
              <w:t>.</w:t>
            </w:r>
            <w:r>
              <w:t xml:space="preserve"> patikslintas, numatytas programų vertinimo periodiškumas – ne rečiau kaip 1 kartą per metus.</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2F0A8E">
            <w:pPr>
              <w:rPr>
                <w:sz w:val="22"/>
                <w:szCs w:val="22"/>
              </w:rPr>
            </w:pPr>
            <w:r w:rsidRPr="00874E92">
              <w:rPr>
                <w:sz w:val="22"/>
                <w:szCs w:val="22"/>
              </w:rPr>
              <w:t xml:space="preserve">X tenkina </w:t>
            </w:r>
          </w:p>
          <w:p w:rsidR="001860C6" w:rsidRPr="00874E92" w:rsidRDefault="001860C6" w:rsidP="002F0A8E">
            <w:pPr>
              <w:rPr>
                <w:sz w:val="22"/>
                <w:szCs w:val="22"/>
              </w:rPr>
            </w:pPr>
            <w:r w:rsidRPr="00874E92">
              <w:rPr>
                <w:sz w:val="22"/>
                <w:szCs w:val="22"/>
              </w:rPr>
              <w:t>□ netenkina</w:t>
            </w:r>
          </w:p>
        </w:tc>
      </w:tr>
      <w:tr w:rsidR="001860C6" w:rsidRPr="00502BBA" w:rsidTr="00F91C61">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2F0A8E" w:rsidRDefault="005E3C7B" w:rsidP="005E3C7B">
            <w:pPr>
              <w:rPr>
                <w:sz w:val="22"/>
                <w:szCs w:val="22"/>
              </w:rPr>
            </w:pPr>
            <w:r w:rsidRPr="002F0A8E">
              <w:rPr>
                <w:sz w:val="22"/>
                <w:szCs w:val="22"/>
              </w:rPr>
              <w:t>Klausimas n</w:t>
            </w:r>
            <w:r w:rsidR="00D45C84" w:rsidRPr="002F0A8E">
              <w:rPr>
                <w:sz w:val="22"/>
                <w:szCs w:val="22"/>
              </w:rPr>
              <w:t>eaktualu</w:t>
            </w:r>
            <w:r w:rsidRPr="002F0A8E">
              <w:rPr>
                <w:sz w:val="22"/>
                <w:szCs w:val="22"/>
              </w:rPr>
              <w:t>s</w:t>
            </w:r>
            <w:r w:rsidR="00D45C84" w:rsidRPr="002F0A8E">
              <w:rPr>
                <w:sz w:val="22"/>
                <w:szCs w:val="22"/>
              </w:rPr>
              <w:t>.</w:t>
            </w:r>
            <w:r w:rsidR="007659B9" w:rsidRPr="002F0A8E">
              <w:rPr>
                <w:sz w:val="22"/>
                <w:szCs w:val="22"/>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2F0A8E">
            <w:pPr>
              <w:rPr>
                <w:sz w:val="22"/>
                <w:szCs w:val="22"/>
              </w:rPr>
            </w:pPr>
            <w:r w:rsidRPr="00874E92">
              <w:rPr>
                <w:sz w:val="22"/>
                <w:szCs w:val="22"/>
              </w:rPr>
              <w:t xml:space="preserve">X tenkina </w:t>
            </w:r>
          </w:p>
          <w:p w:rsidR="001860C6" w:rsidRPr="00874E92" w:rsidRDefault="001860C6" w:rsidP="002F0A8E">
            <w:pPr>
              <w:rPr>
                <w:sz w:val="22"/>
                <w:szCs w:val="22"/>
              </w:rPr>
            </w:pPr>
            <w:r w:rsidRPr="00874E92">
              <w:rPr>
                <w:sz w:val="22"/>
                <w:szCs w:val="22"/>
              </w:rPr>
              <w:t>□ netenkina</w:t>
            </w:r>
          </w:p>
        </w:tc>
      </w:tr>
      <w:tr w:rsidR="001860C6" w:rsidRPr="00502BBA" w:rsidTr="00F91C61">
        <w:trPr>
          <w:trHeight w:hRule="exact" w:val="1499"/>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2F0A8E" w:rsidRDefault="00356F79" w:rsidP="005E3C7B">
            <w:pPr>
              <w:jc w:val="both"/>
              <w:rPr>
                <w:sz w:val="22"/>
                <w:szCs w:val="22"/>
              </w:rPr>
            </w:pPr>
            <w:r w:rsidRPr="002F0A8E">
              <w:rPr>
                <w:sz w:val="22"/>
                <w:szCs w:val="22"/>
              </w:rPr>
              <w:t xml:space="preserve">Taip, aprašo 22 p. nustatyta, kad priėmus sprendimą dėl </w:t>
            </w:r>
            <w:r w:rsidR="002D39A5" w:rsidRPr="002F0A8E">
              <w:rPr>
                <w:sz w:val="22"/>
                <w:szCs w:val="22"/>
              </w:rPr>
              <w:t xml:space="preserve">NVŠ programos atitikties reikalavimams, per 3 darbo dienas </w:t>
            </w:r>
            <w:r w:rsidR="000E6D76" w:rsidRPr="002F0A8E">
              <w:rPr>
                <w:sz w:val="22"/>
                <w:szCs w:val="22"/>
              </w:rPr>
              <w:t xml:space="preserve">atsakingas asmuo </w:t>
            </w:r>
            <w:r w:rsidR="005E3C7B" w:rsidRPr="002F0A8E">
              <w:rPr>
                <w:sz w:val="22"/>
                <w:szCs w:val="22"/>
              </w:rPr>
              <w:t>pažymi tai atitinkamame švietimo registre, taip pat NVŠ programos, kurios atitinka reikalavimus, skelbiamos Savivaldybės interneto svetainėje.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2F0A8E">
            <w:pPr>
              <w:rPr>
                <w:sz w:val="22"/>
                <w:szCs w:val="22"/>
              </w:rPr>
            </w:pPr>
            <w:r w:rsidRPr="00874E92">
              <w:rPr>
                <w:sz w:val="22"/>
                <w:szCs w:val="22"/>
              </w:rPr>
              <w:t xml:space="preserve">X tenkina </w:t>
            </w:r>
          </w:p>
          <w:p w:rsidR="001860C6" w:rsidRPr="00874E92" w:rsidRDefault="001860C6" w:rsidP="002F0A8E">
            <w:pPr>
              <w:rPr>
                <w:sz w:val="22"/>
                <w:szCs w:val="22"/>
              </w:rPr>
            </w:pPr>
            <w:r w:rsidRPr="00874E92">
              <w:rPr>
                <w:sz w:val="22"/>
                <w:szCs w:val="22"/>
              </w:rPr>
              <w:t>□ netenkina</w:t>
            </w:r>
          </w:p>
        </w:tc>
      </w:tr>
      <w:tr w:rsidR="001860C6" w:rsidRPr="00502BBA" w:rsidTr="00CB6066">
        <w:trPr>
          <w:trHeight w:hRule="exact" w:val="294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F91C61" w:rsidRDefault="005E3C7B" w:rsidP="00112A01">
            <w:pPr>
              <w:jc w:val="both"/>
              <w:rPr>
                <w:sz w:val="22"/>
                <w:szCs w:val="22"/>
              </w:rPr>
            </w:pPr>
            <w:r w:rsidRPr="00F91C61">
              <w:rPr>
                <w:sz w:val="22"/>
                <w:szCs w:val="22"/>
              </w:rPr>
              <w:t>Aprašo 22 p. numatyta, kad už NVŠ programų įgyvendinimą atsakingas yra Panevėžio rajono savivaldybės Švietimo, kultūros ir sporto skyri</w:t>
            </w:r>
            <w:r w:rsidR="00E940E1" w:rsidRPr="00F91C61">
              <w:rPr>
                <w:sz w:val="22"/>
                <w:szCs w:val="22"/>
              </w:rPr>
              <w:t>us</w:t>
            </w:r>
            <w:r w:rsidRPr="00F91C61">
              <w:rPr>
                <w:sz w:val="22"/>
                <w:szCs w:val="22"/>
              </w:rPr>
              <w:t xml:space="preserve">, </w:t>
            </w:r>
            <w:r w:rsidR="00F91C61" w:rsidRPr="00F91C61">
              <w:rPr>
                <w:sz w:val="22"/>
                <w:szCs w:val="22"/>
              </w:rPr>
              <w:t xml:space="preserve">aprašo 36 p. numatyta, kad aprašo taikymo priežiūrą vykdo Švietimo, kultūros ir sporto skyrius, tačiau aprašo 27 p., </w:t>
            </w:r>
            <w:r w:rsidR="00371CDC" w:rsidRPr="00F91C61">
              <w:rPr>
                <w:sz w:val="22"/>
                <w:szCs w:val="22"/>
              </w:rPr>
              <w:t>kuriame numatyta</w:t>
            </w:r>
            <w:r w:rsidR="00562DE0" w:rsidRPr="00F91C61">
              <w:rPr>
                <w:sz w:val="22"/>
                <w:szCs w:val="22"/>
              </w:rPr>
              <w:t xml:space="preserve">s </w:t>
            </w:r>
            <w:r w:rsidR="00371CDC" w:rsidRPr="00F91C61">
              <w:rPr>
                <w:sz w:val="22"/>
                <w:szCs w:val="22"/>
              </w:rPr>
              <w:t>NVŠ programų įgyvendinimo stebėsen</w:t>
            </w:r>
            <w:r w:rsidR="00562DE0" w:rsidRPr="00F91C61">
              <w:rPr>
                <w:sz w:val="22"/>
                <w:szCs w:val="22"/>
              </w:rPr>
              <w:t>os vykdymas</w:t>
            </w:r>
            <w:r w:rsidR="00371CDC" w:rsidRPr="00F91C61">
              <w:rPr>
                <w:sz w:val="22"/>
                <w:szCs w:val="22"/>
              </w:rPr>
              <w:t xml:space="preserve">, </w:t>
            </w:r>
            <w:r w:rsidR="00F91C61" w:rsidRPr="00F91C61">
              <w:rPr>
                <w:sz w:val="22"/>
                <w:szCs w:val="22"/>
              </w:rPr>
              <w:t>nenurodyta, kam priskirta vykdyti ši funkcija,</w:t>
            </w:r>
            <w:r w:rsidR="00371CDC" w:rsidRPr="00F91C61">
              <w:rPr>
                <w:sz w:val="22"/>
                <w:szCs w:val="22"/>
              </w:rPr>
              <w:t xml:space="preserve"> taip pat </w:t>
            </w:r>
            <w:r w:rsidR="00562DE0" w:rsidRPr="00F91C61">
              <w:rPr>
                <w:sz w:val="22"/>
                <w:szCs w:val="22"/>
              </w:rPr>
              <w:t>iš 27 p. neaišku, pagal kokią ir kieno (Savivaldybės administrac</w:t>
            </w:r>
            <w:r w:rsidR="00E95A86" w:rsidRPr="00F91C61">
              <w:rPr>
                <w:sz w:val="22"/>
                <w:szCs w:val="22"/>
              </w:rPr>
              <w:t>ijos direktoriaus ar Savivaldybė</w:t>
            </w:r>
            <w:r w:rsidR="00562DE0" w:rsidRPr="00F91C61">
              <w:rPr>
                <w:sz w:val="22"/>
                <w:szCs w:val="22"/>
              </w:rPr>
              <w:t xml:space="preserve">s tarybos) patvirtintą tvarką </w:t>
            </w:r>
            <w:r w:rsidR="00E95A86" w:rsidRPr="00F91C61">
              <w:rPr>
                <w:sz w:val="22"/>
                <w:szCs w:val="22"/>
              </w:rPr>
              <w:t xml:space="preserve">bus </w:t>
            </w:r>
            <w:r w:rsidR="00562DE0" w:rsidRPr="00F91C61">
              <w:rPr>
                <w:sz w:val="22"/>
                <w:szCs w:val="22"/>
              </w:rPr>
              <w:t>vykdoma stebėsena</w:t>
            </w:r>
            <w:r w:rsidR="00E95A86" w:rsidRPr="00F91C61">
              <w:rPr>
                <w:sz w:val="22"/>
                <w:szCs w:val="22"/>
              </w:rPr>
              <w:t xml:space="preserve">, nenumatyti </w:t>
            </w:r>
            <w:r w:rsidR="00874E92">
              <w:rPr>
                <w:sz w:val="22"/>
                <w:szCs w:val="22"/>
              </w:rPr>
              <w:t>stebėsenos</w:t>
            </w:r>
            <w:r w:rsidR="00CB6066">
              <w:rPr>
                <w:sz w:val="22"/>
                <w:szCs w:val="22"/>
              </w:rPr>
              <w:t xml:space="preserve"> </w:t>
            </w:r>
            <w:r w:rsidR="00E95A86" w:rsidRPr="00F91C61">
              <w:rPr>
                <w:sz w:val="22"/>
                <w:szCs w:val="22"/>
              </w:rPr>
              <w:t>kriterijai.</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CB6066" w:rsidRDefault="00697ADD" w:rsidP="00CB6066">
            <w:pPr>
              <w:shd w:val="clear" w:color="auto" w:fill="FFFFFF"/>
              <w:jc w:val="both"/>
            </w:pPr>
            <w:r w:rsidRPr="00CB6066">
              <w:t>Aprašo 27 p</w:t>
            </w:r>
            <w:r w:rsidR="00CB6066" w:rsidRPr="00CB6066">
              <w:t>.</w:t>
            </w:r>
            <w:r w:rsidRPr="00CB6066">
              <w:t xml:space="preserve"> patikslintas. Programų įgyvendinimo stebėsena vykdo </w:t>
            </w:r>
            <w:r w:rsidR="00CB6066" w:rsidRPr="00CB6066">
              <w:t xml:space="preserve">Savivaldybės </w:t>
            </w:r>
            <w:r w:rsidRPr="00CB6066">
              <w:t>administracijos direktoriaus įsakymu paskirti Švietimo, kultūros ir sporto skyriaus specialistai. Administracijos direktoriaus 2018 m. balandžio 4 d. įsakymu Nr. A-138 patvirtintas Neformaliojo vaikų švietimo programų įgyvendinimo kokybės stebėsenos tvarkos aprašas</w:t>
            </w:r>
            <w:r w:rsidR="00CB6066" w:rsidRPr="00CB6066">
              <w:t xml:space="preserve">, kuriame yra numatyti kriterijai. </w:t>
            </w: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874E92" w:rsidRDefault="001860C6" w:rsidP="002F0A8E">
            <w:pPr>
              <w:rPr>
                <w:sz w:val="22"/>
                <w:szCs w:val="22"/>
              </w:rPr>
            </w:pPr>
            <w:r w:rsidRPr="00874E92">
              <w:rPr>
                <w:sz w:val="22"/>
                <w:szCs w:val="22"/>
              </w:rPr>
              <w:t xml:space="preserve">X tenkina </w:t>
            </w:r>
          </w:p>
          <w:p w:rsidR="001860C6" w:rsidRPr="00874E92" w:rsidRDefault="001860C6" w:rsidP="002F0A8E">
            <w:pPr>
              <w:rPr>
                <w:sz w:val="22"/>
                <w:szCs w:val="22"/>
              </w:rPr>
            </w:pPr>
            <w:r w:rsidRPr="00874E92">
              <w:rPr>
                <w:sz w:val="22"/>
                <w:szCs w:val="22"/>
              </w:rPr>
              <w:t>□ netenkina</w:t>
            </w:r>
          </w:p>
        </w:tc>
      </w:tr>
      <w:tr w:rsidR="001860C6" w:rsidRPr="00502BBA" w:rsidTr="00F91C61">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1860C6" w:rsidRPr="00F91C61" w:rsidRDefault="00E940E1" w:rsidP="00E940E1">
            <w:pPr>
              <w:rPr>
                <w:sz w:val="22"/>
                <w:szCs w:val="22"/>
              </w:rPr>
            </w:pPr>
            <w:r w:rsidRPr="00F91C61">
              <w:rPr>
                <w:sz w:val="22"/>
                <w:szCs w:val="22"/>
              </w:rPr>
              <w:t>Aprašo įgyvendinimo priežiūrą vykdo Švietimo, kultūros ir sporto skyrius.</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1986" w:type="dxa"/>
            <w:tcBorders>
              <w:top w:val="single" w:sz="6" w:space="0" w:color="auto"/>
              <w:left w:val="single" w:sz="6" w:space="0" w:color="auto"/>
              <w:bottom w:val="single" w:sz="6" w:space="0" w:color="auto"/>
              <w:right w:val="single" w:sz="6" w:space="0" w:color="auto"/>
            </w:tcBorders>
            <w:shd w:val="clear" w:color="auto" w:fill="FFFFFF"/>
          </w:tcPr>
          <w:p w:rsidR="001860C6" w:rsidRPr="002F0A8E" w:rsidRDefault="001860C6" w:rsidP="002F0A8E">
            <w:r w:rsidRPr="002F0A8E">
              <w:t xml:space="preserve">X tenkina </w:t>
            </w:r>
          </w:p>
          <w:p w:rsidR="001860C6" w:rsidRPr="002F0A8E" w:rsidRDefault="001860C6" w:rsidP="002F0A8E">
            <w:r w:rsidRPr="002F0A8E">
              <w:t>□ netenkina</w:t>
            </w:r>
          </w:p>
        </w:tc>
      </w:tr>
    </w:tbl>
    <w:p w:rsidR="001860C6" w:rsidRDefault="001860C6" w:rsidP="002F0A8E">
      <w:pPr>
        <w:shd w:val="clear" w:color="auto" w:fill="FFFFFF"/>
        <w:spacing w:before="40" w:after="120"/>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2F0A8E">
      <w:pPr>
        <w:spacing w:after="12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E95A86">
            <w:r w:rsidRPr="006E297A">
              <w:t>Ne</w:t>
            </w:r>
            <w:r w:rsidR="00E95A86">
              <w:t>. Tai numato kiti Lietuvos Respublikos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E95A86" w:rsidP="00E95A86">
            <w:r>
              <w:t>Ne. Tai numato kiti Lietuvos Respublikos teisės aktai.</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697DF4">
        <w:rPr>
          <w:spacing w:val="-2"/>
          <w:sz w:val="22"/>
          <w:szCs w:val="22"/>
        </w:rPr>
        <w:t xml:space="preserve"> </w:t>
      </w:r>
      <w:r w:rsidR="00C16581">
        <w:rPr>
          <w:spacing w:val="-2"/>
          <w:sz w:val="22"/>
          <w:szCs w:val="22"/>
        </w:rPr>
        <w:t>Švietimo, kultūros ir sporto skyriaus v</w:t>
      </w:r>
      <w:r w:rsidR="00903BF4">
        <w:rPr>
          <w:sz w:val="22"/>
          <w:szCs w:val="22"/>
        </w:rPr>
        <w:t>yr. specialistė</w:t>
      </w:r>
      <w:r w:rsidR="00697DF4">
        <w:rPr>
          <w:sz w:val="22"/>
          <w:szCs w:val="22"/>
        </w:rPr>
        <w:t xml:space="preserve"> </w:t>
      </w:r>
      <w:r w:rsidR="00CF2AF7">
        <w:rPr>
          <w:sz w:val="22"/>
          <w:szCs w:val="22"/>
        </w:rPr>
        <w:t>Sigita Jasiūnienė</w:t>
      </w:r>
      <w:r w:rsidR="00555546">
        <w:rPr>
          <w:sz w:val="22"/>
          <w:szCs w:val="22"/>
        </w:rPr>
        <w:t xml:space="preserve">    </w:t>
      </w:r>
      <w:r w:rsidR="00C16581">
        <w:rPr>
          <w:sz w:val="22"/>
          <w:szCs w:val="22"/>
        </w:rPr>
        <w:t xml:space="preserve">          </w:t>
      </w:r>
      <w:r w:rsidR="00555546">
        <w:rPr>
          <w:spacing w:val="-2"/>
          <w:sz w:val="22"/>
          <w:szCs w:val="22"/>
        </w:rPr>
        <w:t>vertintojas</w:t>
      </w:r>
      <w:r w:rsidR="00697DF4">
        <w:rPr>
          <w:spacing w:val="-2"/>
          <w:sz w:val="22"/>
          <w:szCs w:val="22"/>
        </w:rPr>
        <w:t>:</w:t>
      </w:r>
      <w:r w:rsidR="00697DF4">
        <w:rPr>
          <w:rFonts w:ascii="Arial" w:cs="Arial"/>
          <w:sz w:val="22"/>
          <w:szCs w:val="22"/>
        </w:rPr>
        <w:t xml:space="preserve"> </w:t>
      </w:r>
      <w:r w:rsidR="00C16581" w:rsidRPr="00C16581">
        <w:rPr>
          <w:sz w:val="22"/>
          <w:szCs w:val="22"/>
        </w:rPr>
        <w:t xml:space="preserve">Juridinio skyriaus </w:t>
      </w:r>
      <w:r w:rsidRPr="00C16581">
        <w:rPr>
          <w:sz w:val="22"/>
          <w:szCs w:val="22"/>
        </w:rPr>
        <w:t>vyr.</w:t>
      </w:r>
      <w:r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2C0A76" w:rsidRDefault="001860C6" w:rsidP="00CF2AF7">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C16581">
        <w:rPr>
          <w:sz w:val="22"/>
          <w:szCs w:val="22"/>
        </w:rPr>
        <w:t>018-10-1</w:t>
      </w:r>
      <w:r w:rsidR="00CF2AF7">
        <w:rPr>
          <w:sz w:val="22"/>
          <w:szCs w:val="22"/>
        </w:rPr>
        <w:t>8</w:t>
      </w:r>
    </w:p>
    <w:sectPr w:rsidR="002C0A76" w:rsidSect="000D57BC">
      <w:pgSz w:w="16834" w:h="11909" w:orient="landscape"/>
      <w:pgMar w:top="426" w:right="1106" w:bottom="720" w:left="1106"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C6"/>
    <w:rsid w:val="00032E71"/>
    <w:rsid w:val="00036796"/>
    <w:rsid w:val="00063BB6"/>
    <w:rsid w:val="00075B47"/>
    <w:rsid w:val="000B10A8"/>
    <w:rsid w:val="000D57BC"/>
    <w:rsid w:val="000E6D76"/>
    <w:rsid w:val="00112A01"/>
    <w:rsid w:val="00134530"/>
    <w:rsid w:val="00166725"/>
    <w:rsid w:val="001860C6"/>
    <w:rsid w:val="00192122"/>
    <w:rsid w:val="002961CE"/>
    <w:rsid w:val="002C0A76"/>
    <w:rsid w:val="002D39A5"/>
    <w:rsid w:val="002D7184"/>
    <w:rsid w:val="002E0B4F"/>
    <w:rsid w:val="002F0A8E"/>
    <w:rsid w:val="00356F79"/>
    <w:rsid w:val="00371CDC"/>
    <w:rsid w:val="003B2380"/>
    <w:rsid w:val="00420BB7"/>
    <w:rsid w:val="0046310D"/>
    <w:rsid w:val="004A4467"/>
    <w:rsid w:val="004B20B1"/>
    <w:rsid w:val="00516696"/>
    <w:rsid w:val="00555546"/>
    <w:rsid w:val="00562DE0"/>
    <w:rsid w:val="005B025A"/>
    <w:rsid w:val="005B57E5"/>
    <w:rsid w:val="005E3C7B"/>
    <w:rsid w:val="00601636"/>
    <w:rsid w:val="00672CA1"/>
    <w:rsid w:val="00697ADD"/>
    <w:rsid w:val="00697DF4"/>
    <w:rsid w:val="00746269"/>
    <w:rsid w:val="00752C34"/>
    <w:rsid w:val="007659B9"/>
    <w:rsid w:val="00782E04"/>
    <w:rsid w:val="007943B8"/>
    <w:rsid w:val="007F1856"/>
    <w:rsid w:val="00815DE4"/>
    <w:rsid w:val="00874E92"/>
    <w:rsid w:val="00903BF4"/>
    <w:rsid w:val="00916B06"/>
    <w:rsid w:val="00946707"/>
    <w:rsid w:val="009E54FE"/>
    <w:rsid w:val="00A103D9"/>
    <w:rsid w:val="00A3003F"/>
    <w:rsid w:val="00A66CDC"/>
    <w:rsid w:val="00A748F0"/>
    <w:rsid w:val="00AE2A71"/>
    <w:rsid w:val="00B4320A"/>
    <w:rsid w:val="00B45E2F"/>
    <w:rsid w:val="00B63453"/>
    <w:rsid w:val="00BB0946"/>
    <w:rsid w:val="00BD419C"/>
    <w:rsid w:val="00BF601B"/>
    <w:rsid w:val="00C16581"/>
    <w:rsid w:val="00CB5A7E"/>
    <w:rsid w:val="00CB6066"/>
    <w:rsid w:val="00CF2AF7"/>
    <w:rsid w:val="00D06A18"/>
    <w:rsid w:val="00D13E73"/>
    <w:rsid w:val="00D336D9"/>
    <w:rsid w:val="00D45C84"/>
    <w:rsid w:val="00D51E5E"/>
    <w:rsid w:val="00D716D6"/>
    <w:rsid w:val="00DB16F8"/>
    <w:rsid w:val="00DB5520"/>
    <w:rsid w:val="00DE7A42"/>
    <w:rsid w:val="00E65215"/>
    <w:rsid w:val="00E73E0F"/>
    <w:rsid w:val="00E907A3"/>
    <w:rsid w:val="00E940E1"/>
    <w:rsid w:val="00E95A86"/>
    <w:rsid w:val="00E95C8D"/>
    <w:rsid w:val="00EC1DD2"/>
    <w:rsid w:val="00ED6A04"/>
    <w:rsid w:val="00EE713A"/>
    <w:rsid w:val="00EF69EF"/>
    <w:rsid w:val="00F32BF6"/>
    <w:rsid w:val="00F91C61"/>
    <w:rsid w:val="00F97019"/>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EF"/>
    <w:rPr>
      <w:rFonts w:ascii="Segoe UI" w:eastAsia="Times New Roman" w:hAnsi="Segoe UI" w:cs="Segoe UI"/>
      <w:sz w:val="18"/>
      <w:szCs w:val="18"/>
      <w:lang w:eastAsia="lt-LT"/>
    </w:rPr>
  </w:style>
  <w:style w:type="paragraph" w:styleId="ListParagraph">
    <w:name w:val="List Paragraph"/>
    <w:basedOn w:val="Normal"/>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C1715-31A8-4703-B9A6-81AF2918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7812</Words>
  <Characters>4454</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12242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Sigita</cp:lastModifiedBy>
  <cp:revision>2</cp:revision>
  <cp:lastPrinted>2018-10-18T12:32:00Z</cp:lastPrinted>
  <dcterms:created xsi:type="dcterms:W3CDTF">2018-10-18T13:06:00Z</dcterms:created>
  <dcterms:modified xsi:type="dcterms:W3CDTF">2018-10-18T13:06:00Z</dcterms:modified>
</cp:coreProperties>
</file>