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5" w:rsidRDefault="000C069E" w:rsidP="00AA1CF5">
      <w:pPr>
        <w:pStyle w:val="Header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bookmarkStart w:id="0" w:name="_GoBack"/>
      <w:bookmarkEnd w:id="0"/>
      <w:r>
        <w:t xml:space="preserve">                                     </w:t>
      </w:r>
      <w:r w:rsidR="00972F7D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A72356" w:rsidRDefault="00AA1CF5" w:rsidP="00AA1CF5">
      <w:pPr>
        <w:pStyle w:val="Header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C069E">
        <w:rPr>
          <w:b/>
          <w:bCs/>
          <w:sz w:val="24"/>
          <w:szCs w:val="24"/>
        </w:rPr>
        <w:t>Projektas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Pr="000E73AF" w:rsidRDefault="000C069E" w:rsidP="00470539">
      <w:pPr>
        <w:jc w:val="center"/>
        <w:rPr>
          <w:sz w:val="24"/>
          <w:szCs w:val="24"/>
        </w:rPr>
      </w:pPr>
      <w:r w:rsidRPr="000E73AF">
        <w:rPr>
          <w:b/>
          <w:bCs/>
          <w:sz w:val="24"/>
          <w:szCs w:val="24"/>
        </w:rPr>
        <w:t xml:space="preserve">DĖL </w:t>
      </w:r>
      <w:r w:rsidR="00470539">
        <w:rPr>
          <w:b/>
          <w:bCs/>
          <w:sz w:val="24"/>
          <w:szCs w:val="24"/>
        </w:rPr>
        <w:t>PANEVĖŽ</w:t>
      </w:r>
      <w:r w:rsidR="00470539" w:rsidRPr="004E29BA">
        <w:rPr>
          <w:b/>
          <w:bCs/>
          <w:sz w:val="24"/>
          <w:szCs w:val="24"/>
        </w:rPr>
        <w:t>IO RAJONO SAVIVALDYBĖS DAUGIABUČIŲ GYVENAMŲJŲ NAMŲ MAKSIMAL</w:t>
      </w:r>
      <w:r w:rsidR="00470539">
        <w:rPr>
          <w:b/>
          <w:bCs/>
          <w:sz w:val="24"/>
          <w:szCs w:val="24"/>
        </w:rPr>
        <w:t>IŲ</w:t>
      </w:r>
      <w:r w:rsidR="00470539" w:rsidRPr="004E29BA">
        <w:rPr>
          <w:b/>
          <w:bCs/>
          <w:sz w:val="24"/>
          <w:szCs w:val="24"/>
        </w:rPr>
        <w:t xml:space="preserve"> TECHNINĖS P</w:t>
      </w:r>
      <w:r w:rsidR="00470539">
        <w:rPr>
          <w:b/>
          <w:bCs/>
          <w:sz w:val="24"/>
          <w:szCs w:val="24"/>
        </w:rPr>
        <w:t xml:space="preserve">RIEŽIŪROS TARIFŲ </w:t>
      </w:r>
      <w:r w:rsidR="00841D0D" w:rsidRPr="000E73AF">
        <w:rPr>
          <w:b/>
          <w:sz w:val="24"/>
          <w:szCs w:val="24"/>
        </w:rPr>
        <w:t>PA</w:t>
      </w:r>
      <w:r w:rsidR="00841D0D" w:rsidRPr="000E73AF">
        <w:rPr>
          <w:b/>
          <w:bCs/>
          <w:sz w:val="24"/>
          <w:szCs w:val="24"/>
        </w:rPr>
        <w:t>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72691D">
        <w:t>8</w:t>
      </w:r>
      <w:r>
        <w:t xml:space="preserve"> m. </w:t>
      </w:r>
      <w:r w:rsidR="00C01D03">
        <w:t>rugpjūčio</w:t>
      </w:r>
      <w:r>
        <w:t xml:space="preserve"> </w:t>
      </w:r>
      <w:r w:rsidR="00841D0D">
        <w:t>3</w:t>
      </w:r>
      <w:r w:rsidR="007332D7">
        <w:t>0</w:t>
      </w:r>
      <w:r>
        <w:t xml:space="preserve"> d. Nr. T-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 w:rsidP="007E7734">
      <w:pPr>
        <w:pStyle w:val="NormalWeb"/>
        <w:spacing w:before="0" w:after="0"/>
        <w:ind w:firstLine="1134"/>
        <w:jc w:val="both"/>
        <w:rPr>
          <w:bCs/>
          <w:color w:val="000000"/>
        </w:rPr>
      </w:pPr>
    </w:p>
    <w:p w:rsidR="00A72356" w:rsidRPr="005E525E" w:rsidRDefault="000C069E" w:rsidP="007E7734">
      <w:pPr>
        <w:ind w:firstLine="1134"/>
        <w:jc w:val="both"/>
        <w:rPr>
          <w:sz w:val="24"/>
          <w:szCs w:val="24"/>
        </w:rPr>
      </w:pPr>
      <w:r w:rsidRPr="005E525E">
        <w:rPr>
          <w:sz w:val="24"/>
          <w:szCs w:val="24"/>
        </w:rPr>
        <w:t xml:space="preserve">Vadovaudamasi </w:t>
      </w:r>
      <w:r w:rsidR="00546C73" w:rsidRPr="005E525E">
        <w:rPr>
          <w:rFonts w:eastAsia="TimesNewRoman"/>
          <w:sz w:val="24"/>
          <w:szCs w:val="24"/>
        </w:rPr>
        <w:t>Lietuvos Respublikos vietos savivaldos įstatymo 16 straipsnio</w:t>
      </w:r>
      <w:r w:rsidR="005E525E">
        <w:rPr>
          <w:rFonts w:eastAsia="TimesNewRoman"/>
          <w:sz w:val="24"/>
          <w:szCs w:val="24"/>
        </w:rPr>
        <w:t xml:space="preserve"> 2 dalies 37 punktu</w:t>
      </w:r>
      <w:r w:rsidR="00546C73" w:rsidRPr="005E525E">
        <w:rPr>
          <w:rFonts w:eastAsia="TimesNewRoman"/>
          <w:sz w:val="24"/>
          <w:szCs w:val="24"/>
        </w:rPr>
        <w:t xml:space="preserve">, </w:t>
      </w:r>
      <w:r w:rsidRPr="005E525E">
        <w:rPr>
          <w:sz w:val="24"/>
          <w:szCs w:val="24"/>
        </w:rPr>
        <w:t xml:space="preserve">Lietuvos Respublikos </w:t>
      </w:r>
      <w:r w:rsidR="003B6BB2" w:rsidRPr="005E525E">
        <w:rPr>
          <w:rFonts w:eastAsia="TimesNewRoman"/>
          <w:sz w:val="24"/>
          <w:szCs w:val="24"/>
        </w:rPr>
        <w:t>statybos</w:t>
      </w:r>
      <w:r w:rsidR="00546C73" w:rsidRPr="005E525E">
        <w:rPr>
          <w:rFonts w:eastAsia="TimesNewRoman"/>
          <w:sz w:val="24"/>
          <w:szCs w:val="24"/>
        </w:rPr>
        <w:t xml:space="preserve"> įstatymo</w:t>
      </w:r>
      <w:r w:rsidR="003B6BB2" w:rsidRPr="005E525E">
        <w:rPr>
          <w:rFonts w:eastAsia="TimesNewRoman"/>
          <w:sz w:val="24"/>
          <w:szCs w:val="24"/>
        </w:rPr>
        <w:t xml:space="preserve"> 48</w:t>
      </w:r>
      <w:r w:rsidR="00546C73" w:rsidRPr="005E525E">
        <w:rPr>
          <w:rFonts w:eastAsia="TimesNewRoman"/>
          <w:sz w:val="24"/>
          <w:szCs w:val="24"/>
        </w:rPr>
        <w:t xml:space="preserve"> straipsnio </w:t>
      </w:r>
      <w:r w:rsidR="003B6BB2" w:rsidRPr="005E525E">
        <w:rPr>
          <w:rFonts w:eastAsia="TimesNewRoman"/>
          <w:sz w:val="24"/>
          <w:szCs w:val="24"/>
        </w:rPr>
        <w:t>7</w:t>
      </w:r>
      <w:r w:rsidR="00546C73" w:rsidRPr="005E525E">
        <w:rPr>
          <w:rFonts w:eastAsia="TimesNewRoman"/>
          <w:sz w:val="24"/>
          <w:szCs w:val="24"/>
        </w:rPr>
        <w:t xml:space="preserve"> </w:t>
      </w:r>
      <w:r w:rsidR="003B6BB2" w:rsidRPr="005E525E">
        <w:rPr>
          <w:rFonts w:eastAsia="TimesNewRoman"/>
          <w:sz w:val="24"/>
          <w:szCs w:val="24"/>
        </w:rPr>
        <w:t>dalimi</w:t>
      </w:r>
      <w:r w:rsidR="00546C73" w:rsidRPr="005E525E">
        <w:rPr>
          <w:rFonts w:eastAsia="TimesNewRoman"/>
          <w:sz w:val="24"/>
          <w:szCs w:val="24"/>
        </w:rPr>
        <w:t xml:space="preserve">, </w:t>
      </w:r>
      <w:r w:rsidR="005E525E" w:rsidRPr="005E525E">
        <w:rPr>
          <w:sz w:val="24"/>
          <w:szCs w:val="24"/>
        </w:rPr>
        <w:t>Daugiabučių gyvenamųjų namų techninės priežiūros tarifo apskaičiavimo metodika</w:t>
      </w:r>
      <w:r w:rsidR="00546C73" w:rsidRPr="005E525E">
        <w:rPr>
          <w:rFonts w:eastAsia="TimesNewRoman"/>
          <w:sz w:val="24"/>
          <w:szCs w:val="24"/>
        </w:rPr>
        <w:t>, patvirtint</w:t>
      </w:r>
      <w:r w:rsidR="005E525E" w:rsidRPr="005E525E">
        <w:rPr>
          <w:rFonts w:eastAsia="TimesNewRoman"/>
          <w:sz w:val="24"/>
          <w:szCs w:val="24"/>
        </w:rPr>
        <w:t>a</w:t>
      </w:r>
      <w:r w:rsidR="00546C73" w:rsidRPr="005E525E">
        <w:rPr>
          <w:rFonts w:eastAsia="TimesNewRoman"/>
          <w:sz w:val="24"/>
          <w:szCs w:val="24"/>
        </w:rPr>
        <w:t xml:space="preserve"> Lietuvos Respublikos aplinkos ministro </w:t>
      </w:r>
      <w:r w:rsidR="00546C73" w:rsidRPr="005E525E">
        <w:rPr>
          <w:sz w:val="24"/>
          <w:szCs w:val="24"/>
        </w:rPr>
        <w:t>201</w:t>
      </w:r>
      <w:r w:rsidR="005E525E" w:rsidRPr="005E525E">
        <w:rPr>
          <w:sz w:val="24"/>
          <w:szCs w:val="24"/>
        </w:rPr>
        <w:t>8 m. gegužės 3</w:t>
      </w:r>
      <w:r w:rsidR="00546C73" w:rsidRPr="005E525E">
        <w:rPr>
          <w:sz w:val="24"/>
          <w:szCs w:val="24"/>
        </w:rPr>
        <w:t xml:space="preserve"> d. įsakymu </w:t>
      </w:r>
      <w:r w:rsidR="005E525E" w:rsidRPr="005E525E">
        <w:rPr>
          <w:sz w:val="24"/>
          <w:szCs w:val="24"/>
        </w:rPr>
        <w:t>Nr. D1-354</w:t>
      </w:r>
      <w:r w:rsidR="00546C73" w:rsidRPr="005E525E">
        <w:rPr>
          <w:rFonts w:eastAsia="TimesNewRoman"/>
          <w:sz w:val="24"/>
          <w:szCs w:val="24"/>
        </w:rPr>
        <w:t xml:space="preserve"> </w:t>
      </w:r>
      <w:r w:rsidR="00BF6760" w:rsidRPr="005E525E">
        <w:rPr>
          <w:rFonts w:eastAsia="TimesNewRoman"/>
          <w:sz w:val="24"/>
          <w:szCs w:val="24"/>
        </w:rPr>
        <w:t>„Dėl</w:t>
      </w:r>
      <w:r w:rsidR="00546C73" w:rsidRPr="005E525E">
        <w:rPr>
          <w:rFonts w:eastAsia="TimesNewRoman"/>
          <w:sz w:val="24"/>
          <w:szCs w:val="24"/>
        </w:rPr>
        <w:t xml:space="preserve"> </w:t>
      </w:r>
      <w:r w:rsidR="005E525E" w:rsidRPr="005E525E">
        <w:rPr>
          <w:sz w:val="24"/>
          <w:szCs w:val="24"/>
        </w:rPr>
        <w:t>Daugiabučių gyvenamųjų namų techninės priežiūros tarifo apskaičiavimo metodikos</w:t>
      </w:r>
      <w:r w:rsidR="00BF6760" w:rsidRPr="005E525E">
        <w:rPr>
          <w:rFonts w:eastAsia="TimesNewRoman"/>
          <w:sz w:val="24"/>
          <w:szCs w:val="24"/>
        </w:rPr>
        <w:t xml:space="preserve"> patvirtinimo</w:t>
      </w:r>
      <w:r w:rsidR="00425738" w:rsidRPr="005E525E">
        <w:rPr>
          <w:sz w:val="24"/>
          <w:szCs w:val="24"/>
        </w:rPr>
        <w:t>“</w:t>
      </w:r>
      <w:r w:rsidR="00635C3C" w:rsidRPr="005E525E">
        <w:rPr>
          <w:sz w:val="24"/>
          <w:szCs w:val="24"/>
        </w:rPr>
        <w:t>,</w:t>
      </w:r>
      <w:r w:rsidR="00BF6760" w:rsidRPr="005E525E">
        <w:rPr>
          <w:sz w:val="24"/>
          <w:szCs w:val="24"/>
        </w:rPr>
        <w:t xml:space="preserve"> </w:t>
      </w:r>
      <w:r w:rsidRPr="005E525E">
        <w:rPr>
          <w:sz w:val="24"/>
          <w:szCs w:val="24"/>
        </w:rPr>
        <w:t xml:space="preserve">Panevėžio rajono </w:t>
      </w:r>
      <w:proofErr w:type="gramStart"/>
      <w:r w:rsidRPr="005E525E">
        <w:rPr>
          <w:sz w:val="24"/>
          <w:szCs w:val="24"/>
        </w:rPr>
        <w:t>savivaldybės taryba</w:t>
      </w:r>
      <w:proofErr w:type="gramEnd"/>
      <w:r w:rsidRPr="005E525E">
        <w:rPr>
          <w:sz w:val="24"/>
          <w:szCs w:val="24"/>
        </w:rPr>
        <w:t xml:space="preserve"> n u s p r e n d ž i a:</w:t>
      </w:r>
    </w:p>
    <w:p w:rsidR="00841D0D" w:rsidRPr="00EC7E12" w:rsidRDefault="00841D0D" w:rsidP="00EC7E12">
      <w:pPr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sz w:val="24"/>
          <w:szCs w:val="24"/>
        </w:rPr>
      </w:pPr>
      <w:r w:rsidRPr="005E525E">
        <w:rPr>
          <w:sz w:val="24"/>
          <w:szCs w:val="24"/>
        </w:rPr>
        <w:t>Pa</w:t>
      </w:r>
      <w:r w:rsidR="00425738" w:rsidRPr="005E525E">
        <w:rPr>
          <w:sz w:val="24"/>
          <w:szCs w:val="24"/>
        </w:rPr>
        <w:t xml:space="preserve">tvirtinti </w:t>
      </w:r>
      <w:r w:rsidR="005E525E" w:rsidRPr="005E525E">
        <w:rPr>
          <w:sz w:val="24"/>
          <w:szCs w:val="24"/>
        </w:rPr>
        <w:t xml:space="preserve">Panevėžio rajono savivaldybės daugiabučių gyvenamųjų namų maksimalius </w:t>
      </w:r>
      <w:r w:rsidR="005E525E" w:rsidRPr="00EC7E12">
        <w:rPr>
          <w:sz w:val="24"/>
          <w:szCs w:val="24"/>
        </w:rPr>
        <w:t>techninės priežiūros tarifus (pridedama).</w:t>
      </w:r>
      <w:r w:rsidRPr="00EC7E12">
        <w:rPr>
          <w:sz w:val="24"/>
          <w:szCs w:val="24"/>
        </w:rPr>
        <w:t xml:space="preserve"> </w:t>
      </w:r>
    </w:p>
    <w:p w:rsidR="00EC7E12" w:rsidRPr="00EC7E12" w:rsidRDefault="00EC7E12" w:rsidP="00EC7E12">
      <w:pPr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sz w:val="24"/>
          <w:szCs w:val="24"/>
        </w:rPr>
      </w:pPr>
      <w:r w:rsidRPr="00EC7E12">
        <w:rPr>
          <w:sz w:val="24"/>
          <w:szCs w:val="24"/>
        </w:rPr>
        <w:t xml:space="preserve">Pripažinti netekusiu galios Panevėžio rajono savivaldybės tarybos 2014 m. </w:t>
      </w:r>
      <w:r>
        <w:rPr>
          <w:sz w:val="24"/>
          <w:szCs w:val="24"/>
        </w:rPr>
        <w:t>gegužės</w:t>
      </w:r>
      <w:proofErr w:type="gramStart"/>
      <w:r w:rsidRPr="00EC7E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8</w:t>
      </w:r>
      <w:r w:rsidRPr="00EC7E12">
        <w:rPr>
          <w:sz w:val="24"/>
          <w:szCs w:val="24"/>
        </w:rPr>
        <w:t xml:space="preserve"> d. sprendimą Nr. T-</w:t>
      </w:r>
      <w:r>
        <w:rPr>
          <w:sz w:val="24"/>
          <w:szCs w:val="24"/>
        </w:rPr>
        <w:t>9</w:t>
      </w:r>
      <w:r w:rsidRPr="00EC7E12">
        <w:rPr>
          <w:sz w:val="24"/>
          <w:szCs w:val="24"/>
        </w:rPr>
        <w:t xml:space="preserve">6 „Dėl Panevėžio rajono </w:t>
      </w:r>
      <w:r>
        <w:rPr>
          <w:sz w:val="24"/>
          <w:szCs w:val="24"/>
        </w:rPr>
        <w:t>d</w:t>
      </w:r>
      <w:r w:rsidRPr="005E525E">
        <w:rPr>
          <w:sz w:val="24"/>
          <w:szCs w:val="24"/>
        </w:rPr>
        <w:t xml:space="preserve">augiabučių gyvenamųjų namų </w:t>
      </w:r>
      <w:r>
        <w:rPr>
          <w:sz w:val="24"/>
          <w:szCs w:val="24"/>
        </w:rPr>
        <w:t xml:space="preserve">patalpų savininkų bendrojo naudojimo objektų nuolatinės </w:t>
      </w:r>
      <w:r w:rsidRPr="005E525E">
        <w:rPr>
          <w:sz w:val="24"/>
          <w:szCs w:val="24"/>
        </w:rPr>
        <w:t xml:space="preserve">techninės priežiūros </w:t>
      </w:r>
      <w:r>
        <w:rPr>
          <w:sz w:val="24"/>
          <w:szCs w:val="24"/>
        </w:rPr>
        <w:t xml:space="preserve">mokesčio </w:t>
      </w:r>
      <w:r w:rsidRPr="005E525E">
        <w:rPr>
          <w:sz w:val="24"/>
          <w:szCs w:val="24"/>
        </w:rPr>
        <w:t>tarifo apskaičiavimo metodikos</w:t>
      </w:r>
      <w:r w:rsidRPr="005E525E">
        <w:rPr>
          <w:rFonts w:eastAsia="TimesNewRoman"/>
          <w:sz w:val="24"/>
          <w:szCs w:val="24"/>
        </w:rPr>
        <w:t xml:space="preserve"> patvirtinimo</w:t>
      </w:r>
      <w:r w:rsidRPr="00EC7E12">
        <w:rPr>
          <w:sz w:val="24"/>
          <w:szCs w:val="24"/>
        </w:rPr>
        <w:t>“ su visais pakeitimais</w:t>
      </w:r>
    </w:p>
    <w:p w:rsidR="00EC7E12" w:rsidRPr="00EC7E12" w:rsidRDefault="00EC7E12" w:rsidP="00EC7E12">
      <w:pPr>
        <w:tabs>
          <w:tab w:val="left" w:pos="1418"/>
        </w:tabs>
        <w:ind w:firstLine="1134"/>
        <w:jc w:val="both"/>
        <w:rPr>
          <w:sz w:val="24"/>
          <w:szCs w:val="24"/>
        </w:rPr>
      </w:pPr>
      <w:r w:rsidRPr="00EC7E12">
        <w:rPr>
          <w:rFonts w:eastAsia="Calibri"/>
          <w:sz w:val="24"/>
          <w:szCs w:val="24"/>
        </w:rPr>
        <w:t>Šis sprendimas skelbiamas Teisės aktų registre ir gali būti skundžiamas Lietuvos Respublikos administracinių bylų teisenos įstatymo nustatyta tvarka</w:t>
      </w:r>
      <w:r>
        <w:rPr>
          <w:rFonts w:eastAsia="Calibri"/>
          <w:sz w:val="24"/>
          <w:szCs w:val="24"/>
        </w:rPr>
        <w:t>.</w:t>
      </w:r>
    </w:p>
    <w:p w:rsidR="00841D0D" w:rsidRPr="005E525E" w:rsidRDefault="00841D0D" w:rsidP="00841D0D">
      <w:pPr>
        <w:tabs>
          <w:tab w:val="left" w:pos="1418"/>
        </w:tabs>
        <w:ind w:left="1134"/>
        <w:jc w:val="both"/>
        <w:rPr>
          <w:sz w:val="24"/>
          <w:szCs w:val="24"/>
        </w:rPr>
      </w:pPr>
    </w:p>
    <w:p w:rsidR="00841D0D" w:rsidRDefault="00841D0D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841D0D" w:rsidRDefault="00841D0D" w:rsidP="00841D0D">
      <w:pPr>
        <w:pStyle w:val="NormalWeb"/>
        <w:spacing w:before="0" w:after="0"/>
        <w:jc w:val="both"/>
      </w:pPr>
    </w:p>
    <w:p w:rsidR="00A72356" w:rsidRPr="003136AF" w:rsidRDefault="00A72356" w:rsidP="00BF76BC">
      <w:pPr>
        <w:pStyle w:val="NormalWeb"/>
        <w:spacing w:before="0" w:after="0"/>
        <w:ind w:firstLine="1418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635A" w:rsidRDefault="00A7635A">
      <w:pPr>
        <w:pStyle w:val="NormalWeb"/>
        <w:spacing w:before="0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A7635A">
        <w:rPr>
          <w:sz w:val="24"/>
          <w:szCs w:val="24"/>
        </w:rPr>
        <w:t>imas</w:t>
      </w:r>
      <w:r>
        <w:rPr>
          <w:sz w:val="24"/>
          <w:szCs w:val="24"/>
        </w:rPr>
        <w:t xml:space="preserve"> </w:t>
      </w:r>
      <w:r w:rsidR="00A7635A">
        <w:rPr>
          <w:sz w:val="24"/>
          <w:szCs w:val="24"/>
        </w:rPr>
        <w:t>Samkus</w:t>
      </w:r>
    </w:p>
    <w:p w:rsidR="00A7635A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A269D3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A269D3">
        <w:rPr>
          <w:sz w:val="24"/>
          <w:szCs w:val="24"/>
        </w:rPr>
        <w:t>0</w:t>
      </w:r>
      <w:r w:rsidR="00C01D03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7332D7">
        <w:rPr>
          <w:sz w:val="24"/>
          <w:szCs w:val="24"/>
        </w:rPr>
        <w:t>3</w:t>
      </w:r>
      <w:r w:rsidR="002E1D38">
        <w:rPr>
          <w:sz w:val="24"/>
          <w:szCs w:val="24"/>
        </w:rPr>
        <w:t>1</w:t>
      </w:r>
    </w:p>
    <w:p w:rsidR="004E29BA" w:rsidRPr="004E29BA" w:rsidRDefault="004E29BA" w:rsidP="004E29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4E29BA">
        <w:rPr>
          <w:bCs/>
          <w:sz w:val="24"/>
          <w:szCs w:val="24"/>
        </w:rPr>
        <w:t>PATVIRTINTA</w:t>
      </w:r>
    </w:p>
    <w:p w:rsidR="004E29BA" w:rsidRPr="004E29BA" w:rsidRDefault="004E29BA" w:rsidP="004E29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Panevėž</w:t>
      </w:r>
      <w:r w:rsidRPr="004E29BA">
        <w:rPr>
          <w:bCs/>
          <w:sz w:val="24"/>
          <w:szCs w:val="24"/>
        </w:rPr>
        <w:t xml:space="preserve">io rajono </w:t>
      </w:r>
      <w:proofErr w:type="gramStart"/>
      <w:r w:rsidRPr="004E29BA">
        <w:rPr>
          <w:bCs/>
          <w:sz w:val="24"/>
          <w:szCs w:val="24"/>
        </w:rPr>
        <w:t>savivaldybės tarybos</w:t>
      </w:r>
      <w:proofErr w:type="gramEnd"/>
      <w:r w:rsidRPr="004E29BA">
        <w:rPr>
          <w:bCs/>
          <w:sz w:val="24"/>
          <w:szCs w:val="24"/>
        </w:rPr>
        <w:t xml:space="preserve"> </w:t>
      </w:r>
    </w:p>
    <w:p w:rsidR="004E29BA" w:rsidRDefault="004E29BA" w:rsidP="004E29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</w:t>
      </w:r>
      <w:r w:rsidRPr="004E29BA">
        <w:rPr>
          <w:bCs/>
          <w:sz w:val="24"/>
          <w:szCs w:val="24"/>
        </w:rPr>
        <w:t xml:space="preserve">2018 m. </w:t>
      </w:r>
      <w:r>
        <w:rPr>
          <w:bCs/>
          <w:sz w:val="24"/>
          <w:szCs w:val="24"/>
        </w:rPr>
        <w:t>rugpjūč</w:t>
      </w:r>
      <w:r w:rsidRPr="004E29BA">
        <w:rPr>
          <w:bCs/>
          <w:sz w:val="24"/>
          <w:szCs w:val="24"/>
        </w:rPr>
        <w:t xml:space="preserve">io </w:t>
      </w:r>
      <w:r>
        <w:rPr>
          <w:bCs/>
          <w:sz w:val="24"/>
          <w:szCs w:val="24"/>
        </w:rPr>
        <w:t>3</w:t>
      </w:r>
      <w:r w:rsidR="007332D7">
        <w:rPr>
          <w:bCs/>
          <w:sz w:val="24"/>
          <w:szCs w:val="24"/>
        </w:rPr>
        <w:t>0</w:t>
      </w:r>
      <w:r w:rsidRPr="004E29BA">
        <w:rPr>
          <w:bCs/>
          <w:sz w:val="24"/>
          <w:szCs w:val="24"/>
        </w:rPr>
        <w:t xml:space="preserve"> d. sprendimu Nr. T-</w:t>
      </w:r>
    </w:p>
    <w:p w:rsidR="004E29BA" w:rsidRPr="004E29BA" w:rsidRDefault="004E29BA" w:rsidP="004E29BA">
      <w:pPr>
        <w:ind w:left="5387"/>
        <w:rPr>
          <w:bCs/>
          <w:sz w:val="24"/>
          <w:szCs w:val="24"/>
        </w:rPr>
      </w:pPr>
    </w:p>
    <w:p w:rsidR="004E29BA" w:rsidRPr="004E29BA" w:rsidRDefault="004E29BA" w:rsidP="004E29BA">
      <w:pPr>
        <w:ind w:left="5760"/>
        <w:rPr>
          <w:bCs/>
          <w:sz w:val="24"/>
          <w:szCs w:val="24"/>
        </w:rPr>
      </w:pPr>
    </w:p>
    <w:p w:rsidR="004E29BA" w:rsidRPr="004E29BA" w:rsidRDefault="004E29BA" w:rsidP="004E29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PANEVĖŽ</w:t>
      </w:r>
      <w:r w:rsidRPr="004E29BA">
        <w:rPr>
          <w:b/>
          <w:bCs/>
          <w:sz w:val="24"/>
          <w:szCs w:val="24"/>
        </w:rPr>
        <w:t xml:space="preserve">IO RAJONO SAVIVALDYBĖS DAUGIABUČIŲ GYVENAMŲJŲ </w:t>
      </w:r>
    </w:p>
    <w:p w:rsidR="004E29BA" w:rsidRPr="004E29BA" w:rsidRDefault="004E29BA" w:rsidP="004E29BA">
      <w:pPr>
        <w:jc w:val="center"/>
        <w:rPr>
          <w:b/>
          <w:bCs/>
          <w:sz w:val="24"/>
          <w:szCs w:val="24"/>
        </w:rPr>
      </w:pPr>
      <w:r w:rsidRPr="004E29BA">
        <w:rPr>
          <w:b/>
          <w:bCs/>
          <w:sz w:val="24"/>
          <w:szCs w:val="24"/>
        </w:rPr>
        <w:t>NAMŲ MAKSIMALŪS TECHNINĖS PRIEŽIŪROS TARIFAI</w:t>
      </w:r>
    </w:p>
    <w:p w:rsidR="004E29BA" w:rsidRDefault="004E29BA" w:rsidP="004E29BA">
      <w:pPr>
        <w:jc w:val="center"/>
        <w:rPr>
          <w:b/>
          <w:bCs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1308"/>
        <w:gridCol w:w="3622"/>
        <w:gridCol w:w="1331"/>
        <w:gridCol w:w="927"/>
        <w:gridCol w:w="1331"/>
      </w:tblGrid>
      <w:tr w:rsidR="007D2B9F" w:rsidRPr="007D2B9F" w:rsidTr="007D2B9F">
        <w:trPr>
          <w:cantSplit/>
          <w:trHeight w:val="9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Namų grupės Nr.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E2AA3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vertAlign w:val="superscript"/>
                <w:lang w:eastAsia="lt-LT"/>
              </w:rPr>
            </w:pPr>
            <w:r w:rsidRPr="007D2B9F">
              <w:rPr>
                <w:sz w:val="22"/>
                <w:szCs w:val="22"/>
              </w:rPr>
              <w:t>Namo</w:t>
            </w:r>
            <w:r w:rsidR="004C1AA4" w:rsidRPr="007D2B9F">
              <w:rPr>
                <w:sz w:val="22"/>
                <w:szCs w:val="22"/>
              </w:rPr>
              <w:t xml:space="preserve"> b</w:t>
            </w:r>
            <w:r w:rsidRPr="007D2B9F">
              <w:rPr>
                <w:sz w:val="22"/>
                <w:szCs w:val="22"/>
              </w:rPr>
              <w:t>e</w:t>
            </w:r>
            <w:r w:rsidRPr="007D2B9F">
              <w:rPr>
                <w:sz w:val="22"/>
                <w:szCs w:val="22"/>
              </w:rPr>
              <w:t>n</w:t>
            </w:r>
            <w:r w:rsidRPr="007D2B9F">
              <w:rPr>
                <w:sz w:val="22"/>
                <w:szCs w:val="22"/>
              </w:rPr>
              <w:t xml:space="preserve">dras </w:t>
            </w:r>
            <w:r w:rsidR="004C1AA4" w:rsidRPr="007D2B9F">
              <w:rPr>
                <w:sz w:val="22"/>
                <w:szCs w:val="22"/>
              </w:rPr>
              <w:t>na</w:t>
            </w:r>
            <w:r w:rsidR="004C1AA4" w:rsidRPr="007D2B9F">
              <w:rPr>
                <w:sz w:val="22"/>
                <w:szCs w:val="22"/>
              </w:rPr>
              <w:t>u</w:t>
            </w:r>
            <w:r w:rsidR="004C1AA4" w:rsidRPr="007D2B9F">
              <w:rPr>
                <w:sz w:val="22"/>
                <w:szCs w:val="22"/>
              </w:rPr>
              <w:t>dingasis plotas, m</w:t>
            </w:r>
            <w:r w:rsidR="004C1AA4" w:rsidRPr="007D2B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E2AA3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</w:rPr>
              <w:t>Namo</w:t>
            </w:r>
            <w:r w:rsidR="004C1AA4" w:rsidRPr="007D2B9F">
              <w:rPr>
                <w:sz w:val="22"/>
                <w:szCs w:val="22"/>
              </w:rPr>
              <w:t xml:space="preserve"> ypatumai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</w:rPr>
              <w:t>Maksimalus tarifas, Eur/m</w:t>
            </w:r>
            <w:r w:rsidRPr="007D2B9F">
              <w:rPr>
                <w:sz w:val="22"/>
                <w:szCs w:val="22"/>
                <w:vertAlign w:val="superscript"/>
              </w:rPr>
              <w:t>2</w:t>
            </w:r>
            <w:r w:rsidRPr="007D2B9F">
              <w:rPr>
                <w:sz w:val="22"/>
                <w:szCs w:val="22"/>
              </w:rPr>
              <w:t>/mėn. be PVM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PVM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</w:rPr>
              <w:t>Maksimalus tarifas, Eur/m</w:t>
            </w:r>
            <w:r w:rsidRPr="007D2B9F">
              <w:rPr>
                <w:sz w:val="22"/>
                <w:szCs w:val="22"/>
                <w:vertAlign w:val="superscript"/>
              </w:rPr>
              <w:t>2</w:t>
            </w:r>
            <w:r w:rsidRPr="007D2B9F">
              <w:rPr>
                <w:sz w:val="22"/>
                <w:szCs w:val="22"/>
              </w:rPr>
              <w:t>/mėn. su PVM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jc w:val="center"/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Iki 1</w:t>
            </w:r>
            <w:r w:rsidR="005A7EDF">
              <w:rPr>
                <w:bCs/>
                <w:sz w:val="22"/>
                <w:szCs w:val="22"/>
              </w:rPr>
              <w:t xml:space="preserve"> </w:t>
            </w:r>
            <w:r w:rsidRPr="007D2B9F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0,0161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 be išskirtinių techninės priežiūros ypatumų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0,0149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nėra bendrojo naudojimo patalpų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0,0146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nėra bendrojo naudojimo patalpų;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0,0158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0,0144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0,0140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nėra bendrojo naudojimo patalpų;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0,0168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0,0172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elektros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0,0158</w:t>
            </w:r>
          </w:p>
        </w:tc>
      </w:tr>
      <w:tr w:rsidR="007D2B9F" w:rsidRPr="007D2B9F" w:rsidTr="00AC1499">
        <w:trPr>
          <w:cantSplit/>
          <w:trHeight w:val="8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jc w:val="center"/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Nuo 1</w:t>
            </w:r>
            <w:r w:rsidR="005A7EDF">
              <w:rPr>
                <w:bCs/>
                <w:sz w:val="22"/>
                <w:szCs w:val="22"/>
              </w:rPr>
              <w:t xml:space="preserve"> </w:t>
            </w:r>
            <w:r w:rsidRPr="007D2B9F">
              <w:rPr>
                <w:bCs/>
                <w:sz w:val="22"/>
                <w:szCs w:val="22"/>
              </w:rPr>
              <w:t>001 iki 2</w:t>
            </w:r>
            <w:r w:rsidR="005A7EDF">
              <w:rPr>
                <w:bCs/>
                <w:sz w:val="22"/>
                <w:szCs w:val="22"/>
              </w:rPr>
              <w:t xml:space="preserve"> </w:t>
            </w:r>
            <w:r w:rsidRPr="007D2B9F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 be išskirtinių techninės priežiūros ypatumų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0,0175</w:t>
            </w:r>
          </w:p>
        </w:tc>
      </w:tr>
    </w:tbl>
    <w:p w:rsidR="004E29BA" w:rsidRDefault="004E29BA" w:rsidP="004E29BA">
      <w:pPr>
        <w:jc w:val="center"/>
        <w:rPr>
          <w:bCs/>
          <w:szCs w:val="24"/>
        </w:rPr>
      </w:pPr>
    </w:p>
    <w:p w:rsidR="004E29BA" w:rsidRDefault="004E29BA" w:rsidP="004E29BA">
      <w:pPr>
        <w:jc w:val="center"/>
        <w:rPr>
          <w:szCs w:val="22"/>
        </w:rPr>
      </w:pPr>
      <w:r>
        <w:rPr>
          <w:bCs/>
          <w:szCs w:val="24"/>
        </w:rPr>
        <w:t>_________________</w:t>
      </w:r>
    </w:p>
    <w:p w:rsidR="000C6DF0" w:rsidRDefault="000C6DF0">
      <w:pPr>
        <w:pStyle w:val="Standard"/>
        <w:jc w:val="both"/>
        <w:rPr>
          <w:sz w:val="24"/>
          <w:szCs w:val="24"/>
        </w:rPr>
      </w:pP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tarybai</w:t>
      </w:r>
      <w:proofErr w:type="gramEnd"/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Textbody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A72356" w:rsidRPr="00C75582" w:rsidRDefault="000C069E" w:rsidP="00C01D0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SPRENDIMO „</w:t>
      </w:r>
      <w:r w:rsidR="00C75582" w:rsidRPr="000E73AF">
        <w:rPr>
          <w:b/>
          <w:bCs/>
          <w:sz w:val="24"/>
          <w:szCs w:val="24"/>
        </w:rPr>
        <w:t xml:space="preserve">DĖL </w:t>
      </w:r>
      <w:r w:rsidR="00470539">
        <w:rPr>
          <w:b/>
          <w:bCs/>
          <w:sz w:val="24"/>
          <w:szCs w:val="24"/>
        </w:rPr>
        <w:t>PANEVĖŽ</w:t>
      </w:r>
      <w:r w:rsidR="00470539" w:rsidRPr="004E29BA">
        <w:rPr>
          <w:b/>
          <w:bCs/>
          <w:sz w:val="24"/>
          <w:szCs w:val="24"/>
        </w:rPr>
        <w:t>IO RAJONO SAVIVALDYBĖS DAUGIABUČIŲ GYVENAMŲJŲ NAMŲ MAKSIMAL</w:t>
      </w:r>
      <w:r w:rsidR="00470539">
        <w:rPr>
          <w:b/>
          <w:bCs/>
          <w:sz w:val="24"/>
          <w:szCs w:val="24"/>
        </w:rPr>
        <w:t>IŲ</w:t>
      </w:r>
      <w:r w:rsidR="00470539" w:rsidRPr="004E29BA">
        <w:rPr>
          <w:b/>
          <w:bCs/>
          <w:sz w:val="24"/>
          <w:szCs w:val="24"/>
        </w:rPr>
        <w:t xml:space="preserve"> TECHNINĖS P</w:t>
      </w:r>
      <w:r w:rsidR="00470539">
        <w:rPr>
          <w:b/>
          <w:bCs/>
          <w:sz w:val="24"/>
          <w:szCs w:val="24"/>
        </w:rPr>
        <w:t>RIEŽIŪROS TARIFŲ</w:t>
      </w:r>
      <w:r w:rsidR="00470539" w:rsidRPr="000E73AF">
        <w:rPr>
          <w:b/>
          <w:sz w:val="24"/>
          <w:szCs w:val="24"/>
        </w:rPr>
        <w:t xml:space="preserve"> </w:t>
      </w:r>
      <w:r w:rsidR="002E1D38" w:rsidRPr="000E73AF">
        <w:rPr>
          <w:b/>
          <w:sz w:val="24"/>
          <w:szCs w:val="24"/>
        </w:rPr>
        <w:t>PA</w:t>
      </w:r>
      <w:r w:rsidR="002E1D38" w:rsidRPr="000E73AF">
        <w:rPr>
          <w:b/>
          <w:bCs/>
          <w:sz w:val="24"/>
          <w:szCs w:val="24"/>
        </w:rPr>
        <w:t>TVIRTINIMO</w:t>
      </w:r>
      <w:r>
        <w:rPr>
          <w:b/>
          <w:sz w:val="24"/>
          <w:szCs w:val="24"/>
        </w:rPr>
        <w:t>“ PROJEKTO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7625C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C01D03">
        <w:rPr>
          <w:sz w:val="24"/>
          <w:szCs w:val="24"/>
        </w:rPr>
        <w:t>liepos</w:t>
      </w:r>
      <w:r w:rsidR="00D85C2B">
        <w:rPr>
          <w:sz w:val="24"/>
          <w:szCs w:val="24"/>
        </w:rPr>
        <w:t xml:space="preserve"> </w:t>
      </w:r>
      <w:r w:rsidR="007332D7">
        <w:rPr>
          <w:sz w:val="24"/>
          <w:szCs w:val="24"/>
        </w:rPr>
        <w:t>31</w:t>
      </w:r>
      <w:r>
        <w:rPr>
          <w:sz w:val="24"/>
          <w:szCs w:val="24"/>
        </w:rPr>
        <w:t xml:space="preserve"> d.</w:t>
      </w: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15574C" w:rsidRDefault="001B73F6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5E525E">
        <w:rPr>
          <w:rFonts w:eastAsia="TimesNewRoman"/>
          <w:sz w:val="24"/>
          <w:szCs w:val="24"/>
        </w:rPr>
        <w:t>Lietuv</w:t>
      </w:r>
      <w:r>
        <w:rPr>
          <w:rFonts w:eastAsia="TimesNewRoman"/>
          <w:sz w:val="24"/>
          <w:szCs w:val="24"/>
        </w:rPr>
        <w:t>os Respublikos aplinkos ministras</w:t>
      </w:r>
      <w:r w:rsidRPr="005E525E">
        <w:rPr>
          <w:rFonts w:eastAsia="TimesNewRoman"/>
          <w:sz w:val="24"/>
          <w:szCs w:val="24"/>
        </w:rPr>
        <w:t xml:space="preserve"> </w:t>
      </w:r>
      <w:r w:rsidRPr="005E525E">
        <w:rPr>
          <w:sz w:val="24"/>
          <w:szCs w:val="24"/>
        </w:rPr>
        <w:t>2018 m. gegužės 3 d. įsakymu Nr. D1-354</w:t>
      </w:r>
      <w:r w:rsidRPr="005E525E">
        <w:rPr>
          <w:rFonts w:eastAsia="TimesNewRoman"/>
          <w:sz w:val="24"/>
          <w:szCs w:val="24"/>
        </w:rPr>
        <w:t xml:space="preserve"> „Dėl </w:t>
      </w:r>
      <w:r w:rsidRPr="005E525E">
        <w:rPr>
          <w:sz w:val="24"/>
          <w:szCs w:val="24"/>
        </w:rPr>
        <w:t>Daugiabučių gyvenamųjų namų techninės priežiūros tarifo apskaičiavimo metodikos</w:t>
      </w:r>
      <w:r w:rsidRPr="005E525E">
        <w:rPr>
          <w:rFonts w:eastAsia="TimesNewRoman"/>
          <w:sz w:val="24"/>
          <w:szCs w:val="24"/>
        </w:rPr>
        <w:t xml:space="preserve"> patvirtinimo</w:t>
      </w:r>
      <w:r w:rsidRPr="005E525E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patvirtino </w:t>
      </w:r>
      <w:r w:rsidRPr="005E525E">
        <w:rPr>
          <w:sz w:val="24"/>
          <w:szCs w:val="24"/>
        </w:rPr>
        <w:t>Daugiabučių gyvenamųjų namų techninės priežiūr</w:t>
      </w:r>
      <w:r>
        <w:rPr>
          <w:sz w:val="24"/>
          <w:szCs w:val="24"/>
        </w:rPr>
        <w:t>os tarifo apskaičiavimo metodiką</w:t>
      </w:r>
      <w:r w:rsidR="008E5A8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E5A8E">
        <w:rPr>
          <w:sz w:val="24"/>
          <w:szCs w:val="24"/>
        </w:rPr>
        <w:t>Š</w:t>
      </w:r>
      <w:r>
        <w:rPr>
          <w:sz w:val="24"/>
          <w:szCs w:val="24"/>
        </w:rPr>
        <w:t xml:space="preserve">ia </w:t>
      </w:r>
      <w:r w:rsidR="008E5A8E">
        <w:rPr>
          <w:sz w:val="24"/>
          <w:szCs w:val="24"/>
        </w:rPr>
        <w:t xml:space="preserve">metodika </w:t>
      </w:r>
      <w:r>
        <w:rPr>
          <w:sz w:val="24"/>
          <w:szCs w:val="24"/>
        </w:rPr>
        <w:t xml:space="preserve">vadovaujantis yra apskaičiuojami daugiabučių namų techninės priežiūros maksimalūs tarifai, kai </w:t>
      </w:r>
      <w:r w:rsidR="00470539">
        <w:rPr>
          <w:sz w:val="24"/>
          <w:szCs w:val="24"/>
        </w:rPr>
        <w:t xml:space="preserve">šią priežiūrą </w:t>
      </w:r>
      <w:r w:rsidR="00470539" w:rsidRPr="003B6BB2">
        <w:rPr>
          <w:sz w:val="24"/>
          <w:szCs w:val="24"/>
        </w:rPr>
        <w:t>vykdo Lietuvos Respublikos civilinio kodekso nustatyta tvarka savivaldybės paskirtas bendrojo naudojimo objektų administratorius</w:t>
      </w:r>
      <w:r>
        <w:rPr>
          <w:sz w:val="24"/>
          <w:szCs w:val="24"/>
        </w:rPr>
        <w:t>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1B73F6" w:rsidRPr="001B73F6" w:rsidRDefault="001B73F6" w:rsidP="005264A6">
      <w:pPr>
        <w:pStyle w:val="NoSpacing"/>
        <w:ind w:firstLine="709"/>
        <w:jc w:val="both"/>
        <w:rPr>
          <w:sz w:val="24"/>
          <w:szCs w:val="24"/>
        </w:rPr>
      </w:pPr>
      <w:r w:rsidRPr="001B73F6">
        <w:rPr>
          <w:sz w:val="24"/>
          <w:szCs w:val="24"/>
        </w:rPr>
        <w:t>Savivaldybės vykdomoji institucija, vadovaudamasi metodika, pareng</w:t>
      </w:r>
      <w:r w:rsidR="008E5A8E">
        <w:rPr>
          <w:sz w:val="24"/>
          <w:szCs w:val="24"/>
        </w:rPr>
        <w:t>ė</w:t>
      </w:r>
      <w:r w:rsidRPr="001B73F6">
        <w:rPr>
          <w:sz w:val="24"/>
          <w:szCs w:val="24"/>
        </w:rPr>
        <w:t xml:space="preserve"> maksimalių tarifų skaičiavimo projektus </w:t>
      </w:r>
      <w:r w:rsidR="008E5A8E">
        <w:rPr>
          <w:sz w:val="24"/>
          <w:szCs w:val="24"/>
        </w:rPr>
        <w:t xml:space="preserve">pagal tam tikrus požymius suskirstytoms </w:t>
      </w:r>
      <w:r w:rsidRPr="001B73F6">
        <w:rPr>
          <w:sz w:val="24"/>
          <w:szCs w:val="24"/>
        </w:rPr>
        <w:t xml:space="preserve">namų grupėms. Skaičiuojant maksimalius tarifus namų grupėms, atsižvelgiama į namo dydį ir techninės priežiūros ypatumus. Namo dydžio, išreikšto namo suminiu butų ir kitų patalpų naudinguoju plotu, įvertinimo koeficientas </w:t>
      </w:r>
      <w:proofErr w:type="spellStart"/>
      <w:r w:rsidRPr="001B73F6">
        <w:rPr>
          <w:sz w:val="24"/>
          <w:szCs w:val="24"/>
        </w:rPr>
        <w:t>k</w:t>
      </w:r>
      <w:r w:rsidRPr="001B73F6">
        <w:rPr>
          <w:sz w:val="24"/>
          <w:szCs w:val="24"/>
          <w:vertAlign w:val="subscript"/>
        </w:rPr>
        <w:t>d</w:t>
      </w:r>
      <w:proofErr w:type="spellEnd"/>
      <w:r w:rsidRPr="001B73F6">
        <w:rPr>
          <w:sz w:val="24"/>
          <w:szCs w:val="24"/>
        </w:rPr>
        <w:t xml:space="preserve"> ir techninės priežiūros ypatumų įvertinimo koeficientai </w:t>
      </w:r>
      <w:proofErr w:type="spellStart"/>
      <w:r w:rsidRPr="001B73F6">
        <w:rPr>
          <w:sz w:val="24"/>
          <w:szCs w:val="24"/>
        </w:rPr>
        <w:t>k</w:t>
      </w:r>
      <w:r w:rsidRPr="001B73F6">
        <w:rPr>
          <w:sz w:val="24"/>
          <w:szCs w:val="24"/>
          <w:vertAlign w:val="subscript"/>
        </w:rPr>
        <w:t>y</w:t>
      </w:r>
      <w:proofErr w:type="spellEnd"/>
      <w:r w:rsidRPr="001B73F6">
        <w:rPr>
          <w:sz w:val="24"/>
          <w:szCs w:val="24"/>
          <w:vertAlign w:val="subscript"/>
        </w:rPr>
        <w:t xml:space="preserve"> </w:t>
      </w:r>
      <w:r w:rsidRPr="001B73F6">
        <w:rPr>
          <w:sz w:val="24"/>
          <w:szCs w:val="24"/>
        </w:rPr>
        <w:t>ir jų dydžiai nurodyti metodikos 2 priede</w:t>
      </w:r>
      <w:r w:rsidR="008E5A8E">
        <w:rPr>
          <w:sz w:val="24"/>
          <w:szCs w:val="24"/>
        </w:rPr>
        <w:t xml:space="preserve">. </w:t>
      </w:r>
      <w:r w:rsidR="008E5A8E" w:rsidRPr="001B73F6">
        <w:rPr>
          <w:sz w:val="24"/>
          <w:szCs w:val="24"/>
        </w:rPr>
        <w:t xml:space="preserve">Maksimalūs techninės priežiūros tarifai – namų grupėms </w:t>
      </w:r>
      <w:proofErr w:type="gramStart"/>
      <w:r w:rsidR="008E5A8E" w:rsidRPr="001B73F6">
        <w:rPr>
          <w:sz w:val="24"/>
          <w:szCs w:val="24"/>
        </w:rPr>
        <w:t>savivaldybės tarybos</w:t>
      </w:r>
      <w:proofErr w:type="gramEnd"/>
      <w:r w:rsidR="008E5A8E" w:rsidRPr="001B73F6">
        <w:rPr>
          <w:sz w:val="24"/>
          <w:szCs w:val="24"/>
        </w:rPr>
        <w:t xml:space="preserve"> pagal metodiką nustatyti didžiausi galimi techninės priežiūros mokėjimai.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72356" w:rsidRDefault="00411ABD">
      <w:pPr>
        <w:pStyle w:val="Standard"/>
        <w:tabs>
          <w:tab w:val="left" w:pos="993"/>
        </w:tabs>
        <w:ind w:firstLine="720"/>
        <w:jc w:val="both"/>
        <w:rPr>
          <w:bCs/>
          <w:sz w:val="24"/>
        </w:rPr>
      </w:pPr>
      <w:r>
        <w:rPr>
          <w:color w:val="000000"/>
          <w:spacing w:val="-3"/>
          <w:sz w:val="24"/>
          <w:szCs w:val="24"/>
        </w:rPr>
        <w:t xml:space="preserve">Bus </w:t>
      </w:r>
      <w:r w:rsidR="001B73F6">
        <w:rPr>
          <w:color w:val="000000"/>
          <w:spacing w:val="-3"/>
          <w:sz w:val="24"/>
          <w:szCs w:val="24"/>
        </w:rPr>
        <w:t>įgyvendintos Lietuvos Respublikos statybos įstatymo nuostatos</w:t>
      </w:r>
      <w:r w:rsidR="000C069E">
        <w:rPr>
          <w:bCs/>
          <w:sz w:val="24"/>
        </w:rPr>
        <w:t>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72356" w:rsidRDefault="000C069E">
      <w:pPr>
        <w:pStyle w:val="Standard"/>
        <w:ind w:right="72" w:firstLine="720"/>
        <w:jc w:val="both"/>
        <w:rPr>
          <w:rFonts w:ascii="TimesNewRoman" w:hAnsi="TimesNewRoman" w:cs="TimesNewRomanPS-BoldMT"/>
          <w:bCs/>
          <w:sz w:val="24"/>
          <w:szCs w:val="24"/>
        </w:rPr>
      </w:pPr>
      <w:r>
        <w:rPr>
          <w:rFonts w:ascii="TimesNewRoman" w:hAnsi="TimesNewRoman" w:cs="TimesNewRomanPS-BoldMT"/>
          <w:bCs/>
          <w:sz w:val="24"/>
          <w:szCs w:val="24"/>
        </w:rPr>
        <w:t>Neigiamų pasekmių nėra.</w:t>
      </w:r>
    </w:p>
    <w:p w:rsidR="00A72356" w:rsidRDefault="000C069E">
      <w:pPr>
        <w:pStyle w:val="Standard"/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72356" w:rsidRPr="00C979C2" w:rsidRDefault="00EA0035" w:rsidP="00C979C2">
      <w:pPr>
        <w:tabs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Nereikia</w:t>
      </w:r>
      <w:r w:rsidR="00C979C2">
        <w:rPr>
          <w:sz w:val="24"/>
          <w:szCs w:val="24"/>
        </w:rPr>
        <w:t>.</w:t>
      </w:r>
    </w:p>
    <w:p w:rsidR="00A72356" w:rsidRDefault="000C069E">
      <w:pPr>
        <w:pStyle w:val="Standard"/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72356" w:rsidRDefault="00470539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įgyvendinimui lėšos nereikalingos</w:t>
      </w:r>
      <w:r w:rsidR="00EC51D5">
        <w:rPr>
          <w:color w:val="000000"/>
          <w:sz w:val="24"/>
          <w:szCs w:val="24"/>
          <w:lang w:eastAsia="lt-LT"/>
        </w:rPr>
        <w:t>.</w:t>
      </w:r>
    </w:p>
    <w:p w:rsidR="00A72356" w:rsidRDefault="000C069E" w:rsidP="00766D00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projektui antikorupcinis vertinimas </w:t>
      </w:r>
      <w:r w:rsidR="000F0FCA">
        <w:rPr>
          <w:sz w:val="24"/>
          <w:szCs w:val="24"/>
        </w:rPr>
        <w:t>nereikalingas</w:t>
      </w:r>
      <w:r>
        <w:rPr>
          <w:sz w:val="24"/>
          <w:szCs w:val="24"/>
        </w:rPr>
        <w:t>.</w:t>
      </w:r>
    </w:p>
    <w:p w:rsidR="0009068C" w:rsidRDefault="0009068C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A72356" w:rsidRDefault="0009068C" w:rsidP="0009068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Vedėjas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proofErr w:type="gramStart"/>
      <w:r>
        <w:rPr>
          <w:sz w:val="24"/>
          <w:szCs w:val="24"/>
          <w:lang w:eastAsia="lt-LT"/>
        </w:rPr>
        <w:t xml:space="preserve">           </w:t>
      </w:r>
      <w:proofErr w:type="gramEnd"/>
      <w:r>
        <w:rPr>
          <w:sz w:val="24"/>
          <w:szCs w:val="24"/>
          <w:lang w:eastAsia="lt-LT"/>
        </w:rPr>
        <w:tab/>
        <w:t xml:space="preserve">                                                  R</w:t>
      </w:r>
      <w:r w:rsidR="000C069E">
        <w:rPr>
          <w:sz w:val="24"/>
          <w:szCs w:val="24"/>
          <w:lang w:eastAsia="lt-LT"/>
        </w:rPr>
        <w:t>im</w:t>
      </w:r>
      <w:r>
        <w:rPr>
          <w:sz w:val="24"/>
          <w:szCs w:val="24"/>
          <w:lang w:eastAsia="lt-LT"/>
        </w:rPr>
        <w:t>as</w:t>
      </w:r>
      <w:r w:rsidR="000C069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Samkus</w:t>
      </w:r>
    </w:p>
    <w:p w:rsidR="005E525E" w:rsidRDefault="005E525E" w:rsidP="0009068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p w:rsidR="007D2B9F" w:rsidRDefault="007D2B9F" w:rsidP="00DB5815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sectPr w:rsidR="007D2B9F" w:rsidSect="00C80C53"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049" w:rsidRDefault="00304049">
      <w:r>
        <w:separator/>
      </w:r>
    </w:p>
  </w:endnote>
  <w:endnote w:type="continuationSeparator" w:id="0">
    <w:p w:rsidR="00304049" w:rsidRDefault="0030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A6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049" w:rsidRDefault="00304049">
      <w:r>
        <w:rPr>
          <w:color w:val="000000"/>
        </w:rPr>
        <w:separator/>
      </w:r>
    </w:p>
  </w:footnote>
  <w:footnote w:type="continuationSeparator" w:id="0">
    <w:p w:rsidR="00304049" w:rsidRDefault="00304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615AD"/>
    <w:multiLevelType w:val="hybridMultilevel"/>
    <w:tmpl w:val="1F4E754A"/>
    <w:lvl w:ilvl="0" w:tplc="05A83EF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33B6D"/>
    <w:multiLevelType w:val="hybridMultilevel"/>
    <w:tmpl w:val="0A54B77E"/>
    <w:lvl w:ilvl="0" w:tplc="33C43C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pStyle w:val="Heading2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E8A7AC9"/>
    <w:multiLevelType w:val="hybridMultilevel"/>
    <w:tmpl w:val="34EA8306"/>
    <w:lvl w:ilvl="0" w:tplc="17D83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56"/>
    <w:rsid w:val="0009068C"/>
    <w:rsid w:val="00092B13"/>
    <w:rsid w:val="00092D18"/>
    <w:rsid w:val="000B657A"/>
    <w:rsid w:val="000C069E"/>
    <w:rsid w:val="000C6DF0"/>
    <w:rsid w:val="000E73AF"/>
    <w:rsid w:val="000F0FCA"/>
    <w:rsid w:val="000F3624"/>
    <w:rsid w:val="00114081"/>
    <w:rsid w:val="00115EAB"/>
    <w:rsid w:val="00120608"/>
    <w:rsid w:val="00124BE9"/>
    <w:rsid w:val="00130A43"/>
    <w:rsid w:val="0015574C"/>
    <w:rsid w:val="001804B8"/>
    <w:rsid w:val="00185A01"/>
    <w:rsid w:val="0019359A"/>
    <w:rsid w:val="001A71AC"/>
    <w:rsid w:val="001B2C34"/>
    <w:rsid w:val="001B3190"/>
    <w:rsid w:val="001B73F6"/>
    <w:rsid w:val="001C5320"/>
    <w:rsid w:val="001E0C31"/>
    <w:rsid w:val="0022033F"/>
    <w:rsid w:val="002466AC"/>
    <w:rsid w:val="00292C1A"/>
    <w:rsid w:val="002A21B1"/>
    <w:rsid w:val="002A5A6A"/>
    <w:rsid w:val="002B1CEE"/>
    <w:rsid w:val="002E066C"/>
    <w:rsid w:val="002E1D38"/>
    <w:rsid w:val="00302FC3"/>
    <w:rsid w:val="00304049"/>
    <w:rsid w:val="003136AF"/>
    <w:rsid w:val="00320C50"/>
    <w:rsid w:val="00331B27"/>
    <w:rsid w:val="003B2EC0"/>
    <w:rsid w:val="003B6BB2"/>
    <w:rsid w:val="003C553C"/>
    <w:rsid w:val="003C6ECD"/>
    <w:rsid w:val="00411ABD"/>
    <w:rsid w:val="00421832"/>
    <w:rsid w:val="00425738"/>
    <w:rsid w:val="00426092"/>
    <w:rsid w:val="00431AFB"/>
    <w:rsid w:val="00436428"/>
    <w:rsid w:val="00440DDB"/>
    <w:rsid w:val="00457A0B"/>
    <w:rsid w:val="00470539"/>
    <w:rsid w:val="00476427"/>
    <w:rsid w:val="00484AFF"/>
    <w:rsid w:val="004A0B16"/>
    <w:rsid w:val="004C1AA4"/>
    <w:rsid w:val="004D1D4A"/>
    <w:rsid w:val="004E29BA"/>
    <w:rsid w:val="004E2AA3"/>
    <w:rsid w:val="004E743B"/>
    <w:rsid w:val="00511DE2"/>
    <w:rsid w:val="005264A6"/>
    <w:rsid w:val="0053468B"/>
    <w:rsid w:val="00546C73"/>
    <w:rsid w:val="005532B6"/>
    <w:rsid w:val="00557ABF"/>
    <w:rsid w:val="00576916"/>
    <w:rsid w:val="00585950"/>
    <w:rsid w:val="005A7EDF"/>
    <w:rsid w:val="005B42CD"/>
    <w:rsid w:val="005E525E"/>
    <w:rsid w:val="005F0ED2"/>
    <w:rsid w:val="00635C3C"/>
    <w:rsid w:val="00645D9B"/>
    <w:rsid w:val="00686A60"/>
    <w:rsid w:val="006C38EC"/>
    <w:rsid w:val="006C6151"/>
    <w:rsid w:val="006E6C2E"/>
    <w:rsid w:val="006E745B"/>
    <w:rsid w:val="006F2BD1"/>
    <w:rsid w:val="006F55BA"/>
    <w:rsid w:val="0072691D"/>
    <w:rsid w:val="007332D7"/>
    <w:rsid w:val="0075256D"/>
    <w:rsid w:val="00753532"/>
    <w:rsid w:val="00760A4B"/>
    <w:rsid w:val="00766D00"/>
    <w:rsid w:val="00783181"/>
    <w:rsid w:val="007909C1"/>
    <w:rsid w:val="007A616D"/>
    <w:rsid w:val="007B3155"/>
    <w:rsid w:val="007C1CA0"/>
    <w:rsid w:val="007C5964"/>
    <w:rsid w:val="007D2B9F"/>
    <w:rsid w:val="007D43E7"/>
    <w:rsid w:val="007D513A"/>
    <w:rsid w:val="007E4C4E"/>
    <w:rsid w:val="007E7734"/>
    <w:rsid w:val="007F07E9"/>
    <w:rsid w:val="00805ECA"/>
    <w:rsid w:val="0083321C"/>
    <w:rsid w:val="00841D0D"/>
    <w:rsid w:val="0085327F"/>
    <w:rsid w:val="008A02B1"/>
    <w:rsid w:val="008B3BD8"/>
    <w:rsid w:val="008B6518"/>
    <w:rsid w:val="008D4C9D"/>
    <w:rsid w:val="008D6B3D"/>
    <w:rsid w:val="008E5A8E"/>
    <w:rsid w:val="008F3C40"/>
    <w:rsid w:val="00901274"/>
    <w:rsid w:val="009372E3"/>
    <w:rsid w:val="00941B28"/>
    <w:rsid w:val="00972F7D"/>
    <w:rsid w:val="009A2701"/>
    <w:rsid w:val="009A2E3C"/>
    <w:rsid w:val="009C1A7E"/>
    <w:rsid w:val="009C7FD4"/>
    <w:rsid w:val="009D3F49"/>
    <w:rsid w:val="009F7C81"/>
    <w:rsid w:val="009F7E72"/>
    <w:rsid w:val="00A01A09"/>
    <w:rsid w:val="00A2008C"/>
    <w:rsid w:val="00A231CF"/>
    <w:rsid w:val="00A269D3"/>
    <w:rsid w:val="00A3604A"/>
    <w:rsid w:val="00A46C97"/>
    <w:rsid w:val="00A72356"/>
    <w:rsid w:val="00A7635A"/>
    <w:rsid w:val="00A8362A"/>
    <w:rsid w:val="00AA1CF5"/>
    <w:rsid w:val="00AB244C"/>
    <w:rsid w:val="00AB3095"/>
    <w:rsid w:val="00AC1499"/>
    <w:rsid w:val="00B068F6"/>
    <w:rsid w:val="00B94594"/>
    <w:rsid w:val="00B94E63"/>
    <w:rsid w:val="00BB1AB4"/>
    <w:rsid w:val="00BF6760"/>
    <w:rsid w:val="00BF76BC"/>
    <w:rsid w:val="00C01D03"/>
    <w:rsid w:val="00C537FF"/>
    <w:rsid w:val="00C611A6"/>
    <w:rsid w:val="00C75582"/>
    <w:rsid w:val="00C80C53"/>
    <w:rsid w:val="00C90BB8"/>
    <w:rsid w:val="00C979C2"/>
    <w:rsid w:val="00CC2C7F"/>
    <w:rsid w:val="00D003E1"/>
    <w:rsid w:val="00D36E1A"/>
    <w:rsid w:val="00D45D49"/>
    <w:rsid w:val="00D51035"/>
    <w:rsid w:val="00D80D53"/>
    <w:rsid w:val="00D85C2B"/>
    <w:rsid w:val="00DB570C"/>
    <w:rsid w:val="00DB5815"/>
    <w:rsid w:val="00DC0FBC"/>
    <w:rsid w:val="00DC3722"/>
    <w:rsid w:val="00DD28EF"/>
    <w:rsid w:val="00DD39AD"/>
    <w:rsid w:val="00E033C0"/>
    <w:rsid w:val="00E420F5"/>
    <w:rsid w:val="00E50CCB"/>
    <w:rsid w:val="00E57FA1"/>
    <w:rsid w:val="00E60228"/>
    <w:rsid w:val="00E7625C"/>
    <w:rsid w:val="00E92728"/>
    <w:rsid w:val="00EA0035"/>
    <w:rsid w:val="00EB3CEF"/>
    <w:rsid w:val="00EC166A"/>
    <w:rsid w:val="00EC51D5"/>
    <w:rsid w:val="00EC7E12"/>
    <w:rsid w:val="00EF0372"/>
    <w:rsid w:val="00F01724"/>
    <w:rsid w:val="00F27199"/>
    <w:rsid w:val="00F408E1"/>
    <w:rsid w:val="00F9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paragraph" w:styleId="Heading2">
    <w:name w:val="heading 2"/>
    <w:basedOn w:val="Normal"/>
    <w:next w:val="BodyText"/>
    <w:link w:val="Heading2Char"/>
    <w:qFormat/>
    <w:rsid w:val="00092D18"/>
    <w:pPr>
      <w:keepNext/>
      <w:widowControl/>
      <w:numPr>
        <w:ilvl w:val="1"/>
        <w:numId w:val="1"/>
      </w:numPr>
      <w:autoSpaceDN/>
      <w:jc w:val="center"/>
      <w:textAlignment w:val="auto"/>
      <w:outlineLvl w:val="1"/>
    </w:pPr>
    <w:rPr>
      <w:b/>
      <w:caps/>
      <w:kern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Subtitle">
    <w:name w:val="Subtitle"/>
    <w:basedOn w:val="Title"/>
    <w:next w:val="Textbody"/>
    <w:rsid w:val="00E60228"/>
    <w:pPr>
      <w:jc w:val="center"/>
    </w:pPr>
    <w:rPr>
      <w:i/>
      <w:iCs/>
    </w:rPr>
  </w:style>
  <w:style w:type="paragraph" w:styleId="List">
    <w:name w:val="List"/>
    <w:basedOn w:val="Textbody"/>
    <w:rsid w:val="00E60228"/>
    <w:rPr>
      <w:rFonts w:cs="Mangal"/>
    </w:rPr>
  </w:style>
  <w:style w:type="paragraph" w:styleId="Caption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TableGrid">
    <w:name w:val="Table Grid"/>
    <w:basedOn w:val="TableNormal"/>
    <w:uiPriority w:val="39"/>
    <w:rsid w:val="00D51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Heading2Char">
    <w:name w:val="Heading 2 Char"/>
    <w:basedOn w:val="DefaultParagraphFont"/>
    <w:link w:val="Heading2"/>
    <w:rsid w:val="00092D18"/>
    <w:rPr>
      <w:b/>
      <w:caps/>
      <w:lang w:eastAsia="ar-SA"/>
    </w:rPr>
  </w:style>
  <w:style w:type="paragraph" w:styleId="BodyText">
    <w:name w:val="Body Text"/>
    <w:basedOn w:val="Normal"/>
    <w:link w:val="BodyTextChar2"/>
    <w:uiPriority w:val="99"/>
    <w:semiHidden/>
    <w:unhideWhenUsed/>
    <w:rsid w:val="00092D18"/>
    <w:pPr>
      <w:spacing w:after="120"/>
    </w:pPr>
  </w:style>
  <w:style w:type="character" w:customStyle="1" w:styleId="BodyTextChar2">
    <w:name w:val="Body Text Char2"/>
    <w:basedOn w:val="DefaultParagraphFont"/>
    <w:link w:val="BodyText"/>
    <w:uiPriority w:val="99"/>
    <w:semiHidden/>
    <w:rsid w:val="00092D18"/>
    <w:rPr>
      <w:kern w:val="3"/>
    </w:rPr>
  </w:style>
  <w:style w:type="character" w:customStyle="1" w:styleId="WW-Absatz-Standardschriftart1">
    <w:name w:val="WW-Absatz-Standardschriftart1"/>
    <w:rsid w:val="00546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6B023-2000-4D6F-8AE3-5FE9ECAD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3678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4</cp:revision>
  <cp:lastPrinted>2018-07-31T08:14:00Z</cp:lastPrinted>
  <dcterms:created xsi:type="dcterms:W3CDTF">2018-08-01T07:13:00Z</dcterms:created>
  <dcterms:modified xsi:type="dcterms:W3CDTF">2018-08-17T05:57:00Z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