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F5" w:rsidRDefault="000C069E" w:rsidP="00AA1CF5">
      <w:pPr>
        <w:pStyle w:val="Header"/>
        <w:tabs>
          <w:tab w:val="clear" w:pos="4153"/>
          <w:tab w:val="clear" w:pos="8306"/>
          <w:tab w:val="center" w:pos="3544"/>
          <w:tab w:val="right" w:pos="8789"/>
        </w:tabs>
        <w:ind w:left="-1701"/>
        <w:jc w:val="center"/>
      </w:pPr>
      <w:bookmarkStart w:id="0" w:name="_GoBack"/>
      <w:bookmarkEnd w:id="0"/>
      <w:r>
        <w:t xml:space="preserve">                                     </w:t>
      </w:r>
      <w:r w:rsidR="00EC0EE2"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:rsidR="00A72356" w:rsidRDefault="00AA1CF5" w:rsidP="00AA1CF5">
      <w:pPr>
        <w:pStyle w:val="Header"/>
        <w:tabs>
          <w:tab w:val="clear" w:pos="8306"/>
          <w:tab w:val="right" w:pos="8789"/>
        </w:tabs>
        <w:jc w:val="center"/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0C069E">
        <w:rPr>
          <w:b/>
          <w:bCs/>
          <w:sz w:val="24"/>
          <w:szCs w:val="24"/>
        </w:rPr>
        <w:t>Projektas</w:t>
      </w:r>
    </w:p>
    <w:p w:rsidR="00A72356" w:rsidRDefault="000C069E">
      <w:pPr>
        <w:pStyle w:val="Header"/>
        <w:ind w:firstLine="5245"/>
        <w:jc w:val="center"/>
      </w:pPr>
      <w:r>
        <w:tab/>
      </w:r>
      <w:r>
        <w:rPr>
          <w:b/>
          <w:sz w:val="24"/>
          <w:szCs w:val="24"/>
        </w:rPr>
        <w:t xml:space="preserve">                    </w:t>
      </w:r>
    </w:p>
    <w:p w:rsidR="00A72356" w:rsidRDefault="00A72356">
      <w:pPr>
        <w:pStyle w:val="Header"/>
        <w:ind w:firstLine="5245"/>
        <w:jc w:val="center"/>
        <w:rPr>
          <w:b/>
          <w:sz w:val="24"/>
          <w:szCs w:val="24"/>
        </w:rPr>
      </w:pPr>
    </w:p>
    <w:p w:rsidR="00A72356" w:rsidRDefault="000C069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72356" w:rsidRDefault="00A72356">
      <w:pPr>
        <w:pStyle w:val="Header"/>
        <w:rPr>
          <w:b/>
          <w:sz w:val="28"/>
        </w:rPr>
      </w:pPr>
    </w:p>
    <w:p w:rsidR="00A72356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</w:p>
    <w:p w:rsidR="00A72356" w:rsidRPr="000E73AF" w:rsidRDefault="000C069E">
      <w:pPr>
        <w:pStyle w:val="Textbody"/>
        <w:spacing w:after="0"/>
        <w:jc w:val="center"/>
        <w:rPr>
          <w:sz w:val="24"/>
          <w:szCs w:val="24"/>
        </w:rPr>
      </w:pPr>
      <w:r w:rsidRPr="000E73AF">
        <w:rPr>
          <w:b/>
          <w:bCs/>
          <w:sz w:val="24"/>
          <w:szCs w:val="24"/>
        </w:rPr>
        <w:t xml:space="preserve">DĖL </w:t>
      </w:r>
      <w:r w:rsidR="000E73AF" w:rsidRPr="000E73AF">
        <w:rPr>
          <w:b/>
          <w:sz w:val="24"/>
          <w:szCs w:val="24"/>
        </w:rPr>
        <w:t>VŠĮ VELŽIO KOMUNALINIO ŪKIO ATLIEKAMŲ STATINIŲ (NEGYVENAMŲJŲ PASTATŲ) TECHNINĖS PRIEŽIŪROS PASLAUGŲ MOKESČIO TARIF</w:t>
      </w:r>
      <w:r w:rsidR="00EC166A">
        <w:rPr>
          <w:b/>
          <w:sz w:val="24"/>
          <w:szCs w:val="24"/>
        </w:rPr>
        <w:t>O</w:t>
      </w:r>
      <w:r w:rsidR="000E73AF" w:rsidRPr="000E73AF">
        <w:rPr>
          <w:b/>
          <w:sz w:val="24"/>
          <w:szCs w:val="24"/>
        </w:rPr>
        <w:t xml:space="preserve"> APSKAIČIAVIMO METODIKOS </w:t>
      </w:r>
      <w:r w:rsidR="00841D0D" w:rsidRPr="000E73AF">
        <w:rPr>
          <w:b/>
          <w:sz w:val="24"/>
          <w:szCs w:val="24"/>
        </w:rPr>
        <w:t>PA</w:t>
      </w:r>
      <w:r w:rsidR="00841D0D" w:rsidRPr="000E73AF">
        <w:rPr>
          <w:b/>
          <w:bCs/>
          <w:sz w:val="24"/>
          <w:szCs w:val="24"/>
        </w:rPr>
        <w:t>TVIRTINIMO</w:t>
      </w:r>
    </w:p>
    <w:p w:rsidR="00A72356" w:rsidRDefault="00A72356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:rsidR="00A72356" w:rsidRDefault="00A72356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:rsidR="00A72356" w:rsidRDefault="000C069E">
      <w:pPr>
        <w:pStyle w:val="NormalWeb"/>
        <w:spacing w:before="0" w:after="0"/>
        <w:ind w:left="1296" w:firstLine="1296"/>
        <w:jc w:val="both"/>
      </w:pPr>
      <w:r>
        <w:t xml:space="preserve">                  201</w:t>
      </w:r>
      <w:r w:rsidR="0072691D">
        <w:t>8</w:t>
      </w:r>
      <w:r>
        <w:t xml:space="preserve"> m. </w:t>
      </w:r>
      <w:r w:rsidR="00841D0D">
        <w:t>gegužės</w:t>
      </w:r>
      <w:r>
        <w:t xml:space="preserve"> </w:t>
      </w:r>
      <w:r w:rsidR="00841D0D">
        <w:t>30</w:t>
      </w:r>
      <w:r>
        <w:t xml:space="preserve"> d. Nr. T-</w:t>
      </w:r>
    </w:p>
    <w:p w:rsidR="00A72356" w:rsidRDefault="000C069E">
      <w:pPr>
        <w:pStyle w:val="NormalWeb"/>
        <w:spacing w:before="0" w:after="0"/>
        <w:ind w:left="3888"/>
        <w:jc w:val="both"/>
      </w:pPr>
      <w:r>
        <w:t xml:space="preserve">           Panevėžys</w:t>
      </w:r>
    </w:p>
    <w:p w:rsidR="00A72356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:rsidR="00A72356" w:rsidRDefault="00A72356" w:rsidP="007E7734">
      <w:pPr>
        <w:pStyle w:val="NormalWeb"/>
        <w:spacing w:before="0" w:after="0"/>
        <w:ind w:firstLine="1134"/>
        <w:jc w:val="both"/>
        <w:rPr>
          <w:bCs/>
          <w:color w:val="000000"/>
        </w:rPr>
      </w:pPr>
    </w:p>
    <w:p w:rsidR="00A72356" w:rsidRPr="003136AF" w:rsidRDefault="000C069E" w:rsidP="007E7734">
      <w:pPr>
        <w:ind w:firstLine="1134"/>
        <w:jc w:val="both"/>
        <w:rPr>
          <w:sz w:val="24"/>
          <w:szCs w:val="24"/>
        </w:rPr>
      </w:pPr>
      <w:r w:rsidRPr="00BF76BC">
        <w:rPr>
          <w:sz w:val="24"/>
          <w:szCs w:val="24"/>
        </w:rPr>
        <w:t xml:space="preserve">Vadovaudamasi Lietuvos Respublikos vietos savivaldos įstatymo </w:t>
      </w:r>
      <w:r w:rsidR="00425738">
        <w:rPr>
          <w:sz w:val="24"/>
          <w:szCs w:val="24"/>
        </w:rPr>
        <w:t>1</w:t>
      </w:r>
      <w:r w:rsidR="006C6151" w:rsidRPr="00BF76BC">
        <w:rPr>
          <w:sz w:val="24"/>
          <w:szCs w:val="24"/>
        </w:rPr>
        <w:t>6 str</w:t>
      </w:r>
      <w:r w:rsidR="007E7734">
        <w:rPr>
          <w:sz w:val="24"/>
          <w:szCs w:val="24"/>
        </w:rPr>
        <w:t>aipsnio</w:t>
      </w:r>
      <w:r w:rsidR="00425738">
        <w:rPr>
          <w:sz w:val="24"/>
          <w:szCs w:val="24"/>
        </w:rPr>
        <w:t xml:space="preserve"> </w:t>
      </w:r>
      <w:r w:rsidR="006C6151" w:rsidRPr="00BF76BC">
        <w:rPr>
          <w:sz w:val="24"/>
          <w:szCs w:val="24"/>
        </w:rPr>
        <w:t>2</w:t>
      </w:r>
      <w:r w:rsidR="00425738">
        <w:rPr>
          <w:sz w:val="24"/>
          <w:szCs w:val="24"/>
        </w:rPr>
        <w:t xml:space="preserve"> dalies</w:t>
      </w:r>
      <w:r w:rsidR="006C6151" w:rsidRPr="00BF76BC">
        <w:rPr>
          <w:sz w:val="24"/>
          <w:szCs w:val="24"/>
        </w:rPr>
        <w:t xml:space="preserve"> </w:t>
      </w:r>
      <w:r w:rsidR="00425738">
        <w:rPr>
          <w:sz w:val="24"/>
          <w:szCs w:val="24"/>
        </w:rPr>
        <w:t xml:space="preserve">37 </w:t>
      </w:r>
      <w:r w:rsidR="006C6151" w:rsidRPr="00BF76BC">
        <w:rPr>
          <w:sz w:val="24"/>
          <w:szCs w:val="24"/>
        </w:rPr>
        <w:t>p</w:t>
      </w:r>
      <w:r w:rsidR="007E7734">
        <w:rPr>
          <w:sz w:val="24"/>
          <w:szCs w:val="24"/>
        </w:rPr>
        <w:t>unktu</w:t>
      </w:r>
      <w:r w:rsidR="006C6151" w:rsidRPr="00BF76BC">
        <w:rPr>
          <w:sz w:val="24"/>
          <w:szCs w:val="24"/>
        </w:rPr>
        <w:t xml:space="preserve"> ir </w:t>
      </w:r>
      <w:r w:rsidR="00425738">
        <w:rPr>
          <w:sz w:val="24"/>
          <w:szCs w:val="24"/>
        </w:rPr>
        <w:t xml:space="preserve">atsižvelgdama į viešosios įstaigos Velžio komunalinio ūkio 2018-04-13 raštą Nr. S4-35 „Dėl </w:t>
      </w:r>
      <w:r w:rsidR="008D4C9D">
        <w:rPr>
          <w:sz w:val="24"/>
          <w:szCs w:val="24"/>
        </w:rPr>
        <w:t>D</w:t>
      </w:r>
      <w:r w:rsidR="00425738">
        <w:rPr>
          <w:sz w:val="24"/>
          <w:szCs w:val="24"/>
        </w:rPr>
        <w:t xml:space="preserve">augiabučių gyvenamųjų namų bendrojo naudojimo objektų ir kitų pastatų techninės priežiūros mokesčio tarifo apskaičiavimo tvarkos aprašo patvirtinimo“, </w:t>
      </w:r>
      <w:r w:rsidRPr="00BF76BC">
        <w:rPr>
          <w:sz w:val="24"/>
          <w:szCs w:val="24"/>
        </w:rPr>
        <w:t>Panevėžio</w:t>
      </w:r>
      <w:r w:rsidRPr="003136AF">
        <w:rPr>
          <w:sz w:val="24"/>
          <w:szCs w:val="24"/>
        </w:rPr>
        <w:t xml:space="preserve"> rajono savivaldybės taryba n u s p r e n d ž i a:</w:t>
      </w:r>
    </w:p>
    <w:p w:rsidR="00841D0D" w:rsidRDefault="00841D0D" w:rsidP="00841D0D">
      <w:pPr>
        <w:tabs>
          <w:tab w:val="left" w:pos="1418"/>
        </w:tabs>
        <w:ind w:firstLine="1134"/>
        <w:jc w:val="both"/>
        <w:rPr>
          <w:sz w:val="24"/>
          <w:szCs w:val="24"/>
        </w:rPr>
      </w:pPr>
      <w:r w:rsidRPr="003136AF">
        <w:rPr>
          <w:sz w:val="24"/>
          <w:szCs w:val="24"/>
        </w:rPr>
        <w:t>Pa</w:t>
      </w:r>
      <w:r w:rsidR="00425738">
        <w:rPr>
          <w:sz w:val="24"/>
          <w:szCs w:val="24"/>
        </w:rPr>
        <w:t>tvirtinti</w:t>
      </w:r>
      <w:r w:rsidR="00425738" w:rsidRPr="003136AF">
        <w:rPr>
          <w:sz w:val="24"/>
          <w:szCs w:val="24"/>
        </w:rPr>
        <w:t xml:space="preserve"> </w:t>
      </w:r>
      <w:r w:rsidR="00425738">
        <w:rPr>
          <w:sz w:val="24"/>
          <w:szCs w:val="24"/>
        </w:rPr>
        <w:t xml:space="preserve">VšĮ Velžio komunalinio ūkio </w:t>
      </w:r>
      <w:r w:rsidR="00440DDB">
        <w:rPr>
          <w:sz w:val="24"/>
          <w:szCs w:val="24"/>
        </w:rPr>
        <w:t>atliekamų statinių (negyvenamųjų pastatų) techninės priežiūros paslaugų mokesčio tarif</w:t>
      </w:r>
      <w:r w:rsidR="00EC166A">
        <w:rPr>
          <w:sz w:val="24"/>
          <w:szCs w:val="24"/>
        </w:rPr>
        <w:t>o</w:t>
      </w:r>
      <w:r w:rsidR="00440DDB">
        <w:rPr>
          <w:sz w:val="24"/>
          <w:szCs w:val="24"/>
        </w:rPr>
        <w:t xml:space="preserve"> apskaičiavimo metodiką</w:t>
      </w:r>
      <w:r w:rsidR="00425738" w:rsidRPr="003136AF">
        <w:rPr>
          <w:sz w:val="24"/>
          <w:szCs w:val="24"/>
        </w:rPr>
        <w:t xml:space="preserve"> (pridedama).</w:t>
      </w:r>
      <w:r w:rsidRPr="00280874">
        <w:rPr>
          <w:sz w:val="24"/>
          <w:szCs w:val="24"/>
        </w:rPr>
        <w:t xml:space="preserve"> </w:t>
      </w:r>
    </w:p>
    <w:p w:rsidR="00841D0D" w:rsidRPr="00280874" w:rsidRDefault="00841D0D" w:rsidP="00841D0D">
      <w:pPr>
        <w:tabs>
          <w:tab w:val="left" w:pos="1418"/>
        </w:tabs>
        <w:ind w:left="1134"/>
        <w:jc w:val="both"/>
        <w:rPr>
          <w:sz w:val="24"/>
          <w:szCs w:val="24"/>
        </w:rPr>
      </w:pPr>
    </w:p>
    <w:p w:rsidR="00841D0D" w:rsidRDefault="00841D0D" w:rsidP="00841D0D">
      <w:pPr>
        <w:tabs>
          <w:tab w:val="left" w:pos="1418"/>
        </w:tabs>
        <w:jc w:val="both"/>
        <w:rPr>
          <w:sz w:val="24"/>
          <w:szCs w:val="24"/>
        </w:rPr>
      </w:pPr>
    </w:p>
    <w:p w:rsidR="00440DDB" w:rsidRDefault="00440DDB" w:rsidP="00841D0D">
      <w:pPr>
        <w:tabs>
          <w:tab w:val="left" w:pos="1418"/>
        </w:tabs>
        <w:jc w:val="both"/>
        <w:rPr>
          <w:sz w:val="24"/>
          <w:szCs w:val="24"/>
        </w:rPr>
      </w:pPr>
    </w:p>
    <w:p w:rsidR="00440DDB" w:rsidRDefault="00440DDB" w:rsidP="00841D0D">
      <w:pPr>
        <w:tabs>
          <w:tab w:val="left" w:pos="1418"/>
        </w:tabs>
        <w:jc w:val="both"/>
        <w:rPr>
          <w:sz w:val="24"/>
          <w:szCs w:val="24"/>
        </w:rPr>
      </w:pPr>
    </w:p>
    <w:p w:rsidR="00440DDB" w:rsidRDefault="00440DDB" w:rsidP="00841D0D">
      <w:pPr>
        <w:tabs>
          <w:tab w:val="left" w:pos="1418"/>
        </w:tabs>
        <w:jc w:val="both"/>
        <w:rPr>
          <w:sz w:val="24"/>
          <w:szCs w:val="24"/>
        </w:rPr>
      </w:pPr>
    </w:p>
    <w:p w:rsidR="00440DDB" w:rsidRDefault="00440DDB" w:rsidP="00841D0D">
      <w:pPr>
        <w:tabs>
          <w:tab w:val="left" w:pos="1418"/>
        </w:tabs>
        <w:jc w:val="both"/>
        <w:rPr>
          <w:sz w:val="24"/>
          <w:szCs w:val="24"/>
        </w:rPr>
      </w:pPr>
    </w:p>
    <w:p w:rsidR="00440DDB" w:rsidRDefault="00440DDB" w:rsidP="00841D0D">
      <w:pPr>
        <w:tabs>
          <w:tab w:val="left" w:pos="1418"/>
        </w:tabs>
        <w:jc w:val="both"/>
        <w:rPr>
          <w:sz w:val="24"/>
          <w:szCs w:val="24"/>
        </w:rPr>
      </w:pPr>
    </w:p>
    <w:p w:rsidR="00440DDB" w:rsidRDefault="00440DDB" w:rsidP="00841D0D">
      <w:pPr>
        <w:tabs>
          <w:tab w:val="left" w:pos="1418"/>
        </w:tabs>
        <w:jc w:val="both"/>
        <w:rPr>
          <w:sz w:val="24"/>
          <w:szCs w:val="24"/>
        </w:rPr>
      </w:pPr>
    </w:p>
    <w:p w:rsidR="00440DDB" w:rsidRDefault="00440DDB" w:rsidP="00841D0D">
      <w:pPr>
        <w:tabs>
          <w:tab w:val="left" w:pos="1418"/>
        </w:tabs>
        <w:jc w:val="both"/>
        <w:rPr>
          <w:sz w:val="24"/>
          <w:szCs w:val="24"/>
        </w:rPr>
      </w:pPr>
    </w:p>
    <w:p w:rsidR="00440DDB" w:rsidRDefault="00440DDB" w:rsidP="00841D0D">
      <w:pPr>
        <w:tabs>
          <w:tab w:val="left" w:pos="1418"/>
        </w:tabs>
        <w:jc w:val="both"/>
        <w:rPr>
          <w:sz w:val="24"/>
          <w:szCs w:val="24"/>
        </w:rPr>
      </w:pPr>
    </w:p>
    <w:p w:rsidR="00841D0D" w:rsidRDefault="00841D0D" w:rsidP="00841D0D">
      <w:pPr>
        <w:pStyle w:val="NormalWeb"/>
        <w:spacing w:before="0" w:after="0"/>
        <w:jc w:val="both"/>
      </w:pPr>
    </w:p>
    <w:p w:rsidR="00A72356" w:rsidRPr="003136AF" w:rsidRDefault="00A72356" w:rsidP="00BF76BC">
      <w:pPr>
        <w:pStyle w:val="NormalWeb"/>
        <w:spacing w:before="0" w:after="0"/>
        <w:ind w:firstLine="1418"/>
        <w:jc w:val="both"/>
      </w:pPr>
    </w:p>
    <w:p w:rsidR="00A72356" w:rsidRDefault="00A72356">
      <w:pPr>
        <w:pStyle w:val="NormalWeb"/>
        <w:spacing w:before="0" w:after="0"/>
        <w:jc w:val="both"/>
      </w:pPr>
    </w:p>
    <w:p w:rsidR="00A72356" w:rsidRDefault="00A72356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2356" w:rsidRDefault="00A72356">
      <w:pPr>
        <w:pStyle w:val="Standard"/>
        <w:jc w:val="both"/>
      </w:pPr>
    </w:p>
    <w:p w:rsidR="00A72356" w:rsidRDefault="00A72356">
      <w:pPr>
        <w:pStyle w:val="Standard"/>
        <w:jc w:val="both"/>
      </w:pPr>
    </w:p>
    <w:p w:rsidR="00BF76BC" w:rsidRDefault="00BF76BC">
      <w:pPr>
        <w:pStyle w:val="Standard"/>
        <w:jc w:val="both"/>
      </w:pPr>
    </w:p>
    <w:p w:rsidR="00BF76BC" w:rsidRDefault="00BF76BC">
      <w:pPr>
        <w:pStyle w:val="Standard"/>
        <w:jc w:val="both"/>
      </w:pPr>
    </w:p>
    <w:p w:rsidR="00BF76BC" w:rsidRDefault="00BF76BC">
      <w:pPr>
        <w:pStyle w:val="Standard"/>
        <w:jc w:val="both"/>
      </w:pPr>
    </w:p>
    <w:p w:rsidR="00A72356" w:rsidRDefault="000C069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A7635A">
        <w:rPr>
          <w:sz w:val="24"/>
          <w:szCs w:val="24"/>
        </w:rPr>
        <w:t>imas</w:t>
      </w:r>
      <w:r>
        <w:rPr>
          <w:sz w:val="24"/>
          <w:szCs w:val="24"/>
        </w:rPr>
        <w:t xml:space="preserve"> </w:t>
      </w:r>
      <w:r w:rsidR="00A7635A">
        <w:rPr>
          <w:sz w:val="24"/>
          <w:szCs w:val="24"/>
        </w:rPr>
        <w:t>Samkus</w:t>
      </w:r>
    </w:p>
    <w:p w:rsidR="00A7635A" w:rsidRDefault="000C069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A269D3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="00A269D3">
        <w:rPr>
          <w:sz w:val="24"/>
          <w:szCs w:val="24"/>
        </w:rPr>
        <w:t>0</w:t>
      </w:r>
      <w:r w:rsidR="00BB1AB4">
        <w:rPr>
          <w:sz w:val="24"/>
          <w:szCs w:val="24"/>
        </w:rPr>
        <w:t>5</w:t>
      </w:r>
      <w:r>
        <w:rPr>
          <w:sz w:val="24"/>
          <w:szCs w:val="24"/>
        </w:rPr>
        <w:t>-0</w:t>
      </w:r>
      <w:r w:rsidR="00BB1AB4">
        <w:rPr>
          <w:sz w:val="24"/>
          <w:szCs w:val="24"/>
        </w:rPr>
        <w:t>9</w:t>
      </w:r>
    </w:p>
    <w:p w:rsidR="00092D18" w:rsidRDefault="00092D18" w:rsidP="00092D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Pr="0072691D">
        <w:rPr>
          <w:sz w:val="24"/>
          <w:szCs w:val="24"/>
        </w:rPr>
        <w:t>PATVIRTINTA</w:t>
      </w:r>
      <w:r>
        <w:tab/>
      </w:r>
      <w:r>
        <w:tab/>
      </w:r>
      <w:r>
        <w:tab/>
      </w:r>
      <w:r>
        <w:tab/>
        <w:t xml:space="preserve">                                                             </w:t>
      </w:r>
      <w:r w:rsidRPr="0072691D">
        <w:rPr>
          <w:sz w:val="24"/>
          <w:szCs w:val="24"/>
        </w:rPr>
        <w:t>Panevėžio rajono savivaldybės tarybos</w:t>
      </w:r>
    </w:p>
    <w:p w:rsidR="00092D18" w:rsidRDefault="00092D18" w:rsidP="00092D18">
      <w:pPr>
        <w:pStyle w:val="NoSpacing"/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Pr="0072691D">
        <w:rPr>
          <w:sz w:val="24"/>
          <w:szCs w:val="24"/>
        </w:rPr>
        <w:t xml:space="preserve">2018 m. </w:t>
      </w:r>
      <w:r>
        <w:rPr>
          <w:sz w:val="24"/>
          <w:szCs w:val="24"/>
        </w:rPr>
        <w:t>gegužės</w:t>
      </w:r>
      <w:r w:rsidRPr="0072691D">
        <w:rPr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 w:rsidRPr="0072691D">
        <w:rPr>
          <w:sz w:val="24"/>
          <w:szCs w:val="24"/>
        </w:rPr>
        <w:t xml:space="preserve"> d. sprendimu Nr. T-</w:t>
      </w:r>
      <w:r w:rsidRPr="0072691D">
        <w:rPr>
          <w:sz w:val="24"/>
          <w:szCs w:val="24"/>
        </w:rPr>
        <w:tab/>
      </w:r>
      <w:r w:rsidRPr="0072691D">
        <w:rPr>
          <w:sz w:val="24"/>
          <w:szCs w:val="24"/>
        </w:rPr>
        <w:tab/>
      </w:r>
      <w:r w:rsidRPr="0072691D">
        <w:rPr>
          <w:sz w:val="24"/>
          <w:szCs w:val="24"/>
        </w:rPr>
        <w:tab/>
      </w:r>
      <w:r w:rsidRPr="0072691D">
        <w:rPr>
          <w:sz w:val="24"/>
          <w:szCs w:val="24"/>
        </w:rPr>
        <w:tab/>
      </w:r>
      <w:r w:rsidRPr="0072691D">
        <w:rPr>
          <w:sz w:val="24"/>
          <w:szCs w:val="24"/>
        </w:rPr>
        <w:tab/>
      </w:r>
      <w:r>
        <w:tab/>
      </w:r>
    </w:p>
    <w:p w:rsidR="00092D18" w:rsidRDefault="00092D18" w:rsidP="00092D18">
      <w:pPr>
        <w:pStyle w:val="Standard"/>
        <w:rPr>
          <w:sz w:val="24"/>
          <w:szCs w:val="24"/>
        </w:rPr>
      </w:pPr>
    </w:p>
    <w:p w:rsidR="00092D18" w:rsidRDefault="00092D18" w:rsidP="00092D18">
      <w:pPr>
        <w:pStyle w:val="Standard"/>
        <w:jc w:val="center"/>
        <w:rPr>
          <w:b/>
          <w:sz w:val="24"/>
          <w:szCs w:val="24"/>
        </w:rPr>
      </w:pPr>
      <w:r w:rsidRPr="000E73AF">
        <w:rPr>
          <w:b/>
          <w:sz w:val="24"/>
          <w:szCs w:val="24"/>
        </w:rPr>
        <w:t>VŠĮ VELŽIO KOMUNALINIO ŪKIO ATLIEKAMŲ STATINIŲ (NEGYVENAMŲJŲ PASTATŲ) TECHNINĖS PRIEŽIŪROS PASLAUGŲ MOKESČIO TARIF</w:t>
      </w:r>
      <w:r w:rsidR="00EC166A">
        <w:rPr>
          <w:b/>
          <w:sz w:val="24"/>
          <w:szCs w:val="24"/>
        </w:rPr>
        <w:t>O</w:t>
      </w:r>
      <w:r w:rsidRPr="000E73AF">
        <w:rPr>
          <w:b/>
          <w:sz w:val="24"/>
          <w:szCs w:val="24"/>
        </w:rPr>
        <w:t xml:space="preserve"> APSKAIČIAVIMO METODIK</w:t>
      </w:r>
      <w:r>
        <w:rPr>
          <w:b/>
          <w:sz w:val="24"/>
          <w:szCs w:val="24"/>
        </w:rPr>
        <w:t>A</w:t>
      </w:r>
    </w:p>
    <w:p w:rsidR="00092D18" w:rsidRDefault="00092D18" w:rsidP="00092D18">
      <w:pPr>
        <w:pStyle w:val="Standard"/>
        <w:jc w:val="center"/>
        <w:rPr>
          <w:b/>
          <w:sz w:val="24"/>
          <w:szCs w:val="24"/>
        </w:rPr>
      </w:pPr>
    </w:p>
    <w:p w:rsidR="00092D18" w:rsidRDefault="00092D18" w:rsidP="00092D18">
      <w:pPr>
        <w:pStyle w:val="Standard"/>
        <w:jc w:val="both"/>
        <w:rPr>
          <w:b/>
          <w:sz w:val="24"/>
          <w:szCs w:val="24"/>
        </w:rPr>
      </w:pPr>
    </w:p>
    <w:p w:rsidR="00092D18" w:rsidRDefault="00092D18" w:rsidP="00092D1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 BENDROSIOS NUOSTATOS</w:t>
      </w:r>
    </w:p>
    <w:p w:rsidR="00092D18" w:rsidRDefault="00092D18" w:rsidP="00092D18">
      <w:pPr>
        <w:jc w:val="both"/>
        <w:rPr>
          <w:sz w:val="24"/>
          <w:szCs w:val="24"/>
        </w:rPr>
      </w:pPr>
    </w:p>
    <w:p w:rsidR="00092D18" w:rsidRPr="003C553C" w:rsidRDefault="00092D18" w:rsidP="00092D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 VšĮ Velžio komunalinio ūkio atliekamų statinių (negyvenamųjų pastatų) techninės priežiūros paslaugų mokesčio tarif</w:t>
      </w:r>
      <w:r w:rsidR="00EC166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7C5964">
        <w:rPr>
          <w:sz w:val="24"/>
          <w:szCs w:val="24"/>
        </w:rPr>
        <w:t xml:space="preserve">apskaičiavimo metodika (toliau – </w:t>
      </w:r>
      <w:r w:rsidR="003C553C" w:rsidRPr="007C5964">
        <w:rPr>
          <w:sz w:val="24"/>
          <w:szCs w:val="24"/>
        </w:rPr>
        <w:t>m</w:t>
      </w:r>
      <w:r w:rsidRPr="007C5964">
        <w:rPr>
          <w:sz w:val="24"/>
          <w:szCs w:val="24"/>
        </w:rPr>
        <w:t xml:space="preserve">etodika) reglamentuoja </w:t>
      </w:r>
      <w:r w:rsidR="00092B13" w:rsidRPr="007C5964">
        <w:rPr>
          <w:sz w:val="24"/>
          <w:szCs w:val="24"/>
        </w:rPr>
        <w:t>Panevėžio rajono savivaldybės teritorijo</w:t>
      </w:r>
      <w:r w:rsidR="00092B13" w:rsidRPr="003C553C">
        <w:rPr>
          <w:sz w:val="24"/>
          <w:szCs w:val="24"/>
        </w:rPr>
        <w:t xml:space="preserve">je esančių pastatų, išskyrus daugiabučius gyvenamuosius namus </w:t>
      </w:r>
      <w:r w:rsidR="003C553C" w:rsidRPr="003C553C">
        <w:rPr>
          <w:sz w:val="24"/>
          <w:szCs w:val="24"/>
        </w:rPr>
        <w:t>(toliau – pastatai)</w:t>
      </w:r>
      <w:r w:rsidR="008D4C9D">
        <w:rPr>
          <w:sz w:val="24"/>
          <w:szCs w:val="24"/>
        </w:rPr>
        <w:t>,</w:t>
      </w:r>
      <w:r w:rsidR="003C553C" w:rsidRPr="003C553C">
        <w:rPr>
          <w:sz w:val="24"/>
          <w:szCs w:val="24"/>
        </w:rPr>
        <w:t xml:space="preserve"> </w:t>
      </w:r>
      <w:r w:rsidRPr="003C553C">
        <w:rPr>
          <w:sz w:val="24"/>
          <w:szCs w:val="24"/>
        </w:rPr>
        <w:t xml:space="preserve">techninės priežiūros </w:t>
      </w:r>
      <w:r w:rsidR="00EC166A">
        <w:rPr>
          <w:sz w:val="24"/>
          <w:szCs w:val="24"/>
        </w:rPr>
        <w:t>paslaugų mokesčio tarifo</w:t>
      </w:r>
      <w:r w:rsidRPr="003C553C">
        <w:rPr>
          <w:sz w:val="24"/>
          <w:szCs w:val="24"/>
        </w:rPr>
        <w:t xml:space="preserve"> apskaičiavimo šaltinius, subjektus, sąvokas, apskaičiavimo reikalavimus, kai </w:t>
      </w:r>
      <w:r w:rsidR="00092B13" w:rsidRPr="003C553C">
        <w:rPr>
          <w:sz w:val="24"/>
          <w:szCs w:val="24"/>
        </w:rPr>
        <w:t>paslaugą teikia viešoji įstaiga Velžio komunalinis ūkis (toliau – Įstaiga)</w:t>
      </w:r>
      <w:r w:rsidRPr="003C553C">
        <w:rPr>
          <w:sz w:val="24"/>
          <w:szCs w:val="24"/>
        </w:rPr>
        <w:t>.</w:t>
      </w:r>
    </w:p>
    <w:p w:rsidR="00092D18" w:rsidRPr="003C553C" w:rsidRDefault="00092D18" w:rsidP="00092D18">
      <w:pPr>
        <w:jc w:val="both"/>
        <w:rPr>
          <w:sz w:val="24"/>
          <w:szCs w:val="24"/>
        </w:rPr>
      </w:pPr>
      <w:r w:rsidRPr="003C553C">
        <w:rPr>
          <w:sz w:val="24"/>
          <w:szCs w:val="24"/>
        </w:rPr>
        <w:tab/>
        <w:t xml:space="preserve">2. Metodika taikoma </w:t>
      </w:r>
      <w:r w:rsidR="00092B13" w:rsidRPr="003C553C">
        <w:rPr>
          <w:sz w:val="24"/>
          <w:szCs w:val="24"/>
        </w:rPr>
        <w:t xml:space="preserve">Įstaigai teikiant paslaugas </w:t>
      </w:r>
      <w:r w:rsidR="003C553C" w:rsidRPr="003C553C">
        <w:rPr>
          <w:sz w:val="24"/>
          <w:szCs w:val="24"/>
        </w:rPr>
        <w:t xml:space="preserve">biudžetinėms įstaigoms (ugdymo, kultūros, sveikatos priežiūros ir kt.) ir savivaldybės administracijos struktūriniams padaliniams, patikėjimo teise ar panaudos pagrindais valdantiems </w:t>
      </w:r>
      <w:r w:rsidR="00F9204E" w:rsidRPr="003C553C">
        <w:rPr>
          <w:sz w:val="24"/>
          <w:szCs w:val="24"/>
        </w:rPr>
        <w:t xml:space="preserve">Panevėžio </w:t>
      </w:r>
      <w:r w:rsidR="00092B13" w:rsidRPr="003C553C">
        <w:rPr>
          <w:sz w:val="24"/>
          <w:szCs w:val="24"/>
        </w:rPr>
        <w:t>rajono savivaldyb</w:t>
      </w:r>
      <w:r w:rsidR="00F9204E" w:rsidRPr="003C553C">
        <w:rPr>
          <w:sz w:val="24"/>
          <w:szCs w:val="24"/>
        </w:rPr>
        <w:t>ei priklausančius pastatus</w:t>
      </w:r>
      <w:r w:rsidR="003C553C" w:rsidRPr="003C553C">
        <w:rPr>
          <w:sz w:val="24"/>
          <w:szCs w:val="24"/>
        </w:rPr>
        <w:t>,</w:t>
      </w:r>
      <w:r w:rsidR="00F9204E" w:rsidRPr="003C553C">
        <w:rPr>
          <w:sz w:val="24"/>
          <w:szCs w:val="24"/>
        </w:rPr>
        <w:t xml:space="preserve"> </w:t>
      </w:r>
      <w:r w:rsidR="003C553C" w:rsidRPr="003C553C">
        <w:rPr>
          <w:sz w:val="24"/>
          <w:szCs w:val="24"/>
        </w:rPr>
        <w:t xml:space="preserve">bei </w:t>
      </w:r>
      <w:r w:rsidR="00F9204E" w:rsidRPr="003C553C">
        <w:rPr>
          <w:sz w:val="24"/>
          <w:szCs w:val="24"/>
        </w:rPr>
        <w:t>kitų negyvenamųjų pastatų</w:t>
      </w:r>
      <w:r w:rsidRPr="003C553C">
        <w:rPr>
          <w:sz w:val="24"/>
          <w:szCs w:val="24"/>
        </w:rPr>
        <w:t xml:space="preserve"> savininkams</w:t>
      </w:r>
      <w:r w:rsidR="00EC166A">
        <w:rPr>
          <w:sz w:val="24"/>
          <w:szCs w:val="24"/>
        </w:rPr>
        <w:t xml:space="preserve"> (toliau – pastatų naudotojai)</w:t>
      </w:r>
      <w:r w:rsidRPr="003C553C">
        <w:rPr>
          <w:sz w:val="24"/>
          <w:szCs w:val="24"/>
        </w:rPr>
        <w:t>.</w:t>
      </w:r>
    </w:p>
    <w:p w:rsidR="00092D18" w:rsidRDefault="00092D18" w:rsidP="00092D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 w:rsidR="003C553C">
        <w:rPr>
          <w:sz w:val="24"/>
          <w:szCs w:val="24"/>
        </w:rPr>
        <w:t>Pastatų</w:t>
      </w:r>
      <w:r>
        <w:rPr>
          <w:sz w:val="24"/>
          <w:szCs w:val="24"/>
        </w:rPr>
        <w:t xml:space="preserve"> </w:t>
      </w:r>
      <w:r w:rsidRPr="001C5320">
        <w:rPr>
          <w:sz w:val="24"/>
          <w:szCs w:val="24"/>
        </w:rPr>
        <w:t>naudojim</w:t>
      </w:r>
      <w:r w:rsidR="003C553C" w:rsidRPr="001C5320">
        <w:rPr>
          <w:sz w:val="24"/>
          <w:szCs w:val="24"/>
        </w:rPr>
        <w:t xml:space="preserve">as ir techninė priežiūra vykdoma Lietuvos Respublikos statybos įstatymo, </w:t>
      </w:r>
      <w:r w:rsidR="001C5320" w:rsidRPr="001C5320">
        <w:rPr>
          <w:sz w:val="24"/>
          <w:szCs w:val="24"/>
        </w:rPr>
        <w:t>statybos techninio reglamento STR 1.07.03:2017 „Statinių techninės ir naudojimo priežiūros tvarka. Naujų nekilnojamojo turto kadastro objektų formavimo tvarka“, patvirtint</w:t>
      </w:r>
      <w:r w:rsidR="008D4C9D">
        <w:rPr>
          <w:sz w:val="24"/>
          <w:szCs w:val="24"/>
        </w:rPr>
        <w:t>o</w:t>
      </w:r>
      <w:r w:rsidR="001C5320" w:rsidRPr="001C5320">
        <w:rPr>
          <w:sz w:val="24"/>
          <w:szCs w:val="24"/>
        </w:rPr>
        <w:t xml:space="preserve"> Lietuvos Respublikos aplinkos ministro 2016 m. gruodžio 30 d. įsakymu Nr. D1-971 „Dėl statybos techninio reglamento STR 1.07.03:2017 „Statinių techninės ir naudojimo priežiūros tvarka. Naujų nekilnojamojo turto kadastro objektų </w:t>
      </w:r>
      <w:r w:rsidR="001C5320">
        <w:rPr>
          <w:sz w:val="24"/>
          <w:szCs w:val="24"/>
        </w:rPr>
        <w:t>formavimo tvarka“ patvirtinimo“</w:t>
      </w:r>
      <w:r w:rsidRPr="001C5320">
        <w:rPr>
          <w:sz w:val="24"/>
          <w:szCs w:val="24"/>
        </w:rPr>
        <w:t xml:space="preserve"> </w:t>
      </w:r>
      <w:r w:rsidR="00B068F6" w:rsidRPr="00B068F6">
        <w:rPr>
          <w:rFonts w:eastAsia="Andale Sans UI" w:cs="Tahoma"/>
          <w:sz w:val="24"/>
          <w:szCs w:val="24"/>
          <w:lang w:bidi="en-US"/>
        </w:rPr>
        <w:t>(toliau – reglamentas)</w:t>
      </w:r>
      <w:r w:rsidR="008D4C9D">
        <w:rPr>
          <w:rFonts w:eastAsia="Andale Sans UI" w:cs="Tahoma"/>
          <w:sz w:val="24"/>
          <w:szCs w:val="24"/>
          <w:lang w:bidi="en-US"/>
        </w:rPr>
        <w:t>,</w:t>
      </w:r>
      <w:r w:rsidR="00B068F6">
        <w:rPr>
          <w:rFonts w:eastAsia="Andale Sans UI" w:cs="Tahoma"/>
          <w:sz w:val="24"/>
          <w:szCs w:val="24"/>
          <w:lang w:bidi="en-US"/>
        </w:rPr>
        <w:t xml:space="preserve"> </w:t>
      </w:r>
      <w:r w:rsidRPr="001C5320">
        <w:rPr>
          <w:sz w:val="24"/>
          <w:szCs w:val="24"/>
        </w:rPr>
        <w:t xml:space="preserve">kitų </w:t>
      </w:r>
      <w:r w:rsidR="003C553C" w:rsidRPr="001C5320">
        <w:rPr>
          <w:sz w:val="24"/>
          <w:szCs w:val="24"/>
        </w:rPr>
        <w:t>šios srities veiklą</w:t>
      </w:r>
      <w:r w:rsidRPr="001C5320">
        <w:rPr>
          <w:sz w:val="24"/>
          <w:szCs w:val="24"/>
        </w:rPr>
        <w:t xml:space="preserve"> reglamentuojančių teisės aktų nustatyta tvarka.</w:t>
      </w:r>
    </w:p>
    <w:p w:rsidR="00092D18" w:rsidRDefault="00092D18" w:rsidP="00092D18">
      <w:pPr>
        <w:ind w:left="27" w:hanging="1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092D18" w:rsidRDefault="00092D18" w:rsidP="00092D18">
      <w:pPr>
        <w:ind w:left="27" w:hanging="1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PAGRINDINĖS SĄVOKOS</w:t>
      </w:r>
    </w:p>
    <w:p w:rsidR="00092D18" w:rsidRPr="001C5320" w:rsidRDefault="00092D18" w:rsidP="00092D18">
      <w:pPr>
        <w:jc w:val="both"/>
        <w:rPr>
          <w:sz w:val="24"/>
          <w:szCs w:val="24"/>
        </w:rPr>
      </w:pPr>
    </w:p>
    <w:p w:rsidR="00092D18" w:rsidRPr="001C5320" w:rsidRDefault="00092D18" w:rsidP="001C5320">
      <w:pPr>
        <w:jc w:val="both"/>
        <w:rPr>
          <w:sz w:val="24"/>
          <w:szCs w:val="24"/>
        </w:rPr>
      </w:pPr>
      <w:r w:rsidRPr="001C5320">
        <w:rPr>
          <w:sz w:val="24"/>
          <w:szCs w:val="24"/>
        </w:rPr>
        <w:tab/>
        <w:t xml:space="preserve">4. </w:t>
      </w:r>
      <w:r w:rsidR="001C5320" w:rsidRPr="001C5320">
        <w:rPr>
          <w:sz w:val="24"/>
          <w:szCs w:val="24"/>
        </w:rPr>
        <w:t>Metodikoje vartojamos sąvokos atitinka metodikos 3 punkte nurodytuose teisės aktuose pateiktas sąvokas</w:t>
      </w:r>
      <w:r w:rsidRPr="001C5320">
        <w:rPr>
          <w:sz w:val="24"/>
          <w:szCs w:val="24"/>
        </w:rPr>
        <w:t>.</w:t>
      </w:r>
    </w:p>
    <w:p w:rsidR="00092D18" w:rsidRDefault="00092D18" w:rsidP="00092D18">
      <w:pPr>
        <w:jc w:val="center"/>
        <w:rPr>
          <w:sz w:val="24"/>
          <w:szCs w:val="24"/>
        </w:rPr>
      </w:pPr>
    </w:p>
    <w:p w:rsidR="001C5320" w:rsidRPr="001C5320" w:rsidRDefault="00092D18" w:rsidP="001C5320">
      <w:pPr>
        <w:jc w:val="center"/>
        <w:rPr>
          <w:b/>
          <w:sz w:val="24"/>
          <w:szCs w:val="24"/>
        </w:rPr>
      </w:pPr>
      <w:r w:rsidRPr="001C5320">
        <w:rPr>
          <w:b/>
          <w:bCs/>
          <w:sz w:val="24"/>
          <w:szCs w:val="24"/>
        </w:rPr>
        <w:tab/>
        <w:t>III.</w:t>
      </w:r>
      <w:r w:rsidRPr="001C5320">
        <w:rPr>
          <w:sz w:val="24"/>
          <w:szCs w:val="24"/>
        </w:rPr>
        <w:t xml:space="preserve"> </w:t>
      </w:r>
      <w:r w:rsidR="001C5320" w:rsidRPr="001C5320">
        <w:rPr>
          <w:b/>
          <w:sz w:val="24"/>
          <w:szCs w:val="24"/>
        </w:rPr>
        <w:t xml:space="preserve">PASTATŲ TECHNINĖS PRIEŽIŪROS </w:t>
      </w:r>
      <w:r w:rsidR="00B068F6" w:rsidRPr="000E73AF">
        <w:rPr>
          <w:b/>
          <w:sz w:val="24"/>
          <w:szCs w:val="24"/>
        </w:rPr>
        <w:t xml:space="preserve">PASLAUGŲ MOKESČIO </w:t>
      </w:r>
      <w:r w:rsidR="001C5320" w:rsidRPr="001C5320">
        <w:rPr>
          <w:b/>
          <w:sz w:val="24"/>
          <w:szCs w:val="24"/>
        </w:rPr>
        <w:t>TARIF</w:t>
      </w:r>
      <w:r w:rsidR="00C75582">
        <w:rPr>
          <w:b/>
          <w:sz w:val="24"/>
          <w:szCs w:val="24"/>
        </w:rPr>
        <w:t>O</w:t>
      </w:r>
      <w:r w:rsidR="001C5320" w:rsidRPr="001C5320">
        <w:rPr>
          <w:b/>
          <w:sz w:val="24"/>
          <w:szCs w:val="24"/>
        </w:rPr>
        <w:t xml:space="preserve"> APSKAIČIAVIMO TVARKA</w:t>
      </w:r>
    </w:p>
    <w:p w:rsidR="00092D18" w:rsidRDefault="00092D18" w:rsidP="00092D18">
      <w:pPr>
        <w:jc w:val="both"/>
        <w:rPr>
          <w:b/>
          <w:bCs/>
          <w:color w:val="FF0000"/>
          <w:sz w:val="24"/>
          <w:szCs w:val="24"/>
        </w:rPr>
      </w:pPr>
    </w:p>
    <w:p w:rsidR="00B068F6" w:rsidRPr="00B068F6" w:rsidRDefault="00092D18" w:rsidP="00092D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068F6" w:rsidRPr="00B068F6">
        <w:rPr>
          <w:sz w:val="24"/>
          <w:szCs w:val="24"/>
        </w:rPr>
        <w:t xml:space="preserve">5. </w:t>
      </w:r>
      <w:r w:rsidR="00B068F6">
        <w:rPr>
          <w:rFonts w:eastAsia="Andale Sans UI" w:cs="Tahoma"/>
          <w:sz w:val="24"/>
          <w:szCs w:val="24"/>
          <w:lang w:bidi="en-US"/>
        </w:rPr>
        <w:t>Pastatų</w:t>
      </w:r>
      <w:r w:rsidR="00B068F6" w:rsidRPr="00B068F6">
        <w:rPr>
          <w:rFonts w:eastAsia="Andale Sans UI" w:cs="Tahoma"/>
          <w:sz w:val="24"/>
          <w:szCs w:val="24"/>
          <w:lang w:bidi="en-US"/>
        </w:rPr>
        <w:t xml:space="preserve"> techninės priežiūros </w:t>
      </w:r>
      <w:r w:rsidR="00B068F6">
        <w:rPr>
          <w:sz w:val="24"/>
          <w:szCs w:val="24"/>
        </w:rPr>
        <w:t xml:space="preserve">paslaugų mokesčio </w:t>
      </w:r>
      <w:r w:rsidR="00B068F6" w:rsidRPr="00B068F6">
        <w:rPr>
          <w:rFonts w:eastAsia="Andale Sans UI" w:cs="Tahoma"/>
          <w:sz w:val="24"/>
          <w:szCs w:val="24"/>
          <w:lang w:bidi="en-US"/>
        </w:rPr>
        <w:t>tarif</w:t>
      </w:r>
      <w:r w:rsidR="00EC166A">
        <w:rPr>
          <w:rFonts w:eastAsia="Andale Sans UI" w:cs="Tahoma"/>
          <w:sz w:val="24"/>
          <w:szCs w:val="24"/>
          <w:lang w:bidi="en-US"/>
        </w:rPr>
        <w:t>as</w:t>
      </w:r>
      <w:r w:rsidR="00B068F6" w:rsidRPr="00B068F6">
        <w:rPr>
          <w:rFonts w:eastAsia="Andale Sans UI" w:cs="Tahoma"/>
          <w:sz w:val="24"/>
          <w:szCs w:val="24"/>
          <w:lang w:bidi="en-US"/>
        </w:rPr>
        <w:t xml:space="preserve"> apskaičiuojam</w:t>
      </w:r>
      <w:r w:rsidR="00EC166A">
        <w:rPr>
          <w:rFonts w:eastAsia="Andale Sans UI" w:cs="Tahoma"/>
          <w:sz w:val="24"/>
          <w:szCs w:val="24"/>
          <w:lang w:bidi="en-US"/>
        </w:rPr>
        <w:t>as</w:t>
      </w:r>
      <w:r w:rsidR="00B068F6" w:rsidRPr="00B068F6">
        <w:rPr>
          <w:rFonts w:eastAsia="Andale Sans UI" w:cs="Tahoma"/>
          <w:sz w:val="24"/>
          <w:szCs w:val="24"/>
          <w:lang w:bidi="en-US"/>
        </w:rPr>
        <w:t xml:space="preserve"> vertinant reglamente nurodytų darbų metines išlaidas:</w:t>
      </w:r>
    </w:p>
    <w:p w:rsidR="00B068F6" w:rsidRPr="00B068F6" w:rsidRDefault="00B068F6" w:rsidP="00092D18">
      <w:pPr>
        <w:jc w:val="both"/>
        <w:rPr>
          <w:sz w:val="24"/>
          <w:szCs w:val="24"/>
        </w:rPr>
      </w:pPr>
      <w:r w:rsidRPr="00B068F6">
        <w:rPr>
          <w:sz w:val="24"/>
          <w:szCs w:val="24"/>
        </w:rPr>
        <w:t xml:space="preserve">                      5.1. </w:t>
      </w:r>
      <w:r w:rsidRPr="00B068F6">
        <w:rPr>
          <w:rFonts w:eastAsia="Andale Sans UI" w:cs="Tahoma"/>
          <w:sz w:val="24"/>
          <w:szCs w:val="24"/>
          <w:lang w:bidi="en-US"/>
        </w:rPr>
        <w:t xml:space="preserve">nuolatinių namo būklės stebėjimų </w:t>
      </w:r>
      <w:r w:rsidR="00585950">
        <w:rPr>
          <w:rFonts w:eastAsia="Andale Sans UI" w:cs="Tahoma"/>
          <w:sz w:val="24"/>
          <w:szCs w:val="24"/>
          <w:lang w:bidi="en-US"/>
        </w:rPr>
        <w:t xml:space="preserve">ir jiems </w:t>
      </w:r>
      <w:r w:rsidR="00585950" w:rsidRPr="00B068F6">
        <w:rPr>
          <w:rFonts w:eastAsia="Andale Sans UI" w:cs="Tahoma"/>
          <w:sz w:val="24"/>
          <w:szCs w:val="24"/>
          <w:lang w:bidi="en-US"/>
        </w:rPr>
        <w:t>privalomų pagal reglamento 51 punktą</w:t>
      </w:r>
      <w:r w:rsidR="00585950">
        <w:rPr>
          <w:rFonts w:eastAsia="Andale Sans UI" w:cs="Tahoma"/>
          <w:sz w:val="24"/>
          <w:szCs w:val="24"/>
          <w:lang w:bidi="en-US"/>
        </w:rPr>
        <w:t xml:space="preserve"> dokumentų</w:t>
      </w:r>
      <w:r w:rsidR="00585950" w:rsidRPr="00B068F6">
        <w:rPr>
          <w:rFonts w:eastAsia="Andale Sans UI" w:cs="Tahoma"/>
          <w:sz w:val="24"/>
          <w:szCs w:val="24"/>
          <w:lang w:bidi="en-US"/>
        </w:rPr>
        <w:t xml:space="preserve"> rengimo, pildymo ir saugojimo</w:t>
      </w:r>
      <w:r w:rsidR="00585950">
        <w:rPr>
          <w:rFonts w:eastAsia="Andale Sans UI" w:cs="Tahoma"/>
          <w:sz w:val="24"/>
          <w:szCs w:val="24"/>
          <w:lang w:bidi="en-US"/>
        </w:rPr>
        <w:t xml:space="preserve"> </w:t>
      </w:r>
      <w:r w:rsidR="00585950" w:rsidRPr="00B068F6">
        <w:rPr>
          <w:rFonts w:eastAsia="Andale Sans UI" w:cs="Tahoma"/>
          <w:sz w:val="24"/>
          <w:szCs w:val="24"/>
          <w:lang w:bidi="en-US"/>
        </w:rPr>
        <w:t xml:space="preserve">(toliau – </w:t>
      </w:r>
      <w:r w:rsidR="00585950" w:rsidRPr="007D43E7">
        <w:rPr>
          <w:rFonts w:eastAsia="Andale Sans UI" w:cs="Tahoma"/>
          <w:sz w:val="24"/>
          <w:szCs w:val="24"/>
          <w:lang w:bidi="en-US"/>
        </w:rPr>
        <w:t>nuolatiniai stebėjimai</w:t>
      </w:r>
      <w:r w:rsidR="00585950" w:rsidRPr="00B068F6">
        <w:rPr>
          <w:rFonts w:eastAsia="Andale Sans UI" w:cs="Tahoma"/>
          <w:sz w:val="24"/>
          <w:szCs w:val="24"/>
          <w:lang w:bidi="en-US"/>
        </w:rPr>
        <w:t>)</w:t>
      </w:r>
      <w:r w:rsidRPr="00B068F6">
        <w:rPr>
          <w:rFonts w:eastAsia="Andale Sans UI" w:cs="Tahoma"/>
          <w:sz w:val="24"/>
          <w:szCs w:val="24"/>
          <w:lang w:bidi="en-US"/>
        </w:rPr>
        <w:t>;</w:t>
      </w:r>
    </w:p>
    <w:p w:rsidR="00B068F6" w:rsidRPr="00B068F6" w:rsidRDefault="00B068F6" w:rsidP="00092D18">
      <w:pPr>
        <w:jc w:val="both"/>
        <w:rPr>
          <w:sz w:val="24"/>
          <w:szCs w:val="24"/>
        </w:rPr>
      </w:pPr>
      <w:r w:rsidRPr="00B068F6">
        <w:rPr>
          <w:sz w:val="24"/>
          <w:szCs w:val="24"/>
        </w:rPr>
        <w:t xml:space="preserve">                      5.2. </w:t>
      </w:r>
      <w:r w:rsidRPr="00B068F6">
        <w:rPr>
          <w:rFonts w:eastAsia="Andale Sans UI" w:cs="Tahoma"/>
          <w:sz w:val="24"/>
          <w:szCs w:val="24"/>
          <w:lang w:bidi="en-US"/>
        </w:rPr>
        <w:t xml:space="preserve">periodinių (sezoninių) namo apžiūrų </w:t>
      </w:r>
      <w:r w:rsidR="00585950">
        <w:rPr>
          <w:rFonts w:eastAsia="Andale Sans UI" w:cs="Tahoma"/>
          <w:sz w:val="24"/>
          <w:szCs w:val="24"/>
          <w:lang w:bidi="en-US"/>
        </w:rPr>
        <w:t xml:space="preserve">ir joms </w:t>
      </w:r>
      <w:r w:rsidR="00585950" w:rsidRPr="00B068F6">
        <w:rPr>
          <w:rFonts w:eastAsia="Andale Sans UI" w:cs="Tahoma"/>
          <w:sz w:val="24"/>
          <w:szCs w:val="24"/>
          <w:lang w:bidi="en-US"/>
        </w:rPr>
        <w:t xml:space="preserve">privalomų pagal reglamento </w:t>
      </w:r>
      <w:r w:rsidR="008D4C9D">
        <w:rPr>
          <w:rFonts w:eastAsia="Andale Sans UI" w:cs="Tahoma"/>
          <w:sz w:val="24"/>
          <w:szCs w:val="24"/>
          <w:lang w:bidi="en-US"/>
        </w:rPr>
        <w:t xml:space="preserve">          </w:t>
      </w:r>
      <w:r w:rsidR="00585950" w:rsidRPr="00B068F6">
        <w:rPr>
          <w:rFonts w:eastAsia="Andale Sans UI" w:cs="Tahoma"/>
          <w:sz w:val="24"/>
          <w:szCs w:val="24"/>
          <w:lang w:bidi="en-US"/>
        </w:rPr>
        <w:t>51 punktą</w:t>
      </w:r>
      <w:r w:rsidR="00585950">
        <w:rPr>
          <w:rFonts w:eastAsia="Andale Sans UI" w:cs="Tahoma"/>
          <w:sz w:val="24"/>
          <w:szCs w:val="24"/>
          <w:lang w:bidi="en-US"/>
        </w:rPr>
        <w:t xml:space="preserve"> dokumentų</w:t>
      </w:r>
      <w:r w:rsidR="00585950" w:rsidRPr="00B068F6">
        <w:rPr>
          <w:rFonts w:eastAsia="Andale Sans UI" w:cs="Tahoma"/>
          <w:sz w:val="24"/>
          <w:szCs w:val="24"/>
          <w:lang w:bidi="en-US"/>
        </w:rPr>
        <w:t xml:space="preserve"> rengimo, pildymo ir saugojimo</w:t>
      </w:r>
      <w:r w:rsidR="00585950">
        <w:rPr>
          <w:rFonts w:eastAsia="Andale Sans UI" w:cs="Tahoma"/>
          <w:sz w:val="24"/>
          <w:szCs w:val="24"/>
          <w:lang w:bidi="en-US"/>
        </w:rPr>
        <w:t xml:space="preserve"> </w:t>
      </w:r>
      <w:r w:rsidRPr="00B068F6">
        <w:rPr>
          <w:rFonts w:eastAsia="Andale Sans UI" w:cs="Tahoma"/>
          <w:sz w:val="24"/>
          <w:szCs w:val="24"/>
          <w:lang w:bidi="en-US"/>
        </w:rPr>
        <w:t xml:space="preserve">(toliau – </w:t>
      </w:r>
      <w:r w:rsidRPr="007D43E7">
        <w:rPr>
          <w:rFonts w:eastAsia="Andale Sans UI" w:cs="Tahoma"/>
          <w:sz w:val="24"/>
          <w:szCs w:val="24"/>
          <w:lang w:bidi="en-US"/>
        </w:rPr>
        <w:t>apžiūros</w:t>
      </w:r>
      <w:r w:rsidRPr="00B068F6">
        <w:rPr>
          <w:rFonts w:eastAsia="Andale Sans UI" w:cs="Tahoma"/>
          <w:sz w:val="24"/>
          <w:szCs w:val="24"/>
          <w:lang w:bidi="en-US"/>
        </w:rPr>
        <w:t>);</w:t>
      </w:r>
    </w:p>
    <w:p w:rsidR="0022033F" w:rsidRDefault="00B068F6" w:rsidP="00092D18">
      <w:pPr>
        <w:jc w:val="both"/>
        <w:rPr>
          <w:rFonts w:eastAsia="Andale Sans UI" w:cs="Tahoma"/>
          <w:sz w:val="24"/>
          <w:szCs w:val="24"/>
          <w:lang w:bidi="en-US"/>
        </w:rPr>
      </w:pPr>
      <w:r w:rsidRPr="00C75582">
        <w:rPr>
          <w:rFonts w:eastAsia="Andale Sans UI" w:cs="Tahoma"/>
          <w:sz w:val="24"/>
          <w:szCs w:val="24"/>
          <w:lang w:bidi="en-US"/>
        </w:rPr>
        <w:t xml:space="preserve">                      6. </w:t>
      </w:r>
      <w:r w:rsidR="0022033F">
        <w:rPr>
          <w:rFonts w:eastAsia="Andale Sans UI" w:cs="Tahoma"/>
          <w:sz w:val="24"/>
          <w:szCs w:val="24"/>
          <w:lang w:bidi="en-US"/>
        </w:rPr>
        <w:t>Nuolatiniai stebėjimai atliekami kas mėnesį, t.</w:t>
      </w:r>
      <w:r w:rsidR="008D4C9D">
        <w:rPr>
          <w:rFonts w:eastAsia="Andale Sans UI" w:cs="Tahoma"/>
          <w:sz w:val="24"/>
          <w:szCs w:val="24"/>
          <w:lang w:bidi="en-US"/>
        </w:rPr>
        <w:t xml:space="preserve"> </w:t>
      </w:r>
      <w:r w:rsidR="0022033F">
        <w:rPr>
          <w:rFonts w:eastAsia="Andale Sans UI" w:cs="Tahoma"/>
          <w:sz w:val="24"/>
          <w:szCs w:val="24"/>
          <w:lang w:bidi="en-US"/>
        </w:rPr>
        <w:t>y. dvylika kartų per metus, iš kurių vieną kartą gali būti atliekami apžiūros metu.</w:t>
      </w:r>
    </w:p>
    <w:p w:rsidR="00B068F6" w:rsidRPr="00C75582" w:rsidRDefault="0022033F" w:rsidP="00092D18">
      <w:pPr>
        <w:jc w:val="both"/>
        <w:rPr>
          <w:sz w:val="24"/>
          <w:szCs w:val="24"/>
        </w:rPr>
      </w:pPr>
      <w:r>
        <w:rPr>
          <w:rFonts w:eastAsia="Andale Sans UI" w:cs="Tahoma"/>
          <w:sz w:val="24"/>
          <w:szCs w:val="24"/>
          <w:lang w:bidi="en-US"/>
        </w:rPr>
        <w:t xml:space="preserve">                      7. </w:t>
      </w:r>
      <w:r w:rsidR="007D43E7" w:rsidRPr="00C75582">
        <w:rPr>
          <w:rFonts w:eastAsia="Andale Sans UI" w:cs="Tahoma"/>
          <w:sz w:val="24"/>
          <w:szCs w:val="24"/>
          <w:lang w:bidi="en-US"/>
        </w:rPr>
        <w:t>Tarif</w:t>
      </w:r>
      <w:r w:rsidR="00EC166A" w:rsidRPr="00C75582">
        <w:rPr>
          <w:rFonts w:eastAsia="Andale Sans UI" w:cs="Tahoma"/>
          <w:sz w:val="24"/>
          <w:szCs w:val="24"/>
          <w:lang w:bidi="en-US"/>
        </w:rPr>
        <w:t>ui</w:t>
      </w:r>
      <w:r w:rsidR="00B068F6" w:rsidRPr="00C75582">
        <w:rPr>
          <w:rFonts w:eastAsia="Andale Sans UI" w:cs="Tahoma"/>
          <w:sz w:val="24"/>
          <w:szCs w:val="24"/>
          <w:lang w:bidi="en-US"/>
        </w:rPr>
        <w:t xml:space="preserve"> apskaičiuoti pasirinktas vidutinio dydžio 1</w:t>
      </w:r>
      <w:r w:rsidR="008D4C9D">
        <w:rPr>
          <w:rFonts w:eastAsia="Andale Sans UI" w:cs="Tahoma"/>
          <w:sz w:val="24"/>
          <w:szCs w:val="24"/>
          <w:lang w:bidi="en-US"/>
        </w:rPr>
        <w:t xml:space="preserve"> </w:t>
      </w:r>
      <w:r w:rsidR="00B068F6" w:rsidRPr="00C75582">
        <w:rPr>
          <w:rFonts w:eastAsia="Andale Sans UI" w:cs="Tahoma"/>
          <w:sz w:val="24"/>
          <w:szCs w:val="24"/>
          <w:lang w:bidi="en-US"/>
        </w:rPr>
        <w:t>500 m</w:t>
      </w:r>
      <w:r w:rsidR="00B068F6" w:rsidRPr="00C75582">
        <w:rPr>
          <w:rFonts w:eastAsia="Andale Sans UI" w:cs="Tahoma"/>
          <w:sz w:val="24"/>
          <w:szCs w:val="24"/>
          <w:vertAlign w:val="superscript"/>
          <w:lang w:bidi="en-US"/>
        </w:rPr>
        <w:t>2</w:t>
      </w:r>
      <w:r w:rsidR="00B068F6" w:rsidRPr="00C75582">
        <w:rPr>
          <w:rFonts w:eastAsia="Andale Sans UI" w:cs="Tahoma"/>
          <w:sz w:val="24"/>
          <w:szCs w:val="24"/>
          <w:lang w:bidi="en-US"/>
        </w:rPr>
        <w:t xml:space="preserve"> bendrojo ploto pastatas.</w:t>
      </w:r>
    </w:p>
    <w:p w:rsidR="00092D18" w:rsidRPr="00C75582" w:rsidRDefault="00585950" w:rsidP="00092D18">
      <w:pPr>
        <w:jc w:val="both"/>
        <w:rPr>
          <w:sz w:val="24"/>
          <w:szCs w:val="24"/>
        </w:rPr>
      </w:pPr>
      <w:r w:rsidRPr="00C75582">
        <w:rPr>
          <w:sz w:val="24"/>
          <w:szCs w:val="24"/>
        </w:rPr>
        <w:tab/>
      </w:r>
      <w:r w:rsidR="0022033F">
        <w:rPr>
          <w:sz w:val="24"/>
          <w:szCs w:val="24"/>
        </w:rPr>
        <w:t>8</w:t>
      </w:r>
      <w:r w:rsidR="00092D18" w:rsidRPr="00C75582">
        <w:rPr>
          <w:sz w:val="24"/>
          <w:szCs w:val="24"/>
        </w:rPr>
        <w:t xml:space="preserve">. </w:t>
      </w:r>
      <w:r w:rsidRPr="00C75582">
        <w:rPr>
          <w:sz w:val="24"/>
          <w:szCs w:val="24"/>
        </w:rPr>
        <w:t>Pastato</w:t>
      </w:r>
      <w:r w:rsidR="00092D18" w:rsidRPr="00C75582">
        <w:rPr>
          <w:sz w:val="24"/>
          <w:szCs w:val="24"/>
        </w:rPr>
        <w:t xml:space="preserve"> </w:t>
      </w:r>
      <w:r w:rsidR="00EC166A" w:rsidRPr="00C75582">
        <w:rPr>
          <w:sz w:val="24"/>
          <w:szCs w:val="24"/>
        </w:rPr>
        <w:t>techninės priežiūros</w:t>
      </w:r>
      <w:r w:rsidRPr="00C75582">
        <w:rPr>
          <w:sz w:val="24"/>
          <w:szCs w:val="24"/>
        </w:rPr>
        <w:t xml:space="preserve"> paslaugos mokesčio</w:t>
      </w:r>
      <w:r w:rsidR="00092D18" w:rsidRPr="00C75582">
        <w:rPr>
          <w:sz w:val="24"/>
          <w:szCs w:val="24"/>
        </w:rPr>
        <w:t xml:space="preserve"> tarifas konkrečiam </w:t>
      </w:r>
      <w:r w:rsidR="00426092" w:rsidRPr="00C75582">
        <w:rPr>
          <w:sz w:val="24"/>
          <w:szCs w:val="24"/>
        </w:rPr>
        <w:t>pastatu</w:t>
      </w:r>
      <w:r w:rsidR="00092D18" w:rsidRPr="00C75582">
        <w:rPr>
          <w:sz w:val="24"/>
          <w:szCs w:val="24"/>
        </w:rPr>
        <w:t>i apskaičiuojamas pagal formulę:</w:t>
      </w:r>
    </w:p>
    <w:p w:rsidR="00092D18" w:rsidRPr="00C75582" w:rsidRDefault="00092D18" w:rsidP="00092D18">
      <w:pPr>
        <w:jc w:val="both"/>
        <w:rPr>
          <w:sz w:val="24"/>
          <w:szCs w:val="24"/>
        </w:rPr>
      </w:pPr>
      <w:r w:rsidRPr="00C75582">
        <w:rPr>
          <w:sz w:val="24"/>
          <w:szCs w:val="24"/>
        </w:rPr>
        <w:tab/>
      </w:r>
      <w:r w:rsidRPr="00C75582">
        <w:rPr>
          <w:sz w:val="24"/>
          <w:szCs w:val="24"/>
        </w:rPr>
        <w:tab/>
      </w:r>
      <w:r w:rsidRPr="00C75582">
        <w:rPr>
          <w:b/>
          <w:bCs/>
          <w:sz w:val="24"/>
          <w:szCs w:val="24"/>
        </w:rPr>
        <w:t>T</w:t>
      </w:r>
      <w:r w:rsidR="00EC166A" w:rsidRPr="00C75582">
        <w:rPr>
          <w:b/>
          <w:bCs/>
          <w:sz w:val="24"/>
          <w:szCs w:val="24"/>
          <w:vertAlign w:val="subscript"/>
        </w:rPr>
        <w:t>TP</w:t>
      </w:r>
      <w:r w:rsidRPr="00C75582">
        <w:rPr>
          <w:b/>
          <w:bCs/>
          <w:sz w:val="24"/>
          <w:szCs w:val="24"/>
        </w:rPr>
        <w:t xml:space="preserve"> = </w:t>
      </w:r>
      <w:r w:rsidR="00585950" w:rsidRPr="00C75582">
        <w:rPr>
          <w:b/>
          <w:bCs/>
          <w:sz w:val="24"/>
          <w:szCs w:val="24"/>
        </w:rPr>
        <w:t>2</w:t>
      </w:r>
      <w:r w:rsidRPr="00C75582">
        <w:rPr>
          <w:b/>
          <w:bCs/>
          <w:sz w:val="24"/>
          <w:szCs w:val="24"/>
        </w:rPr>
        <w:t>K</w:t>
      </w:r>
      <w:r w:rsidRPr="00C75582">
        <w:rPr>
          <w:b/>
          <w:bCs/>
          <w:sz w:val="24"/>
          <w:szCs w:val="24"/>
          <w:vertAlign w:val="subscript"/>
        </w:rPr>
        <w:t xml:space="preserve">1 </w:t>
      </w:r>
      <w:r w:rsidRPr="00C75582">
        <w:rPr>
          <w:b/>
          <w:bCs/>
          <w:sz w:val="24"/>
          <w:szCs w:val="24"/>
        </w:rPr>
        <w:t>x K</w:t>
      </w:r>
      <w:r w:rsidRPr="00C75582">
        <w:rPr>
          <w:b/>
          <w:bCs/>
          <w:sz w:val="24"/>
          <w:szCs w:val="24"/>
          <w:vertAlign w:val="subscript"/>
        </w:rPr>
        <w:t>2</w:t>
      </w:r>
      <w:r w:rsidRPr="00C75582">
        <w:rPr>
          <w:b/>
          <w:bCs/>
          <w:sz w:val="24"/>
          <w:szCs w:val="24"/>
        </w:rPr>
        <w:t xml:space="preserve"> </w:t>
      </w:r>
      <w:r w:rsidR="00426092" w:rsidRPr="00C75582">
        <w:rPr>
          <w:b/>
          <w:bCs/>
          <w:sz w:val="24"/>
          <w:szCs w:val="24"/>
        </w:rPr>
        <w:t xml:space="preserve">+ </w:t>
      </w:r>
      <w:r w:rsidR="00585950" w:rsidRPr="00C75582">
        <w:rPr>
          <w:b/>
          <w:bCs/>
          <w:sz w:val="24"/>
          <w:szCs w:val="24"/>
        </w:rPr>
        <w:t>K</w:t>
      </w:r>
      <w:r w:rsidR="00EC166A" w:rsidRPr="00C75582">
        <w:rPr>
          <w:b/>
          <w:bCs/>
          <w:sz w:val="24"/>
          <w:szCs w:val="24"/>
          <w:vertAlign w:val="subscript"/>
        </w:rPr>
        <w:t>TP</w:t>
      </w:r>
      <w:r w:rsidRPr="00C75582">
        <w:rPr>
          <w:sz w:val="24"/>
          <w:szCs w:val="24"/>
        </w:rPr>
        <w:tab/>
      </w:r>
    </w:p>
    <w:p w:rsidR="00092D18" w:rsidRPr="00C75582" w:rsidRDefault="00092D18" w:rsidP="00092D18">
      <w:pPr>
        <w:jc w:val="both"/>
        <w:rPr>
          <w:sz w:val="24"/>
          <w:szCs w:val="24"/>
        </w:rPr>
      </w:pPr>
      <w:r w:rsidRPr="00C75582">
        <w:rPr>
          <w:sz w:val="24"/>
          <w:szCs w:val="24"/>
        </w:rPr>
        <w:tab/>
      </w:r>
      <w:r w:rsidR="00426092" w:rsidRPr="00C75582">
        <w:rPr>
          <w:b/>
          <w:bCs/>
          <w:sz w:val="24"/>
          <w:szCs w:val="24"/>
        </w:rPr>
        <w:t>T</w:t>
      </w:r>
      <w:r w:rsidR="00EC166A" w:rsidRPr="00C75582">
        <w:rPr>
          <w:b/>
          <w:bCs/>
          <w:sz w:val="24"/>
          <w:szCs w:val="24"/>
          <w:vertAlign w:val="subscript"/>
        </w:rPr>
        <w:t>TP</w:t>
      </w:r>
      <w:r w:rsidR="00426092" w:rsidRPr="00C75582">
        <w:rPr>
          <w:sz w:val="24"/>
          <w:szCs w:val="24"/>
        </w:rPr>
        <w:t xml:space="preserve"> </w:t>
      </w:r>
      <w:r w:rsidRPr="00C75582">
        <w:rPr>
          <w:sz w:val="24"/>
          <w:szCs w:val="24"/>
        </w:rPr>
        <w:t xml:space="preserve">– </w:t>
      </w:r>
      <w:r w:rsidR="00EC166A" w:rsidRPr="00C75582">
        <w:rPr>
          <w:sz w:val="24"/>
          <w:szCs w:val="24"/>
        </w:rPr>
        <w:t>techninės priežiūros</w:t>
      </w:r>
      <w:r w:rsidR="00426092" w:rsidRPr="00C75582">
        <w:rPr>
          <w:sz w:val="24"/>
          <w:szCs w:val="24"/>
        </w:rPr>
        <w:t xml:space="preserve"> paslaugos mokesčio tarifas </w:t>
      </w:r>
      <w:r w:rsidRPr="00C75582">
        <w:rPr>
          <w:sz w:val="24"/>
          <w:szCs w:val="24"/>
        </w:rPr>
        <w:t>konkrečiam pastatui</w:t>
      </w:r>
      <w:r w:rsidR="00426092" w:rsidRPr="00C75582">
        <w:rPr>
          <w:sz w:val="24"/>
          <w:szCs w:val="24"/>
        </w:rPr>
        <w:t>, Eur/per</w:t>
      </w:r>
      <w:r w:rsidR="00426092" w:rsidRPr="00C75582">
        <w:rPr>
          <w:rFonts w:cs="Tahoma"/>
          <w:sz w:val="24"/>
          <w:szCs w:val="24"/>
        </w:rPr>
        <w:t xml:space="preserve"> mėnesį</w:t>
      </w:r>
      <w:r w:rsidRPr="00C75582">
        <w:rPr>
          <w:sz w:val="24"/>
          <w:szCs w:val="24"/>
        </w:rPr>
        <w:t xml:space="preserve">; </w:t>
      </w:r>
    </w:p>
    <w:p w:rsidR="00426092" w:rsidRPr="00C75582" w:rsidRDefault="00092D18" w:rsidP="00092D18">
      <w:pPr>
        <w:jc w:val="both"/>
        <w:rPr>
          <w:sz w:val="24"/>
          <w:szCs w:val="24"/>
        </w:rPr>
      </w:pPr>
      <w:r w:rsidRPr="00C75582">
        <w:rPr>
          <w:sz w:val="24"/>
          <w:szCs w:val="24"/>
          <w:vertAlign w:val="subscript"/>
        </w:rPr>
        <w:tab/>
      </w:r>
      <w:r w:rsidR="00426092" w:rsidRPr="00C75582">
        <w:rPr>
          <w:b/>
          <w:bCs/>
          <w:sz w:val="24"/>
          <w:szCs w:val="24"/>
        </w:rPr>
        <w:t>2K</w:t>
      </w:r>
      <w:r w:rsidR="00426092" w:rsidRPr="00C75582">
        <w:rPr>
          <w:b/>
          <w:bCs/>
          <w:sz w:val="24"/>
          <w:szCs w:val="24"/>
          <w:vertAlign w:val="subscript"/>
        </w:rPr>
        <w:t>1</w:t>
      </w:r>
      <w:r w:rsidRPr="00C75582">
        <w:rPr>
          <w:sz w:val="24"/>
          <w:szCs w:val="24"/>
        </w:rPr>
        <w:t xml:space="preserve"> – </w:t>
      </w:r>
      <w:r w:rsidR="00426092" w:rsidRPr="00C75582">
        <w:rPr>
          <w:sz w:val="24"/>
          <w:szCs w:val="24"/>
        </w:rPr>
        <w:t>atstumas nuo paslaugos teikėjo buveinės iki aptarnaujamo objekto ir atgal, km</w:t>
      </w:r>
      <w:r w:rsidRPr="00C75582">
        <w:rPr>
          <w:sz w:val="24"/>
          <w:szCs w:val="24"/>
        </w:rPr>
        <w:t>;</w:t>
      </w:r>
    </w:p>
    <w:p w:rsidR="00426092" w:rsidRPr="00C75582" w:rsidRDefault="00426092" w:rsidP="00426092">
      <w:pPr>
        <w:jc w:val="both"/>
        <w:rPr>
          <w:sz w:val="24"/>
          <w:szCs w:val="24"/>
        </w:rPr>
      </w:pPr>
      <w:r w:rsidRPr="00C75582">
        <w:rPr>
          <w:sz w:val="24"/>
          <w:szCs w:val="24"/>
        </w:rPr>
        <w:tab/>
      </w:r>
      <w:r w:rsidRPr="00C75582">
        <w:rPr>
          <w:b/>
          <w:sz w:val="24"/>
          <w:szCs w:val="24"/>
        </w:rPr>
        <w:t>K</w:t>
      </w:r>
      <w:r w:rsidRPr="00C75582">
        <w:rPr>
          <w:b/>
          <w:sz w:val="24"/>
          <w:szCs w:val="24"/>
          <w:vertAlign w:val="subscript"/>
        </w:rPr>
        <w:t>2</w:t>
      </w:r>
      <w:r w:rsidRPr="00C75582">
        <w:rPr>
          <w:sz w:val="24"/>
          <w:szCs w:val="24"/>
          <w:vertAlign w:val="subscript"/>
        </w:rPr>
        <w:t xml:space="preserve"> </w:t>
      </w:r>
      <w:r w:rsidRPr="00C75582">
        <w:rPr>
          <w:sz w:val="24"/>
          <w:szCs w:val="24"/>
        </w:rPr>
        <w:t>–</w:t>
      </w:r>
      <w:r w:rsidR="008D4C9D">
        <w:rPr>
          <w:sz w:val="24"/>
          <w:szCs w:val="24"/>
        </w:rPr>
        <w:t xml:space="preserve"> </w:t>
      </w:r>
      <w:r w:rsidRPr="00C75582">
        <w:rPr>
          <w:sz w:val="24"/>
          <w:szCs w:val="24"/>
        </w:rPr>
        <w:t xml:space="preserve">transporto sąnaudos, nustatytos einamiesiems metams ir patvirtintos Įstaigos </w:t>
      </w:r>
      <w:r w:rsidRPr="00C75582">
        <w:rPr>
          <w:sz w:val="24"/>
          <w:szCs w:val="24"/>
        </w:rPr>
        <w:lastRenderedPageBreak/>
        <w:t>vadovo įsakymu, Eur/km;</w:t>
      </w:r>
      <w:r w:rsidRPr="00C75582">
        <w:rPr>
          <w:sz w:val="24"/>
          <w:szCs w:val="24"/>
        </w:rPr>
        <w:tab/>
      </w:r>
      <w:r w:rsidRPr="00C75582">
        <w:rPr>
          <w:sz w:val="24"/>
          <w:szCs w:val="24"/>
        </w:rPr>
        <w:tab/>
      </w:r>
      <w:r w:rsidRPr="00C75582">
        <w:rPr>
          <w:sz w:val="24"/>
          <w:szCs w:val="24"/>
        </w:rPr>
        <w:tab/>
      </w:r>
    </w:p>
    <w:p w:rsidR="00092D18" w:rsidRPr="00C75582" w:rsidRDefault="00092D18" w:rsidP="00092D18">
      <w:pPr>
        <w:jc w:val="both"/>
        <w:rPr>
          <w:sz w:val="24"/>
          <w:szCs w:val="24"/>
        </w:rPr>
      </w:pPr>
      <w:r w:rsidRPr="00C75582">
        <w:rPr>
          <w:sz w:val="24"/>
          <w:szCs w:val="24"/>
          <w:vertAlign w:val="subscript"/>
        </w:rPr>
        <w:tab/>
      </w:r>
      <w:r w:rsidR="00426092" w:rsidRPr="00C75582">
        <w:rPr>
          <w:b/>
          <w:bCs/>
          <w:sz w:val="24"/>
          <w:szCs w:val="24"/>
        </w:rPr>
        <w:t>K</w:t>
      </w:r>
      <w:r w:rsidR="00EC166A" w:rsidRPr="00C75582">
        <w:rPr>
          <w:b/>
          <w:bCs/>
          <w:sz w:val="24"/>
          <w:szCs w:val="24"/>
          <w:vertAlign w:val="subscript"/>
        </w:rPr>
        <w:t>TP</w:t>
      </w:r>
      <w:r w:rsidRPr="00C75582">
        <w:rPr>
          <w:sz w:val="24"/>
          <w:szCs w:val="24"/>
        </w:rPr>
        <w:t xml:space="preserve"> – </w:t>
      </w:r>
      <w:r w:rsidR="00EC166A" w:rsidRPr="00C75582">
        <w:rPr>
          <w:sz w:val="24"/>
          <w:szCs w:val="24"/>
        </w:rPr>
        <w:t>techninės priežiūros</w:t>
      </w:r>
      <w:r w:rsidR="00A2008C" w:rsidRPr="00C75582">
        <w:rPr>
          <w:sz w:val="24"/>
          <w:szCs w:val="24"/>
        </w:rPr>
        <w:t xml:space="preserve"> paslaugos įkainio dedamoji</w:t>
      </w:r>
      <w:r w:rsidR="008B6518" w:rsidRPr="00C75582">
        <w:rPr>
          <w:sz w:val="24"/>
          <w:szCs w:val="24"/>
        </w:rPr>
        <w:t xml:space="preserve">, </w:t>
      </w:r>
      <w:r w:rsidR="006C38EC" w:rsidRPr="00C75582">
        <w:rPr>
          <w:sz w:val="24"/>
          <w:szCs w:val="24"/>
        </w:rPr>
        <w:t xml:space="preserve">Eur, </w:t>
      </w:r>
      <w:r w:rsidR="008B6518" w:rsidRPr="00C75582">
        <w:rPr>
          <w:sz w:val="24"/>
          <w:szCs w:val="24"/>
        </w:rPr>
        <w:t>įvertinanti</w:t>
      </w:r>
      <w:r w:rsidRPr="00C75582">
        <w:rPr>
          <w:sz w:val="24"/>
          <w:szCs w:val="24"/>
        </w:rPr>
        <w:t xml:space="preserve"> </w:t>
      </w:r>
      <w:r w:rsidR="008B6518" w:rsidRPr="00C75582">
        <w:rPr>
          <w:sz w:val="24"/>
          <w:szCs w:val="24"/>
        </w:rPr>
        <w:t>konkretaus pastato techninės pri</w:t>
      </w:r>
      <w:r w:rsidR="006C38EC" w:rsidRPr="00C75582">
        <w:rPr>
          <w:sz w:val="24"/>
          <w:szCs w:val="24"/>
        </w:rPr>
        <w:t>ežiūros paslaugos sąnaudas ir</w:t>
      </w:r>
      <w:r w:rsidR="008B6518" w:rsidRPr="00C75582">
        <w:rPr>
          <w:sz w:val="24"/>
          <w:szCs w:val="24"/>
        </w:rPr>
        <w:t xml:space="preserve"> apskaičiuojama</w:t>
      </w:r>
      <w:r w:rsidR="006C38EC" w:rsidRPr="00C75582">
        <w:rPr>
          <w:sz w:val="24"/>
          <w:szCs w:val="24"/>
        </w:rPr>
        <w:t xml:space="preserve"> pagal formulę:</w:t>
      </w:r>
    </w:p>
    <w:p w:rsidR="006C38EC" w:rsidRPr="00C75582" w:rsidRDefault="00092D18" w:rsidP="00092D18">
      <w:pPr>
        <w:jc w:val="both"/>
        <w:rPr>
          <w:b/>
          <w:bCs/>
          <w:sz w:val="24"/>
          <w:szCs w:val="24"/>
        </w:rPr>
      </w:pPr>
      <w:r w:rsidRPr="00C75582">
        <w:rPr>
          <w:sz w:val="24"/>
          <w:szCs w:val="24"/>
        </w:rPr>
        <w:tab/>
      </w:r>
      <w:r w:rsidR="0085327F" w:rsidRPr="00C75582">
        <w:rPr>
          <w:sz w:val="24"/>
          <w:szCs w:val="24"/>
        </w:rPr>
        <w:t xml:space="preserve">                      </w:t>
      </w:r>
      <w:r w:rsidR="0085327F" w:rsidRPr="00C75582">
        <w:rPr>
          <w:b/>
          <w:sz w:val="24"/>
          <w:szCs w:val="24"/>
        </w:rPr>
        <w:t>K</w:t>
      </w:r>
      <w:r w:rsidR="00EC166A" w:rsidRPr="00C75582">
        <w:rPr>
          <w:b/>
          <w:sz w:val="24"/>
          <w:szCs w:val="24"/>
          <w:vertAlign w:val="subscript"/>
        </w:rPr>
        <w:t>TP</w:t>
      </w:r>
      <w:r w:rsidR="0085327F" w:rsidRPr="00C75582">
        <w:rPr>
          <w:b/>
          <w:bCs/>
          <w:sz w:val="24"/>
          <w:szCs w:val="24"/>
          <w:vertAlign w:val="subscript"/>
        </w:rPr>
        <w:t xml:space="preserve"> </w:t>
      </w:r>
      <w:r w:rsidR="0085327F" w:rsidRPr="00C75582">
        <w:rPr>
          <w:b/>
          <w:bCs/>
          <w:sz w:val="24"/>
          <w:szCs w:val="24"/>
          <w:lang w:val="en-US"/>
        </w:rPr>
        <w:t>=</w:t>
      </w:r>
      <w:r w:rsidR="0085327F" w:rsidRPr="00C75582">
        <w:rPr>
          <w:b/>
          <w:sz w:val="24"/>
          <w:szCs w:val="24"/>
        </w:rPr>
        <w:t xml:space="preserve"> (L</w:t>
      </w:r>
      <w:r w:rsidR="0085327F" w:rsidRPr="00C75582">
        <w:rPr>
          <w:b/>
          <w:sz w:val="24"/>
          <w:szCs w:val="24"/>
          <w:vertAlign w:val="subscript"/>
        </w:rPr>
        <w:t xml:space="preserve">A </w:t>
      </w:r>
      <w:r w:rsidR="0085327F" w:rsidRPr="00C75582">
        <w:rPr>
          <w:b/>
          <w:sz w:val="24"/>
          <w:szCs w:val="24"/>
        </w:rPr>
        <w:t xml:space="preserve">+ </w:t>
      </w:r>
      <w:r w:rsidR="00783181" w:rsidRPr="00C75582">
        <w:rPr>
          <w:b/>
          <w:bCs/>
          <w:sz w:val="24"/>
          <w:szCs w:val="24"/>
        </w:rPr>
        <w:t>2K</w:t>
      </w:r>
      <w:r w:rsidR="00783181" w:rsidRPr="00C75582">
        <w:rPr>
          <w:b/>
          <w:bCs/>
          <w:sz w:val="24"/>
          <w:szCs w:val="24"/>
          <w:vertAlign w:val="subscript"/>
        </w:rPr>
        <w:t>1</w:t>
      </w:r>
      <w:r w:rsidR="00760A4B">
        <w:rPr>
          <w:b/>
          <w:bCs/>
          <w:sz w:val="24"/>
          <w:szCs w:val="24"/>
        </w:rPr>
        <w:t>/</w:t>
      </w:r>
      <w:r w:rsidR="00686A60">
        <w:rPr>
          <w:b/>
          <w:bCs/>
          <w:sz w:val="24"/>
          <w:szCs w:val="24"/>
        </w:rPr>
        <w:t>6</w:t>
      </w:r>
      <w:r w:rsidR="00783181" w:rsidRPr="00C75582">
        <w:rPr>
          <w:b/>
          <w:bCs/>
          <w:sz w:val="24"/>
          <w:szCs w:val="24"/>
        </w:rPr>
        <w:t>0) x (A</w:t>
      </w:r>
      <w:r w:rsidR="00783181" w:rsidRPr="00C75582">
        <w:rPr>
          <w:b/>
          <w:bCs/>
          <w:sz w:val="24"/>
          <w:szCs w:val="24"/>
          <w:vertAlign w:val="subscript"/>
        </w:rPr>
        <w:t xml:space="preserve">1 </w:t>
      </w:r>
      <w:r w:rsidR="00783181" w:rsidRPr="00C75582">
        <w:rPr>
          <w:b/>
          <w:bCs/>
          <w:sz w:val="24"/>
          <w:szCs w:val="24"/>
        </w:rPr>
        <w:t>+ A</w:t>
      </w:r>
      <w:r w:rsidR="00783181" w:rsidRPr="00C75582">
        <w:rPr>
          <w:b/>
          <w:bCs/>
          <w:sz w:val="24"/>
          <w:szCs w:val="24"/>
          <w:vertAlign w:val="subscript"/>
        </w:rPr>
        <w:t>2</w:t>
      </w:r>
      <w:r w:rsidR="00783181" w:rsidRPr="00C75582">
        <w:rPr>
          <w:b/>
          <w:bCs/>
          <w:sz w:val="24"/>
          <w:szCs w:val="24"/>
        </w:rPr>
        <w:t>) + (L</w:t>
      </w:r>
      <w:r w:rsidR="00783181" w:rsidRPr="00C75582">
        <w:rPr>
          <w:b/>
          <w:bCs/>
          <w:sz w:val="24"/>
          <w:szCs w:val="24"/>
          <w:vertAlign w:val="subscript"/>
        </w:rPr>
        <w:t xml:space="preserve">da </w:t>
      </w:r>
      <w:r w:rsidR="00783181" w:rsidRPr="00C75582">
        <w:rPr>
          <w:b/>
          <w:bCs/>
          <w:sz w:val="24"/>
          <w:szCs w:val="24"/>
        </w:rPr>
        <w:t>+ L</w:t>
      </w:r>
      <w:r w:rsidR="00783181" w:rsidRPr="00C75582">
        <w:rPr>
          <w:b/>
          <w:bCs/>
          <w:sz w:val="24"/>
          <w:szCs w:val="24"/>
          <w:vertAlign w:val="subscript"/>
        </w:rPr>
        <w:t>d</w:t>
      </w:r>
      <w:r w:rsidR="00F408E1" w:rsidRPr="00C75582">
        <w:rPr>
          <w:b/>
          <w:bCs/>
          <w:sz w:val="24"/>
          <w:szCs w:val="24"/>
          <w:vertAlign w:val="subscript"/>
        </w:rPr>
        <w:t>ž</w:t>
      </w:r>
      <w:r w:rsidR="00783181" w:rsidRPr="00C75582">
        <w:rPr>
          <w:b/>
          <w:bCs/>
          <w:sz w:val="24"/>
          <w:szCs w:val="24"/>
        </w:rPr>
        <w:t>) x A</w:t>
      </w:r>
      <w:r w:rsidR="00783181" w:rsidRPr="00C75582">
        <w:rPr>
          <w:b/>
          <w:bCs/>
          <w:sz w:val="24"/>
          <w:szCs w:val="24"/>
          <w:vertAlign w:val="subscript"/>
        </w:rPr>
        <w:t>1</w:t>
      </w:r>
    </w:p>
    <w:p w:rsidR="00783181" w:rsidRPr="00C75582" w:rsidRDefault="00783181" w:rsidP="00092D18">
      <w:pPr>
        <w:jc w:val="both"/>
        <w:rPr>
          <w:sz w:val="24"/>
          <w:szCs w:val="24"/>
        </w:rPr>
      </w:pPr>
      <w:r w:rsidRPr="00C75582">
        <w:rPr>
          <w:b/>
          <w:bCs/>
          <w:sz w:val="24"/>
          <w:szCs w:val="24"/>
        </w:rPr>
        <w:t xml:space="preserve">                      </w:t>
      </w:r>
      <w:r w:rsidRPr="00C75582">
        <w:rPr>
          <w:b/>
          <w:sz w:val="24"/>
          <w:szCs w:val="24"/>
        </w:rPr>
        <w:t>L</w:t>
      </w:r>
      <w:r w:rsidRPr="00C75582">
        <w:rPr>
          <w:b/>
          <w:sz w:val="24"/>
          <w:szCs w:val="24"/>
          <w:vertAlign w:val="subscript"/>
        </w:rPr>
        <w:t xml:space="preserve">A </w:t>
      </w:r>
      <w:r w:rsidRPr="00C75582">
        <w:rPr>
          <w:sz w:val="24"/>
          <w:szCs w:val="24"/>
        </w:rPr>
        <w:t>– pastato ap</w:t>
      </w:r>
      <w:r w:rsidR="00F408E1" w:rsidRPr="00C75582">
        <w:rPr>
          <w:sz w:val="24"/>
          <w:szCs w:val="24"/>
        </w:rPr>
        <w:t>žiū</w:t>
      </w:r>
      <w:r w:rsidRPr="00C75582">
        <w:rPr>
          <w:sz w:val="24"/>
          <w:szCs w:val="24"/>
        </w:rPr>
        <w:t>ros laikas, val.</w:t>
      </w:r>
      <w:r w:rsidR="008D4C9D">
        <w:rPr>
          <w:sz w:val="24"/>
          <w:szCs w:val="24"/>
        </w:rPr>
        <w:t>;</w:t>
      </w:r>
    </w:p>
    <w:p w:rsidR="00783181" w:rsidRPr="00C75582" w:rsidRDefault="00783181" w:rsidP="00092D18">
      <w:pPr>
        <w:jc w:val="both"/>
        <w:rPr>
          <w:bCs/>
          <w:sz w:val="24"/>
          <w:szCs w:val="24"/>
        </w:rPr>
      </w:pPr>
      <w:r w:rsidRPr="00C75582">
        <w:rPr>
          <w:sz w:val="24"/>
          <w:szCs w:val="24"/>
        </w:rPr>
        <w:t xml:space="preserve">                      </w:t>
      </w:r>
      <w:r w:rsidRPr="00C75582">
        <w:rPr>
          <w:b/>
          <w:bCs/>
          <w:sz w:val="24"/>
          <w:szCs w:val="24"/>
        </w:rPr>
        <w:t>2K</w:t>
      </w:r>
      <w:r w:rsidRPr="00C75582">
        <w:rPr>
          <w:b/>
          <w:bCs/>
          <w:sz w:val="24"/>
          <w:szCs w:val="24"/>
          <w:vertAlign w:val="subscript"/>
        </w:rPr>
        <w:t>1</w:t>
      </w:r>
      <w:r w:rsidRPr="00C75582">
        <w:rPr>
          <w:b/>
          <w:bCs/>
          <w:sz w:val="24"/>
          <w:szCs w:val="24"/>
        </w:rPr>
        <w:t>/</w:t>
      </w:r>
      <w:r w:rsidR="00760A4B">
        <w:rPr>
          <w:b/>
          <w:bCs/>
          <w:sz w:val="24"/>
          <w:szCs w:val="24"/>
        </w:rPr>
        <w:t>6</w:t>
      </w:r>
      <w:r w:rsidRPr="00C75582">
        <w:rPr>
          <w:b/>
          <w:bCs/>
          <w:sz w:val="24"/>
          <w:szCs w:val="24"/>
        </w:rPr>
        <w:t xml:space="preserve">0 – </w:t>
      </w:r>
      <w:r w:rsidRPr="00C75582">
        <w:rPr>
          <w:bCs/>
          <w:sz w:val="24"/>
          <w:szCs w:val="24"/>
        </w:rPr>
        <w:t xml:space="preserve">kelionės laikas, vykstant </w:t>
      </w:r>
      <w:r w:rsidRPr="00C75582">
        <w:rPr>
          <w:sz w:val="24"/>
          <w:szCs w:val="24"/>
        </w:rPr>
        <w:t>nuo paslaugos teikėjo buveinės iki aptarnaujamo objekto ir atgal</w:t>
      </w:r>
      <w:r w:rsidRPr="00C75582">
        <w:rPr>
          <w:bCs/>
          <w:sz w:val="24"/>
          <w:szCs w:val="24"/>
        </w:rPr>
        <w:t xml:space="preserve"> </w:t>
      </w:r>
      <w:r w:rsidR="00760A4B">
        <w:rPr>
          <w:bCs/>
          <w:sz w:val="24"/>
          <w:szCs w:val="24"/>
        </w:rPr>
        <w:t>vidutiniu 6</w:t>
      </w:r>
      <w:r w:rsidR="008D4C9D">
        <w:rPr>
          <w:bCs/>
          <w:sz w:val="24"/>
          <w:szCs w:val="24"/>
        </w:rPr>
        <w:t>0 km/val. greičiu;</w:t>
      </w:r>
    </w:p>
    <w:p w:rsidR="00783181" w:rsidRPr="00901274" w:rsidRDefault="00783181" w:rsidP="00092D18">
      <w:pPr>
        <w:jc w:val="both"/>
        <w:rPr>
          <w:bCs/>
          <w:i/>
          <w:sz w:val="24"/>
          <w:szCs w:val="24"/>
        </w:rPr>
      </w:pPr>
      <w:r w:rsidRPr="00C75582">
        <w:rPr>
          <w:bCs/>
          <w:sz w:val="24"/>
          <w:szCs w:val="24"/>
        </w:rPr>
        <w:t xml:space="preserve">                     </w:t>
      </w:r>
      <w:r w:rsidRPr="00C75582">
        <w:rPr>
          <w:sz w:val="24"/>
          <w:szCs w:val="24"/>
        </w:rPr>
        <w:t xml:space="preserve"> </w:t>
      </w:r>
      <w:r w:rsidRPr="00C75582">
        <w:rPr>
          <w:b/>
          <w:bCs/>
          <w:sz w:val="24"/>
          <w:szCs w:val="24"/>
        </w:rPr>
        <w:t>A</w:t>
      </w:r>
      <w:r w:rsidRPr="00C75582">
        <w:rPr>
          <w:b/>
          <w:bCs/>
          <w:sz w:val="24"/>
          <w:szCs w:val="24"/>
          <w:vertAlign w:val="subscript"/>
        </w:rPr>
        <w:t>1</w:t>
      </w:r>
      <w:r w:rsidR="00901274">
        <w:rPr>
          <w:b/>
          <w:bCs/>
          <w:sz w:val="24"/>
          <w:szCs w:val="24"/>
        </w:rPr>
        <w:t>,</w:t>
      </w:r>
      <w:r w:rsidRPr="00C75582">
        <w:rPr>
          <w:b/>
          <w:bCs/>
          <w:sz w:val="24"/>
          <w:szCs w:val="24"/>
        </w:rPr>
        <w:t xml:space="preserve"> A</w:t>
      </w:r>
      <w:r w:rsidRPr="00C75582">
        <w:rPr>
          <w:b/>
          <w:bCs/>
          <w:sz w:val="24"/>
          <w:szCs w:val="24"/>
          <w:vertAlign w:val="subscript"/>
        </w:rPr>
        <w:t xml:space="preserve">2 </w:t>
      </w:r>
      <w:r w:rsidRPr="00C75582">
        <w:rPr>
          <w:bCs/>
          <w:sz w:val="24"/>
          <w:szCs w:val="24"/>
        </w:rPr>
        <w:t>–</w:t>
      </w:r>
      <w:r w:rsidR="00901274">
        <w:rPr>
          <w:bCs/>
          <w:sz w:val="24"/>
          <w:szCs w:val="24"/>
        </w:rPr>
        <w:t xml:space="preserve"> </w:t>
      </w:r>
      <w:r w:rsidRPr="00C75582">
        <w:rPr>
          <w:bCs/>
          <w:sz w:val="24"/>
          <w:szCs w:val="24"/>
        </w:rPr>
        <w:t>apžiūrą vykdančių darbuotojų valandinis atlygis, nustatytas einamiesiems metams ir patvirtintas Įstaigos vadovo įsakymu, Eur</w:t>
      </w:r>
      <w:r w:rsidR="008D4C9D">
        <w:rPr>
          <w:bCs/>
          <w:sz w:val="24"/>
          <w:szCs w:val="24"/>
        </w:rPr>
        <w:t>;</w:t>
      </w:r>
    </w:p>
    <w:p w:rsidR="00783181" w:rsidRPr="00C75582" w:rsidRDefault="00783181" w:rsidP="00092D18">
      <w:pPr>
        <w:jc w:val="both"/>
        <w:rPr>
          <w:bCs/>
          <w:sz w:val="24"/>
          <w:szCs w:val="24"/>
        </w:rPr>
      </w:pPr>
      <w:r w:rsidRPr="00C75582">
        <w:rPr>
          <w:bCs/>
          <w:sz w:val="24"/>
          <w:szCs w:val="24"/>
        </w:rPr>
        <w:t xml:space="preserve">                      </w:t>
      </w:r>
      <w:r w:rsidRPr="00C75582">
        <w:rPr>
          <w:b/>
          <w:bCs/>
          <w:sz w:val="24"/>
          <w:szCs w:val="24"/>
        </w:rPr>
        <w:t>L</w:t>
      </w:r>
      <w:r w:rsidRPr="00C75582">
        <w:rPr>
          <w:b/>
          <w:bCs/>
          <w:sz w:val="24"/>
          <w:szCs w:val="24"/>
          <w:vertAlign w:val="subscript"/>
        </w:rPr>
        <w:t xml:space="preserve">da </w:t>
      </w:r>
      <w:r w:rsidR="00F408E1" w:rsidRPr="00C75582">
        <w:rPr>
          <w:bCs/>
          <w:sz w:val="24"/>
          <w:szCs w:val="24"/>
        </w:rPr>
        <w:t>–</w:t>
      </w:r>
      <w:r w:rsidR="008D4C9D">
        <w:rPr>
          <w:bCs/>
          <w:sz w:val="24"/>
          <w:szCs w:val="24"/>
        </w:rPr>
        <w:t xml:space="preserve"> </w:t>
      </w:r>
      <w:r w:rsidR="00F408E1" w:rsidRPr="00C75582">
        <w:rPr>
          <w:bCs/>
          <w:sz w:val="24"/>
          <w:szCs w:val="24"/>
        </w:rPr>
        <w:t>reglamente nustatytos formos apžiūros akto pildymo laikas, val. (1 lentelė)</w:t>
      </w:r>
      <w:r w:rsidR="008D4C9D">
        <w:rPr>
          <w:bCs/>
          <w:sz w:val="24"/>
          <w:szCs w:val="24"/>
        </w:rPr>
        <w:t>;</w:t>
      </w:r>
    </w:p>
    <w:p w:rsidR="00901274" w:rsidRDefault="00F408E1" w:rsidP="007C1CA0">
      <w:pPr>
        <w:jc w:val="both"/>
        <w:rPr>
          <w:sz w:val="24"/>
          <w:szCs w:val="24"/>
          <w:lang w:eastAsia="ar-SA"/>
        </w:rPr>
      </w:pPr>
      <w:r w:rsidRPr="00C75582">
        <w:rPr>
          <w:bCs/>
          <w:sz w:val="24"/>
          <w:szCs w:val="24"/>
        </w:rPr>
        <w:t xml:space="preserve">                  </w:t>
      </w:r>
      <w:r w:rsidR="007C1CA0" w:rsidRPr="00C75582">
        <w:rPr>
          <w:bCs/>
          <w:sz w:val="24"/>
          <w:szCs w:val="24"/>
        </w:rPr>
        <w:t xml:space="preserve">  </w:t>
      </w:r>
      <w:r w:rsidRPr="00C75582">
        <w:rPr>
          <w:bCs/>
          <w:sz w:val="24"/>
          <w:szCs w:val="24"/>
        </w:rPr>
        <w:t xml:space="preserve"> </w:t>
      </w:r>
      <w:r w:rsidR="00901274">
        <w:rPr>
          <w:bCs/>
          <w:sz w:val="24"/>
          <w:szCs w:val="24"/>
        </w:rPr>
        <w:t xml:space="preserve"> </w:t>
      </w:r>
      <w:r w:rsidRPr="00C75582">
        <w:rPr>
          <w:b/>
          <w:bCs/>
          <w:sz w:val="24"/>
          <w:szCs w:val="24"/>
        </w:rPr>
        <w:t>L</w:t>
      </w:r>
      <w:r w:rsidRPr="00C75582">
        <w:rPr>
          <w:b/>
          <w:bCs/>
          <w:sz w:val="24"/>
          <w:szCs w:val="24"/>
          <w:vertAlign w:val="subscript"/>
        </w:rPr>
        <w:t>dž</w:t>
      </w:r>
      <w:r w:rsidRPr="00C75582">
        <w:rPr>
          <w:bCs/>
          <w:sz w:val="24"/>
          <w:szCs w:val="24"/>
        </w:rPr>
        <w:t xml:space="preserve"> –</w:t>
      </w:r>
      <w:r w:rsidR="008D4C9D">
        <w:rPr>
          <w:bCs/>
          <w:sz w:val="24"/>
          <w:szCs w:val="24"/>
        </w:rPr>
        <w:t xml:space="preserve"> </w:t>
      </w:r>
      <w:r w:rsidRPr="00C75582">
        <w:rPr>
          <w:bCs/>
          <w:sz w:val="24"/>
          <w:szCs w:val="24"/>
        </w:rPr>
        <w:t xml:space="preserve">reglamente nustatytos formos </w:t>
      </w:r>
      <w:r w:rsidRPr="00C75582">
        <w:rPr>
          <w:sz w:val="24"/>
          <w:szCs w:val="24"/>
          <w:lang w:eastAsia="ar-SA"/>
        </w:rPr>
        <w:t>statinio techninės</w:t>
      </w:r>
      <w:r w:rsidR="007C1CA0" w:rsidRPr="00C75582">
        <w:rPr>
          <w:sz w:val="24"/>
          <w:szCs w:val="24"/>
          <w:lang w:eastAsia="ar-SA"/>
        </w:rPr>
        <w:t xml:space="preserve"> </w:t>
      </w:r>
      <w:r w:rsidRPr="00C75582">
        <w:rPr>
          <w:sz w:val="24"/>
          <w:szCs w:val="24"/>
          <w:lang w:eastAsia="ar-SA"/>
        </w:rPr>
        <w:t xml:space="preserve">priežiūros žurnalo pildymo reikiamais </w:t>
      </w:r>
      <w:r w:rsidR="007C1CA0" w:rsidRPr="00C75582">
        <w:rPr>
          <w:sz w:val="24"/>
          <w:szCs w:val="24"/>
          <w:lang w:eastAsia="ar-SA"/>
        </w:rPr>
        <w:t xml:space="preserve">nuolatinių stebėjimų </w:t>
      </w:r>
      <w:r w:rsidRPr="00C75582">
        <w:rPr>
          <w:sz w:val="24"/>
          <w:szCs w:val="24"/>
          <w:lang w:eastAsia="ar-SA"/>
        </w:rPr>
        <w:t>įrašais laikas, val.</w:t>
      </w:r>
      <w:r w:rsidR="007C1CA0" w:rsidRPr="00C75582">
        <w:rPr>
          <w:sz w:val="24"/>
          <w:szCs w:val="24"/>
          <w:lang w:eastAsia="ar-SA"/>
        </w:rPr>
        <w:t xml:space="preserve"> (1 lentelė)</w:t>
      </w:r>
      <w:r w:rsidR="008D4C9D">
        <w:rPr>
          <w:sz w:val="24"/>
          <w:szCs w:val="24"/>
          <w:lang w:eastAsia="ar-SA"/>
        </w:rPr>
        <w:t>.</w:t>
      </w:r>
    </w:p>
    <w:p w:rsidR="007C1CA0" w:rsidRPr="0022033F" w:rsidRDefault="00901274" w:rsidP="0022033F">
      <w:pPr>
        <w:jc w:val="both"/>
        <w:rPr>
          <w:bCs/>
          <w:i/>
          <w:sz w:val="24"/>
          <w:szCs w:val="24"/>
        </w:rPr>
      </w:pPr>
      <w:r>
        <w:rPr>
          <w:sz w:val="24"/>
          <w:szCs w:val="24"/>
          <w:lang w:eastAsia="ar-SA"/>
        </w:rPr>
        <w:t xml:space="preserve">                        </w:t>
      </w:r>
      <w:r w:rsidR="00E420F5" w:rsidRPr="00901274">
        <w:rPr>
          <w:bCs/>
          <w:i/>
          <w:sz w:val="24"/>
          <w:szCs w:val="24"/>
        </w:rPr>
        <w:t>P</w:t>
      </w:r>
      <w:r w:rsidR="00E420F5">
        <w:rPr>
          <w:bCs/>
          <w:i/>
          <w:sz w:val="24"/>
          <w:szCs w:val="24"/>
        </w:rPr>
        <w:t>astab</w:t>
      </w:r>
      <w:r w:rsidR="0022033F">
        <w:rPr>
          <w:bCs/>
          <w:i/>
          <w:sz w:val="24"/>
          <w:szCs w:val="24"/>
        </w:rPr>
        <w:t>a</w:t>
      </w:r>
      <w:r w:rsidR="00E420F5">
        <w:rPr>
          <w:bCs/>
          <w:i/>
          <w:sz w:val="24"/>
          <w:szCs w:val="24"/>
        </w:rPr>
        <w:t>:</w:t>
      </w:r>
      <w:r w:rsidR="0022033F">
        <w:rPr>
          <w:bCs/>
          <w:i/>
          <w:sz w:val="24"/>
          <w:szCs w:val="24"/>
        </w:rPr>
        <w:t xml:space="preserve"> </w:t>
      </w:r>
      <w:r w:rsidR="00E420F5">
        <w:rPr>
          <w:bCs/>
          <w:i/>
          <w:sz w:val="24"/>
          <w:szCs w:val="24"/>
        </w:rPr>
        <w:t>nuolatinius stebėjimus vykdo vienas Įstaigos darbuotojas (A</w:t>
      </w:r>
      <w:r w:rsidR="00E420F5">
        <w:rPr>
          <w:bCs/>
          <w:i/>
          <w:sz w:val="24"/>
          <w:szCs w:val="24"/>
          <w:vertAlign w:val="subscript"/>
        </w:rPr>
        <w:t xml:space="preserve">1 </w:t>
      </w:r>
      <w:r w:rsidR="00E420F5" w:rsidRPr="00EF0372">
        <w:rPr>
          <w:bCs/>
          <w:i/>
          <w:sz w:val="24"/>
          <w:szCs w:val="24"/>
        </w:rPr>
        <w:t>+ 0</w:t>
      </w:r>
      <w:r w:rsidR="00E420F5">
        <w:rPr>
          <w:bCs/>
          <w:i/>
          <w:sz w:val="24"/>
          <w:szCs w:val="24"/>
        </w:rPr>
        <w:t xml:space="preserve">), apžiūras vykdo du Įstaigos </w:t>
      </w:r>
      <w:r w:rsidR="00E420F5" w:rsidRPr="00EF0372">
        <w:rPr>
          <w:bCs/>
          <w:i/>
          <w:sz w:val="24"/>
          <w:szCs w:val="24"/>
        </w:rPr>
        <w:t>darbuotojai (A</w:t>
      </w:r>
      <w:r w:rsidR="00E420F5" w:rsidRPr="00EF0372">
        <w:rPr>
          <w:bCs/>
          <w:i/>
          <w:sz w:val="24"/>
          <w:szCs w:val="24"/>
          <w:vertAlign w:val="subscript"/>
        </w:rPr>
        <w:t xml:space="preserve">1 </w:t>
      </w:r>
      <w:r w:rsidR="00E420F5" w:rsidRPr="00EF0372">
        <w:rPr>
          <w:bCs/>
          <w:i/>
          <w:sz w:val="24"/>
          <w:szCs w:val="24"/>
        </w:rPr>
        <w:t>+ A</w:t>
      </w:r>
      <w:r w:rsidR="00E420F5" w:rsidRPr="00EF0372">
        <w:rPr>
          <w:bCs/>
          <w:i/>
          <w:sz w:val="24"/>
          <w:szCs w:val="24"/>
          <w:vertAlign w:val="subscript"/>
        </w:rPr>
        <w:t>2</w:t>
      </w:r>
      <w:r w:rsidR="00E420F5" w:rsidRPr="00EF0372">
        <w:rPr>
          <w:bCs/>
          <w:i/>
          <w:sz w:val="24"/>
          <w:szCs w:val="24"/>
        </w:rPr>
        <w:t>)</w:t>
      </w:r>
      <w:r w:rsidR="0022033F">
        <w:rPr>
          <w:bCs/>
          <w:i/>
          <w:sz w:val="24"/>
          <w:szCs w:val="24"/>
        </w:rPr>
        <w:t>. J</w:t>
      </w:r>
      <w:r w:rsidR="00E420F5">
        <w:rPr>
          <w:bCs/>
          <w:i/>
          <w:sz w:val="24"/>
          <w:szCs w:val="24"/>
        </w:rPr>
        <w:t xml:space="preserve">ei teikiama tik apžiūros paslauga, </w:t>
      </w:r>
      <w:r w:rsidR="0022033F" w:rsidRPr="00C75582">
        <w:rPr>
          <w:b/>
          <w:bCs/>
          <w:sz w:val="24"/>
          <w:szCs w:val="24"/>
        </w:rPr>
        <w:t>L</w:t>
      </w:r>
      <w:r w:rsidR="0022033F" w:rsidRPr="00C75582">
        <w:rPr>
          <w:b/>
          <w:bCs/>
          <w:sz w:val="24"/>
          <w:szCs w:val="24"/>
          <w:vertAlign w:val="subscript"/>
        </w:rPr>
        <w:t>dž</w:t>
      </w:r>
      <w:r w:rsidR="0022033F">
        <w:rPr>
          <w:b/>
          <w:sz w:val="24"/>
          <w:szCs w:val="24"/>
          <w:lang w:eastAsia="ar-SA"/>
        </w:rPr>
        <w:t xml:space="preserve"> </w:t>
      </w:r>
      <w:r w:rsidR="0022033F" w:rsidRPr="00C75582">
        <w:rPr>
          <w:b/>
          <w:bCs/>
          <w:sz w:val="24"/>
          <w:szCs w:val="24"/>
        </w:rPr>
        <w:t>=</w:t>
      </w:r>
      <w:r w:rsidR="0022033F">
        <w:rPr>
          <w:b/>
          <w:bCs/>
          <w:sz w:val="24"/>
          <w:szCs w:val="24"/>
        </w:rPr>
        <w:t xml:space="preserve"> 0</w:t>
      </w:r>
      <w:r w:rsidR="007C1CA0" w:rsidRPr="00C75582">
        <w:rPr>
          <w:sz w:val="24"/>
          <w:szCs w:val="24"/>
          <w:lang w:eastAsia="ar-SA"/>
        </w:rPr>
        <w:t>.</w:t>
      </w:r>
      <w:r w:rsidR="007C1CA0" w:rsidRPr="00C75582">
        <w:rPr>
          <w:sz w:val="24"/>
          <w:szCs w:val="24"/>
        </w:rPr>
        <w:t xml:space="preserve"> </w:t>
      </w:r>
    </w:p>
    <w:p w:rsidR="007C1CA0" w:rsidRPr="00C75582" w:rsidRDefault="007C1CA0" w:rsidP="007C1CA0">
      <w:pPr>
        <w:jc w:val="right"/>
        <w:rPr>
          <w:sz w:val="24"/>
          <w:szCs w:val="24"/>
        </w:rPr>
      </w:pPr>
    </w:p>
    <w:p w:rsidR="007C1CA0" w:rsidRPr="00C75582" w:rsidRDefault="007C1CA0" w:rsidP="007C1CA0">
      <w:pPr>
        <w:jc w:val="right"/>
        <w:rPr>
          <w:sz w:val="24"/>
          <w:szCs w:val="24"/>
        </w:rPr>
      </w:pPr>
      <w:r w:rsidRPr="00C75582">
        <w:rPr>
          <w:sz w:val="24"/>
          <w:szCs w:val="24"/>
        </w:rPr>
        <w:t>1 lentelė</w:t>
      </w:r>
    </w:p>
    <w:p w:rsidR="007C1CA0" w:rsidRPr="007C1CA0" w:rsidRDefault="007C1CA0" w:rsidP="007C1CA0">
      <w:pPr>
        <w:jc w:val="center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 xml:space="preserve">Atliekamų paslaugų laiko sąnaudos </w:t>
      </w:r>
    </w:p>
    <w:p w:rsidR="007C1CA0" w:rsidRDefault="007C1CA0" w:rsidP="007C1CA0">
      <w:pPr>
        <w:tabs>
          <w:tab w:val="left" w:pos="851"/>
        </w:tabs>
        <w:rPr>
          <w:color w:val="FF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701"/>
        <w:gridCol w:w="1559"/>
        <w:gridCol w:w="1701"/>
        <w:gridCol w:w="2155"/>
      </w:tblGrid>
      <w:tr w:rsidR="007C1CA0" w:rsidTr="007C1CA0">
        <w:trPr>
          <w:trHeight w:val="418"/>
        </w:trPr>
        <w:tc>
          <w:tcPr>
            <w:tcW w:w="2518" w:type="dxa"/>
            <w:vMerge w:val="restart"/>
            <w:vAlign w:val="center"/>
          </w:tcPr>
          <w:p w:rsidR="007C1CA0" w:rsidRPr="007C1CA0" w:rsidRDefault="007C1CA0" w:rsidP="007C1CA0">
            <w:pPr>
              <w:pStyle w:val="NoSpacing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Lucida Sans Unicode"/>
                <w:kern w:val="1"/>
                <w:sz w:val="24"/>
                <w:szCs w:val="24"/>
              </w:rPr>
              <w:t>Pastatų bendrasis plotas, m²</w:t>
            </w:r>
          </w:p>
        </w:tc>
        <w:tc>
          <w:tcPr>
            <w:tcW w:w="3260" w:type="dxa"/>
            <w:gridSpan w:val="2"/>
            <w:vAlign w:val="center"/>
          </w:tcPr>
          <w:p w:rsidR="007C1CA0" w:rsidRPr="007C1CA0" w:rsidRDefault="007C1CA0" w:rsidP="007C1CA0">
            <w:pPr>
              <w:pStyle w:val="NoSpacing"/>
              <w:rPr>
                <w:rFonts w:eastAsia="Microsoft YaHei"/>
                <w:sz w:val="24"/>
                <w:szCs w:val="24"/>
              </w:rPr>
            </w:pPr>
            <w:r>
              <w:rPr>
                <w:rFonts w:eastAsia="Microsoft YaHei"/>
                <w:sz w:val="24"/>
                <w:szCs w:val="24"/>
              </w:rPr>
              <w:t>Pastat</w:t>
            </w:r>
            <w:r w:rsidRPr="007C1CA0">
              <w:rPr>
                <w:rFonts w:eastAsia="Microsoft YaHei"/>
                <w:sz w:val="24"/>
                <w:szCs w:val="24"/>
              </w:rPr>
              <w:t>o apžiūros laikas</w:t>
            </w:r>
          </w:p>
          <w:p w:rsidR="007C1CA0" w:rsidRPr="007C1CA0" w:rsidRDefault="007C1CA0" w:rsidP="007C1CA0">
            <w:pPr>
              <w:pStyle w:val="NoSpacing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b/>
                <w:sz w:val="24"/>
                <w:szCs w:val="24"/>
              </w:rPr>
              <w:t>L</w:t>
            </w:r>
            <w:r w:rsidR="007F07E9" w:rsidRPr="007F07E9">
              <w:rPr>
                <w:rFonts w:eastAsia="Microsoft YaHei"/>
                <w:b/>
                <w:sz w:val="24"/>
                <w:szCs w:val="24"/>
                <w:vertAlign w:val="subscript"/>
              </w:rPr>
              <w:t>A</w:t>
            </w:r>
            <w:r>
              <w:rPr>
                <w:rFonts w:eastAsia="Microsoft YaHei"/>
                <w:sz w:val="24"/>
                <w:szCs w:val="24"/>
              </w:rPr>
              <w:t>, val.</w:t>
            </w:r>
          </w:p>
        </w:tc>
        <w:tc>
          <w:tcPr>
            <w:tcW w:w="3856" w:type="dxa"/>
            <w:gridSpan w:val="2"/>
            <w:vAlign w:val="center"/>
          </w:tcPr>
          <w:p w:rsidR="007C1CA0" w:rsidRPr="007C1CA0" w:rsidRDefault="007C1CA0" w:rsidP="007C1CA0">
            <w:pPr>
              <w:pStyle w:val="NoSpacing"/>
              <w:rPr>
                <w:rFonts w:eastAsia="Microsoft YaHei"/>
                <w:sz w:val="24"/>
                <w:szCs w:val="24"/>
              </w:rPr>
            </w:pPr>
            <w:r>
              <w:rPr>
                <w:rFonts w:eastAsia="Microsoft YaHei"/>
                <w:sz w:val="24"/>
                <w:szCs w:val="24"/>
              </w:rPr>
              <w:t>Techninės priežiūros dokumentacijos rengimo ir pildy</w:t>
            </w:r>
            <w:r w:rsidRPr="007C1CA0">
              <w:rPr>
                <w:rFonts w:eastAsia="Microsoft YaHei"/>
                <w:sz w:val="24"/>
                <w:szCs w:val="24"/>
              </w:rPr>
              <w:t>mo laikas</w:t>
            </w:r>
            <w:r>
              <w:rPr>
                <w:rFonts w:eastAsia="Microsoft YaHei"/>
                <w:sz w:val="24"/>
                <w:szCs w:val="24"/>
              </w:rPr>
              <w:t>, val.</w:t>
            </w:r>
          </w:p>
        </w:tc>
      </w:tr>
      <w:tr w:rsidR="007C1CA0" w:rsidTr="00F27199">
        <w:trPr>
          <w:trHeight w:val="210"/>
        </w:trPr>
        <w:tc>
          <w:tcPr>
            <w:tcW w:w="2518" w:type="dxa"/>
            <w:vMerge/>
            <w:vAlign w:val="center"/>
          </w:tcPr>
          <w:p w:rsidR="007C1CA0" w:rsidRPr="007C1CA0" w:rsidRDefault="007C1CA0" w:rsidP="007C1CA0">
            <w:pPr>
              <w:pStyle w:val="NoSpacing"/>
              <w:rPr>
                <w:rFonts w:eastAsia="Lucida Sans Unicode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1CA0" w:rsidRPr="007C1CA0" w:rsidRDefault="007C1CA0" w:rsidP="007C1CA0">
            <w:pPr>
              <w:pStyle w:val="NoSpacing"/>
              <w:rPr>
                <w:rFonts w:eastAsia="Microsoft YaHei"/>
                <w:sz w:val="24"/>
                <w:szCs w:val="24"/>
              </w:rPr>
            </w:pPr>
            <w:r>
              <w:rPr>
                <w:rFonts w:eastAsia="Microsoft YaHei"/>
                <w:sz w:val="24"/>
                <w:szCs w:val="24"/>
              </w:rPr>
              <w:t>P</w:t>
            </w:r>
            <w:r w:rsidRPr="007C1CA0">
              <w:rPr>
                <w:rFonts w:eastAsia="Microsoft YaHei"/>
                <w:sz w:val="24"/>
                <w:szCs w:val="24"/>
              </w:rPr>
              <w:t>irmos apžiūros laikas</w:t>
            </w:r>
          </w:p>
        </w:tc>
        <w:tc>
          <w:tcPr>
            <w:tcW w:w="1559" w:type="dxa"/>
            <w:vAlign w:val="center"/>
          </w:tcPr>
          <w:p w:rsidR="007C1CA0" w:rsidRPr="007C1CA0" w:rsidRDefault="007C1CA0" w:rsidP="007C1CA0">
            <w:pPr>
              <w:pStyle w:val="NoSpacing"/>
              <w:rPr>
                <w:rFonts w:eastAsia="Microsoft YaHei"/>
                <w:sz w:val="24"/>
                <w:szCs w:val="24"/>
              </w:rPr>
            </w:pPr>
            <w:r>
              <w:rPr>
                <w:rFonts w:eastAsia="Microsoft YaHei"/>
                <w:sz w:val="24"/>
                <w:szCs w:val="24"/>
              </w:rPr>
              <w:t>Antros ir kitų</w:t>
            </w:r>
            <w:r w:rsidRPr="007C1CA0">
              <w:rPr>
                <w:rFonts w:eastAsia="Microsoft YaHei"/>
                <w:sz w:val="24"/>
                <w:szCs w:val="24"/>
              </w:rPr>
              <w:t xml:space="preserve"> apžiūrų laikas</w:t>
            </w:r>
          </w:p>
        </w:tc>
        <w:tc>
          <w:tcPr>
            <w:tcW w:w="1701" w:type="dxa"/>
            <w:vAlign w:val="center"/>
          </w:tcPr>
          <w:p w:rsidR="007C1CA0" w:rsidRPr="007C1CA0" w:rsidRDefault="007C1CA0" w:rsidP="007C1CA0">
            <w:pPr>
              <w:pStyle w:val="NoSpacing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b/>
                <w:sz w:val="24"/>
                <w:szCs w:val="24"/>
              </w:rPr>
              <w:t>L</w:t>
            </w:r>
            <w:r w:rsidRPr="007F07E9">
              <w:rPr>
                <w:rFonts w:eastAsia="Microsoft YaHei"/>
                <w:b/>
                <w:sz w:val="24"/>
                <w:szCs w:val="24"/>
                <w:vertAlign w:val="subscript"/>
              </w:rPr>
              <w:t>da</w:t>
            </w:r>
            <w:r w:rsidRPr="007C1CA0">
              <w:rPr>
                <w:rFonts w:eastAsia="Microsoft YaHei"/>
                <w:b/>
                <w:sz w:val="24"/>
                <w:szCs w:val="24"/>
              </w:rPr>
              <w:t xml:space="preserve">, </w:t>
            </w:r>
            <w:r w:rsidRPr="007C1CA0">
              <w:rPr>
                <w:rFonts w:eastAsia="Microsoft YaHei"/>
                <w:sz w:val="24"/>
                <w:szCs w:val="24"/>
              </w:rPr>
              <w:t>(</w:t>
            </w:r>
            <w:r>
              <w:rPr>
                <w:rFonts w:eastAsia="Microsoft YaHei"/>
                <w:sz w:val="24"/>
                <w:szCs w:val="24"/>
              </w:rPr>
              <w:t>apžiūros akto</w:t>
            </w:r>
            <w:r w:rsidRPr="007C1CA0">
              <w:rPr>
                <w:rFonts w:eastAsia="Microsoft YaHei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7C1CA0" w:rsidRPr="007C1CA0" w:rsidRDefault="007C1CA0" w:rsidP="007C1CA0">
            <w:pPr>
              <w:pStyle w:val="NoSpacing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b/>
                <w:sz w:val="24"/>
                <w:szCs w:val="24"/>
              </w:rPr>
              <w:t>L</w:t>
            </w:r>
            <w:r w:rsidRPr="007F07E9">
              <w:rPr>
                <w:rFonts w:eastAsia="Microsoft YaHei"/>
                <w:b/>
                <w:sz w:val="24"/>
                <w:szCs w:val="24"/>
                <w:vertAlign w:val="subscript"/>
              </w:rPr>
              <w:t>dž</w:t>
            </w:r>
            <w:r w:rsidRPr="007C1CA0">
              <w:rPr>
                <w:rFonts w:eastAsia="Microsoft YaHei"/>
                <w:b/>
                <w:sz w:val="24"/>
                <w:szCs w:val="24"/>
              </w:rPr>
              <w:t xml:space="preserve">, </w:t>
            </w:r>
            <w:r w:rsidRPr="007C1CA0">
              <w:rPr>
                <w:rFonts w:eastAsia="Microsoft YaHei"/>
                <w:sz w:val="24"/>
                <w:szCs w:val="24"/>
              </w:rPr>
              <w:t>(</w:t>
            </w:r>
            <w:r>
              <w:rPr>
                <w:rFonts w:eastAsia="Microsoft YaHei"/>
                <w:sz w:val="24"/>
                <w:szCs w:val="24"/>
              </w:rPr>
              <w:t>techninės priežiūros žurnalo</w:t>
            </w:r>
            <w:r w:rsidRPr="007C1CA0">
              <w:rPr>
                <w:rFonts w:eastAsia="Microsoft YaHei"/>
                <w:sz w:val="24"/>
                <w:szCs w:val="24"/>
              </w:rPr>
              <w:t>)</w:t>
            </w:r>
          </w:p>
        </w:tc>
      </w:tr>
      <w:tr w:rsidR="00F27199" w:rsidTr="00F27199">
        <w:tc>
          <w:tcPr>
            <w:tcW w:w="2518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iki 300</w:t>
            </w:r>
          </w:p>
        </w:tc>
        <w:tc>
          <w:tcPr>
            <w:tcW w:w="1701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0,25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1</w:t>
            </w:r>
            <w:r>
              <w:rPr>
                <w:rFonts w:eastAsia="Microsoft YaHei"/>
                <w:sz w:val="24"/>
                <w:szCs w:val="24"/>
              </w:rPr>
              <w:t>,0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0,25</w:t>
            </w:r>
          </w:p>
        </w:tc>
      </w:tr>
      <w:tr w:rsidR="00F27199" w:rsidTr="00F27199">
        <w:tc>
          <w:tcPr>
            <w:tcW w:w="2518" w:type="dxa"/>
          </w:tcPr>
          <w:p w:rsidR="00F27199" w:rsidRPr="007C1CA0" w:rsidRDefault="00F27199" w:rsidP="00302FC3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30</w:t>
            </w:r>
            <w:r>
              <w:rPr>
                <w:rFonts w:eastAsia="Microsoft YaHei"/>
                <w:sz w:val="24"/>
                <w:szCs w:val="24"/>
              </w:rPr>
              <w:t>1</w:t>
            </w:r>
            <w:r w:rsidRPr="007C1CA0">
              <w:rPr>
                <w:rFonts w:eastAsia="Microsoft YaHei"/>
                <w:sz w:val="24"/>
                <w:szCs w:val="24"/>
              </w:rPr>
              <w:t>–600</w:t>
            </w:r>
          </w:p>
        </w:tc>
        <w:tc>
          <w:tcPr>
            <w:tcW w:w="1701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1</w:t>
            </w:r>
            <w:r>
              <w:rPr>
                <w:rFonts w:eastAsia="Microsoft YaHei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1,33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99" w:rsidRPr="007C1CA0" w:rsidRDefault="00F27199" w:rsidP="007C1CA0">
            <w:pPr>
              <w:pStyle w:val="NoSpacing"/>
              <w:rPr>
                <w:rFonts w:eastAsia="Microsoft YaHei"/>
                <w:sz w:val="24"/>
                <w:szCs w:val="24"/>
              </w:rPr>
            </w:pPr>
          </w:p>
        </w:tc>
      </w:tr>
      <w:tr w:rsidR="00F27199" w:rsidTr="00F27199">
        <w:tc>
          <w:tcPr>
            <w:tcW w:w="2518" w:type="dxa"/>
          </w:tcPr>
          <w:p w:rsidR="00F27199" w:rsidRPr="007C1CA0" w:rsidRDefault="00F27199" w:rsidP="00302FC3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>
              <w:rPr>
                <w:rFonts w:eastAsia="Microsoft YaHei"/>
                <w:sz w:val="24"/>
                <w:szCs w:val="24"/>
              </w:rPr>
              <w:t>601</w:t>
            </w:r>
            <w:r w:rsidRPr="007C1CA0">
              <w:rPr>
                <w:rFonts w:eastAsia="Microsoft YaHei"/>
                <w:sz w:val="24"/>
                <w:szCs w:val="24"/>
              </w:rPr>
              <w:t>–1</w:t>
            </w:r>
            <w:r w:rsidR="00302FC3">
              <w:rPr>
                <w:rFonts w:eastAsia="Microsoft YaHei"/>
                <w:sz w:val="24"/>
                <w:szCs w:val="24"/>
              </w:rPr>
              <w:t xml:space="preserve"> </w:t>
            </w:r>
            <w:r w:rsidRPr="007C1CA0">
              <w:rPr>
                <w:rFonts w:eastAsia="Microsoft YaHei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1,5</w:t>
            </w:r>
          </w:p>
        </w:tc>
        <w:tc>
          <w:tcPr>
            <w:tcW w:w="1559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0,75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1,67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99" w:rsidRPr="007C1CA0" w:rsidRDefault="00F27199" w:rsidP="007C1CA0">
            <w:pPr>
              <w:pStyle w:val="NoSpacing"/>
              <w:rPr>
                <w:rFonts w:eastAsia="Microsoft YaHei"/>
                <w:sz w:val="24"/>
                <w:szCs w:val="24"/>
              </w:rPr>
            </w:pPr>
          </w:p>
        </w:tc>
      </w:tr>
      <w:tr w:rsidR="00F27199" w:rsidTr="00F27199">
        <w:tc>
          <w:tcPr>
            <w:tcW w:w="2518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>
              <w:rPr>
                <w:rFonts w:eastAsia="Microsoft YaHei"/>
                <w:sz w:val="24"/>
                <w:szCs w:val="24"/>
              </w:rPr>
              <w:t>1</w:t>
            </w:r>
            <w:r w:rsidR="00302FC3">
              <w:rPr>
                <w:rFonts w:eastAsia="Microsoft YaHei"/>
                <w:sz w:val="24"/>
                <w:szCs w:val="24"/>
              </w:rPr>
              <w:t xml:space="preserve"> </w:t>
            </w:r>
            <w:r>
              <w:rPr>
                <w:rFonts w:eastAsia="Microsoft YaHei"/>
                <w:sz w:val="24"/>
                <w:szCs w:val="24"/>
              </w:rPr>
              <w:t>201</w:t>
            </w:r>
            <w:r w:rsidRPr="007C1CA0">
              <w:rPr>
                <w:rFonts w:eastAsia="Microsoft YaHei"/>
                <w:sz w:val="24"/>
                <w:szCs w:val="24"/>
              </w:rPr>
              <w:t>–1</w:t>
            </w:r>
            <w:r w:rsidR="00302FC3">
              <w:rPr>
                <w:rFonts w:eastAsia="Microsoft YaHei"/>
                <w:sz w:val="24"/>
                <w:szCs w:val="24"/>
              </w:rPr>
              <w:t xml:space="preserve"> </w:t>
            </w:r>
            <w:r w:rsidRPr="007C1CA0">
              <w:rPr>
                <w:rFonts w:eastAsia="Microsoft YaHei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1,83</w:t>
            </w:r>
          </w:p>
        </w:tc>
        <w:tc>
          <w:tcPr>
            <w:tcW w:w="1559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0,92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2</w:t>
            </w:r>
            <w:r>
              <w:rPr>
                <w:rFonts w:eastAsia="Microsoft YaHei"/>
                <w:sz w:val="24"/>
                <w:szCs w:val="24"/>
              </w:rPr>
              <w:t>,0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99" w:rsidRPr="007C1CA0" w:rsidRDefault="00F27199" w:rsidP="007C1CA0">
            <w:pPr>
              <w:pStyle w:val="NoSpacing"/>
              <w:rPr>
                <w:rFonts w:eastAsia="Microsoft YaHei"/>
                <w:sz w:val="24"/>
                <w:szCs w:val="24"/>
              </w:rPr>
            </w:pPr>
          </w:p>
        </w:tc>
      </w:tr>
      <w:tr w:rsidR="00F27199" w:rsidTr="00F27199">
        <w:tc>
          <w:tcPr>
            <w:tcW w:w="2518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>
              <w:rPr>
                <w:rFonts w:eastAsia="Microsoft YaHei"/>
                <w:sz w:val="24"/>
                <w:szCs w:val="24"/>
              </w:rPr>
              <w:t>1</w:t>
            </w:r>
            <w:r w:rsidR="00302FC3">
              <w:rPr>
                <w:rFonts w:eastAsia="Microsoft YaHei"/>
                <w:sz w:val="24"/>
                <w:szCs w:val="24"/>
              </w:rPr>
              <w:t xml:space="preserve"> </w:t>
            </w:r>
            <w:r>
              <w:rPr>
                <w:rFonts w:eastAsia="Microsoft YaHei"/>
                <w:sz w:val="24"/>
                <w:szCs w:val="24"/>
              </w:rPr>
              <w:t>801</w:t>
            </w:r>
            <w:r w:rsidRPr="007C1CA0">
              <w:rPr>
                <w:rFonts w:eastAsia="Microsoft YaHei"/>
                <w:sz w:val="24"/>
                <w:szCs w:val="24"/>
              </w:rPr>
              <w:t>–2</w:t>
            </w:r>
            <w:r w:rsidR="00302FC3">
              <w:rPr>
                <w:rFonts w:eastAsia="Microsoft YaHei"/>
                <w:sz w:val="24"/>
                <w:szCs w:val="24"/>
              </w:rPr>
              <w:t xml:space="preserve"> </w:t>
            </w:r>
            <w:r w:rsidRPr="007C1CA0">
              <w:rPr>
                <w:rFonts w:eastAsia="Microsoft YaHei"/>
                <w:sz w:val="24"/>
                <w:szCs w:val="24"/>
              </w:rPr>
              <w:t>400</w:t>
            </w:r>
          </w:p>
        </w:tc>
        <w:tc>
          <w:tcPr>
            <w:tcW w:w="1701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2,17</w:t>
            </w:r>
          </w:p>
        </w:tc>
        <w:tc>
          <w:tcPr>
            <w:tcW w:w="1559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1,08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2,33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99" w:rsidRPr="007C1CA0" w:rsidRDefault="00F27199" w:rsidP="007C1CA0">
            <w:pPr>
              <w:pStyle w:val="NoSpacing"/>
              <w:rPr>
                <w:rFonts w:eastAsia="Microsoft YaHei"/>
                <w:sz w:val="24"/>
                <w:szCs w:val="24"/>
              </w:rPr>
            </w:pPr>
          </w:p>
        </w:tc>
      </w:tr>
      <w:tr w:rsidR="00F27199" w:rsidTr="00F27199">
        <w:tc>
          <w:tcPr>
            <w:tcW w:w="2518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>
              <w:rPr>
                <w:rFonts w:eastAsia="Microsoft YaHei"/>
                <w:sz w:val="24"/>
                <w:szCs w:val="24"/>
              </w:rPr>
              <w:t>2</w:t>
            </w:r>
            <w:r w:rsidR="00302FC3">
              <w:rPr>
                <w:rFonts w:eastAsia="Microsoft YaHei"/>
                <w:sz w:val="24"/>
                <w:szCs w:val="24"/>
              </w:rPr>
              <w:t xml:space="preserve"> </w:t>
            </w:r>
            <w:r>
              <w:rPr>
                <w:rFonts w:eastAsia="Microsoft YaHei"/>
                <w:sz w:val="24"/>
                <w:szCs w:val="24"/>
              </w:rPr>
              <w:t>401</w:t>
            </w:r>
            <w:r w:rsidRPr="007C1CA0">
              <w:rPr>
                <w:rFonts w:eastAsia="Microsoft YaHei"/>
                <w:sz w:val="24"/>
                <w:szCs w:val="24"/>
              </w:rPr>
              <w:t>–3</w:t>
            </w:r>
            <w:r w:rsidR="00302FC3">
              <w:rPr>
                <w:rFonts w:eastAsia="Microsoft YaHei"/>
                <w:sz w:val="24"/>
                <w:szCs w:val="24"/>
              </w:rPr>
              <w:t xml:space="preserve"> </w:t>
            </w:r>
            <w:r w:rsidRPr="007C1CA0">
              <w:rPr>
                <w:rFonts w:eastAsia="Microsoft YaHei"/>
                <w:sz w:val="24"/>
                <w:szCs w:val="24"/>
              </w:rPr>
              <w:t>000</w:t>
            </w:r>
          </w:p>
        </w:tc>
        <w:tc>
          <w:tcPr>
            <w:tcW w:w="1701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2,5</w:t>
            </w:r>
          </w:p>
        </w:tc>
        <w:tc>
          <w:tcPr>
            <w:tcW w:w="1559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1,25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2,67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99" w:rsidRPr="007C1CA0" w:rsidRDefault="00F27199" w:rsidP="007C1CA0">
            <w:pPr>
              <w:pStyle w:val="NoSpacing"/>
              <w:rPr>
                <w:rFonts w:eastAsia="Microsoft YaHei"/>
                <w:sz w:val="24"/>
                <w:szCs w:val="24"/>
              </w:rPr>
            </w:pPr>
          </w:p>
        </w:tc>
      </w:tr>
      <w:tr w:rsidR="00F27199" w:rsidTr="00F27199">
        <w:tc>
          <w:tcPr>
            <w:tcW w:w="2518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>
              <w:rPr>
                <w:rFonts w:eastAsia="Microsoft YaHei"/>
                <w:sz w:val="24"/>
                <w:szCs w:val="24"/>
              </w:rPr>
              <w:t>3</w:t>
            </w:r>
            <w:r w:rsidR="00302FC3">
              <w:rPr>
                <w:rFonts w:eastAsia="Microsoft YaHei"/>
                <w:sz w:val="24"/>
                <w:szCs w:val="24"/>
              </w:rPr>
              <w:t xml:space="preserve"> </w:t>
            </w:r>
            <w:r>
              <w:rPr>
                <w:rFonts w:eastAsia="Microsoft YaHei"/>
                <w:sz w:val="24"/>
                <w:szCs w:val="24"/>
              </w:rPr>
              <w:t>001</w:t>
            </w:r>
            <w:r w:rsidRPr="007C1CA0">
              <w:rPr>
                <w:rFonts w:eastAsia="Microsoft YaHei"/>
                <w:sz w:val="24"/>
                <w:szCs w:val="24"/>
              </w:rPr>
              <w:t>–3</w:t>
            </w:r>
            <w:r w:rsidR="00302FC3">
              <w:rPr>
                <w:rFonts w:eastAsia="Microsoft YaHei"/>
                <w:sz w:val="24"/>
                <w:szCs w:val="24"/>
              </w:rPr>
              <w:t xml:space="preserve"> </w:t>
            </w:r>
            <w:r w:rsidRPr="007C1CA0">
              <w:rPr>
                <w:rFonts w:eastAsia="Microsoft YaHei"/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2,83</w:t>
            </w:r>
          </w:p>
        </w:tc>
        <w:tc>
          <w:tcPr>
            <w:tcW w:w="1559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1,42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3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99" w:rsidRPr="007C1CA0" w:rsidRDefault="00F27199" w:rsidP="007C1CA0">
            <w:pPr>
              <w:pStyle w:val="NoSpacing"/>
              <w:rPr>
                <w:rFonts w:eastAsia="Microsoft YaHei"/>
                <w:sz w:val="24"/>
                <w:szCs w:val="24"/>
              </w:rPr>
            </w:pPr>
          </w:p>
        </w:tc>
      </w:tr>
      <w:tr w:rsidR="00F27199" w:rsidTr="00F27199">
        <w:tc>
          <w:tcPr>
            <w:tcW w:w="2518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>
              <w:rPr>
                <w:rFonts w:eastAsia="Microsoft YaHei"/>
                <w:sz w:val="24"/>
                <w:szCs w:val="24"/>
              </w:rPr>
              <w:t>3</w:t>
            </w:r>
            <w:r w:rsidR="00302FC3">
              <w:rPr>
                <w:rFonts w:eastAsia="Microsoft YaHei"/>
                <w:sz w:val="24"/>
                <w:szCs w:val="24"/>
              </w:rPr>
              <w:t xml:space="preserve"> 601–</w:t>
            </w:r>
            <w:r w:rsidRPr="007C1CA0">
              <w:rPr>
                <w:rFonts w:eastAsia="Microsoft YaHei"/>
                <w:sz w:val="24"/>
                <w:szCs w:val="24"/>
              </w:rPr>
              <w:t>4</w:t>
            </w:r>
            <w:r w:rsidR="00302FC3">
              <w:rPr>
                <w:rFonts w:eastAsia="Microsoft YaHei"/>
                <w:sz w:val="24"/>
                <w:szCs w:val="24"/>
              </w:rPr>
              <w:t xml:space="preserve"> </w:t>
            </w:r>
            <w:r w:rsidRPr="007C1CA0">
              <w:rPr>
                <w:rFonts w:eastAsia="Microsoft YaHei"/>
                <w:sz w:val="24"/>
                <w:szCs w:val="24"/>
              </w:rPr>
              <w:t>000</w:t>
            </w:r>
          </w:p>
        </w:tc>
        <w:tc>
          <w:tcPr>
            <w:tcW w:w="1701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3,17</w:t>
            </w:r>
          </w:p>
        </w:tc>
        <w:tc>
          <w:tcPr>
            <w:tcW w:w="1559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1,58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3,33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99" w:rsidRPr="007C1CA0" w:rsidRDefault="00F27199" w:rsidP="007C1CA0">
            <w:pPr>
              <w:pStyle w:val="NoSpacing"/>
              <w:rPr>
                <w:rFonts w:eastAsia="Microsoft YaHei"/>
                <w:sz w:val="24"/>
                <w:szCs w:val="24"/>
              </w:rPr>
            </w:pPr>
          </w:p>
        </w:tc>
      </w:tr>
      <w:tr w:rsidR="00F27199" w:rsidTr="00F27199">
        <w:tc>
          <w:tcPr>
            <w:tcW w:w="2518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>
              <w:rPr>
                <w:rFonts w:eastAsia="Microsoft YaHei"/>
                <w:sz w:val="24"/>
                <w:szCs w:val="24"/>
              </w:rPr>
              <w:t>4</w:t>
            </w:r>
            <w:r w:rsidR="00302FC3">
              <w:rPr>
                <w:rFonts w:eastAsia="Microsoft YaHei"/>
                <w:sz w:val="24"/>
                <w:szCs w:val="24"/>
              </w:rPr>
              <w:t xml:space="preserve"> 201</w:t>
            </w:r>
            <w:r w:rsidRPr="007C1CA0">
              <w:rPr>
                <w:rFonts w:eastAsia="Microsoft YaHei"/>
                <w:sz w:val="24"/>
                <w:szCs w:val="24"/>
              </w:rPr>
              <w:t>–4</w:t>
            </w:r>
            <w:r w:rsidR="00302FC3">
              <w:rPr>
                <w:rFonts w:eastAsia="Microsoft YaHei"/>
                <w:sz w:val="24"/>
                <w:szCs w:val="24"/>
              </w:rPr>
              <w:t xml:space="preserve"> </w:t>
            </w:r>
            <w:r w:rsidRPr="007C1CA0">
              <w:rPr>
                <w:rFonts w:eastAsia="Microsoft YaHei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3,5</w:t>
            </w:r>
          </w:p>
        </w:tc>
        <w:tc>
          <w:tcPr>
            <w:tcW w:w="1559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1,75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3,67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99" w:rsidRPr="007C1CA0" w:rsidRDefault="00F27199" w:rsidP="007C1CA0">
            <w:pPr>
              <w:pStyle w:val="NoSpacing"/>
              <w:rPr>
                <w:rFonts w:eastAsia="Microsoft YaHei"/>
                <w:sz w:val="24"/>
                <w:szCs w:val="24"/>
              </w:rPr>
            </w:pPr>
          </w:p>
        </w:tc>
      </w:tr>
      <w:tr w:rsidR="00F27199" w:rsidTr="00F27199">
        <w:tc>
          <w:tcPr>
            <w:tcW w:w="2518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>
              <w:rPr>
                <w:rFonts w:eastAsia="Microsoft YaHei"/>
                <w:sz w:val="24"/>
                <w:szCs w:val="24"/>
              </w:rPr>
              <w:t>4</w:t>
            </w:r>
            <w:r w:rsidR="00302FC3">
              <w:rPr>
                <w:rFonts w:eastAsia="Microsoft YaHei"/>
                <w:sz w:val="24"/>
                <w:szCs w:val="24"/>
              </w:rPr>
              <w:t xml:space="preserve"> </w:t>
            </w:r>
            <w:r>
              <w:rPr>
                <w:rFonts w:eastAsia="Microsoft YaHei"/>
                <w:sz w:val="24"/>
                <w:szCs w:val="24"/>
              </w:rPr>
              <w:t>801</w:t>
            </w:r>
            <w:r w:rsidRPr="007C1CA0">
              <w:rPr>
                <w:rFonts w:eastAsia="Microsoft YaHei"/>
                <w:sz w:val="24"/>
                <w:szCs w:val="24"/>
              </w:rPr>
              <w:t>–5</w:t>
            </w:r>
            <w:r w:rsidR="00302FC3">
              <w:rPr>
                <w:rFonts w:eastAsia="Microsoft YaHei"/>
                <w:sz w:val="24"/>
                <w:szCs w:val="24"/>
              </w:rPr>
              <w:t xml:space="preserve"> </w:t>
            </w:r>
            <w:r w:rsidRPr="007C1CA0">
              <w:rPr>
                <w:rFonts w:eastAsia="Microsoft YaHei"/>
                <w:sz w:val="24"/>
                <w:szCs w:val="24"/>
              </w:rPr>
              <w:t>400</w:t>
            </w:r>
          </w:p>
        </w:tc>
        <w:tc>
          <w:tcPr>
            <w:tcW w:w="1701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3,83</w:t>
            </w:r>
          </w:p>
        </w:tc>
        <w:tc>
          <w:tcPr>
            <w:tcW w:w="1559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  <w:lang w:val="en-US"/>
              </w:rPr>
            </w:pPr>
            <w:r w:rsidRPr="007C1CA0">
              <w:rPr>
                <w:rFonts w:eastAsia="Microsoft YaHei"/>
                <w:sz w:val="24"/>
                <w:szCs w:val="24"/>
                <w:lang w:val="en-US"/>
              </w:rPr>
              <w:t>1,92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4</w:t>
            </w:r>
            <w:r>
              <w:rPr>
                <w:rFonts w:eastAsia="Microsoft YaHei"/>
                <w:sz w:val="24"/>
                <w:szCs w:val="24"/>
              </w:rPr>
              <w:t>,0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99" w:rsidRPr="007C1CA0" w:rsidRDefault="00F27199" w:rsidP="007C1CA0">
            <w:pPr>
              <w:pStyle w:val="NoSpacing"/>
              <w:rPr>
                <w:rFonts w:eastAsia="Microsoft YaHei"/>
                <w:sz w:val="24"/>
                <w:szCs w:val="24"/>
              </w:rPr>
            </w:pPr>
          </w:p>
        </w:tc>
      </w:tr>
      <w:tr w:rsidR="00F27199" w:rsidTr="00F27199">
        <w:tc>
          <w:tcPr>
            <w:tcW w:w="2518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>
              <w:rPr>
                <w:rFonts w:eastAsia="Microsoft YaHei"/>
                <w:sz w:val="24"/>
                <w:szCs w:val="24"/>
              </w:rPr>
              <w:t>5</w:t>
            </w:r>
            <w:r w:rsidR="00302FC3">
              <w:rPr>
                <w:rFonts w:eastAsia="Microsoft YaHei"/>
                <w:sz w:val="24"/>
                <w:szCs w:val="24"/>
              </w:rPr>
              <w:t xml:space="preserve"> </w:t>
            </w:r>
            <w:r>
              <w:rPr>
                <w:rFonts w:eastAsia="Microsoft YaHei"/>
                <w:sz w:val="24"/>
                <w:szCs w:val="24"/>
              </w:rPr>
              <w:t>401</w:t>
            </w:r>
            <w:r w:rsidRPr="007C1CA0">
              <w:rPr>
                <w:rFonts w:eastAsia="Microsoft YaHei"/>
                <w:sz w:val="24"/>
                <w:szCs w:val="24"/>
              </w:rPr>
              <w:t>–6</w:t>
            </w:r>
            <w:r w:rsidR="00302FC3">
              <w:rPr>
                <w:rFonts w:eastAsia="Microsoft YaHei"/>
                <w:sz w:val="24"/>
                <w:szCs w:val="24"/>
              </w:rPr>
              <w:t xml:space="preserve"> </w:t>
            </w:r>
            <w:r w:rsidRPr="007C1CA0">
              <w:rPr>
                <w:rFonts w:eastAsia="Microsoft YaHei"/>
                <w:sz w:val="24"/>
                <w:szCs w:val="24"/>
              </w:rPr>
              <w:t>000</w:t>
            </w:r>
          </w:p>
        </w:tc>
        <w:tc>
          <w:tcPr>
            <w:tcW w:w="1701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4,17</w:t>
            </w:r>
          </w:p>
        </w:tc>
        <w:tc>
          <w:tcPr>
            <w:tcW w:w="1559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2,09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4,33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99" w:rsidRPr="007C1CA0" w:rsidRDefault="00F27199" w:rsidP="007C1CA0">
            <w:pPr>
              <w:pStyle w:val="NoSpacing"/>
              <w:rPr>
                <w:rFonts w:eastAsia="Microsoft YaHei"/>
                <w:sz w:val="24"/>
                <w:szCs w:val="24"/>
              </w:rPr>
            </w:pPr>
          </w:p>
        </w:tc>
      </w:tr>
      <w:tr w:rsidR="00F27199" w:rsidTr="008B3BD8">
        <w:tc>
          <w:tcPr>
            <w:tcW w:w="2518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6</w:t>
            </w:r>
            <w:r w:rsidR="00302FC3">
              <w:rPr>
                <w:rFonts w:eastAsia="Microsoft YaHei"/>
                <w:sz w:val="24"/>
                <w:szCs w:val="24"/>
              </w:rPr>
              <w:t xml:space="preserve"> </w:t>
            </w:r>
            <w:r>
              <w:rPr>
                <w:rFonts w:eastAsia="Microsoft YaHei"/>
                <w:sz w:val="24"/>
                <w:szCs w:val="24"/>
              </w:rPr>
              <w:t>001</w:t>
            </w:r>
            <w:r w:rsidRPr="007C1CA0">
              <w:rPr>
                <w:rFonts w:eastAsia="Microsoft YaHei"/>
                <w:sz w:val="24"/>
                <w:szCs w:val="24"/>
              </w:rPr>
              <w:t>–6</w:t>
            </w:r>
            <w:r w:rsidR="00302FC3">
              <w:rPr>
                <w:rFonts w:eastAsia="Microsoft YaHei"/>
                <w:sz w:val="24"/>
                <w:szCs w:val="24"/>
              </w:rPr>
              <w:t xml:space="preserve"> </w:t>
            </w:r>
            <w:r w:rsidRPr="007C1CA0">
              <w:rPr>
                <w:rFonts w:eastAsia="Microsoft YaHei"/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4,5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4,67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99" w:rsidRPr="007C1CA0" w:rsidRDefault="00F27199" w:rsidP="007C1CA0">
            <w:pPr>
              <w:pStyle w:val="NoSpacing"/>
              <w:rPr>
                <w:rFonts w:eastAsia="Microsoft YaHei"/>
                <w:sz w:val="24"/>
                <w:szCs w:val="24"/>
              </w:rPr>
            </w:pPr>
          </w:p>
        </w:tc>
      </w:tr>
      <w:tr w:rsidR="00F27199" w:rsidTr="008B3BD8">
        <w:tc>
          <w:tcPr>
            <w:tcW w:w="2518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>
              <w:rPr>
                <w:rFonts w:eastAsia="Microsoft YaHei"/>
                <w:sz w:val="24"/>
                <w:szCs w:val="24"/>
              </w:rPr>
              <w:t>6</w:t>
            </w:r>
            <w:r w:rsidR="00302FC3">
              <w:rPr>
                <w:rFonts w:eastAsia="Microsoft YaHei"/>
                <w:sz w:val="24"/>
                <w:szCs w:val="24"/>
              </w:rPr>
              <w:t xml:space="preserve"> </w:t>
            </w:r>
            <w:r>
              <w:rPr>
                <w:rFonts w:eastAsia="Microsoft YaHei"/>
                <w:sz w:val="24"/>
                <w:szCs w:val="24"/>
              </w:rPr>
              <w:t>601</w:t>
            </w:r>
            <w:r w:rsidRPr="007C1CA0">
              <w:rPr>
                <w:rFonts w:eastAsia="Microsoft YaHei"/>
                <w:sz w:val="24"/>
                <w:szCs w:val="24"/>
              </w:rPr>
              <w:t xml:space="preserve"> </w:t>
            </w:r>
            <w:r>
              <w:rPr>
                <w:rFonts w:eastAsia="Microsoft YaHei"/>
                <w:sz w:val="24"/>
                <w:szCs w:val="24"/>
              </w:rPr>
              <w:t>ir daugiau</w:t>
            </w:r>
          </w:p>
        </w:tc>
        <w:tc>
          <w:tcPr>
            <w:tcW w:w="1701" w:type="dxa"/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4,83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2,42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27199" w:rsidRPr="007C1CA0" w:rsidRDefault="00F27199" w:rsidP="00F27199">
            <w:pPr>
              <w:pStyle w:val="NoSpacing"/>
              <w:jc w:val="center"/>
              <w:rPr>
                <w:rFonts w:eastAsia="Microsoft YaHei"/>
                <w:sz w:val="24"/>
                <w:szCs w:val="24"/>
              </w:rPr>
            </w:pPr>
            <w:r w:rsidRPr="007C1CA0">
              <w:rPr>
                <w:rFonts w:eastAsia="Microsoft YaHei"/>
                <w:sz w:val="24"/>
                <w:szCs w:val="24"/>
              </w:rPr>
              <w:t>5</w:t>
            </w:r>
            <w:r>
              <w:rPr>
                <w:rFonts w:eastAsia="Microsoft YaHei"/>
                <w:sz w:val="24"/>
                <w:szCs w:val="24"/>
              </w:rPr>
              <w:t>,0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99" w:rsidRPr="007C1CA0" w:rsidRDefault="00F27199" w:rsidP="007C1CA0">
            <w:pPr>
              <w:pStyle w:val="NoSpacing"/>
              <w:rPr>
                <w:rFonts w:eastAsia="Microsoft YaHei"/>
                <w:sz w:val="24"/>
                <w:szCs w:val="24"/>
              </w:rPr>
            </w:pPr>
          </w:p>
        </w:tc>
      </w:tr>
    </w:tbl>
    <w:p w:rsidR="00783181" w:rsidRPr="00F408E1" w:rsidRDefault="00783181" w:rsidP="00092D18">
      <w:pPr>
        <w:jc w:val="both"/>
        <w:rPr>
          <w:color w:val="FF0000"/>
          <w:sz w:val="24"/>
          <w:szCs w:val="24"/>
        </w:rPr>
      </w:pPr>
      <w:r w:rsidRPr="00F408E1">
        <w:rPr>
          <w:b/>
          <w:bCs/>
          <w:color w:val="FF0000"/>
          <w:sz w:val="24"/>
          <w:szCs w:val="24"/>
        </w:rPr>
        <w:t xml:space="preserve">                      </w:t>
      </w:r>
    </w:p>
    <w:p w:rsidR="00092D18" w:rsidRDefault="00092D18" w:rsidP="00092D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02FC3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EC166A">
        <w:rPr>
          <w:sz w:val="24"/>
          <w:szCs w:val="24"/>
        </w:rPr>
        <w:t>Pastato</w:t>
      </w:r>
      <w:r>
        <w:rPr>
          <w:sz w:val="24"/>
          <w:szCs w:val="24"/>
        </w:rPr>
        <w:t xml:space="preserve"> techninės priežiūros tarifas skaičiuojamas pagal šioje </w:t>
      </w:r>
      <w:r w:rsidR="00302FC3">
        <w:rPr>
          <w:sz w:val="24"/>
          <w:szCs w:val="24"/>
        </w:rPr>
        <w:t>m</w:t>
      </w:r>
      <w:r>
        <w:rPr>
          <w:sz w:val="24"/>
          <w:szCs w:val="24"/>
        </w:rPr>
        <w:t>etodikoje pateiktą formulę be pridėtinės vertės mokesčio.</w:t>
      </w:r>
    </w:p>
    <w:p w:rsidR="00EC166A" w:rsidRPr="00EC166A" w:rsidRDefault="007F07E9" w:rsidP="00092D18">
      <w:pPr>
        <w:jc w:val="both"/>
        <w:rPr>
          <w:rFonts w:cs="Tahoma"/>
          <w:sz w:val="24"/>
          <w:szCs w:val="24"/>
          <w:lang w:bidi="lt-LT"/>
        </w:rPr>
      </w:pPr>
      <w:r>
        <w:rPr>
          <w:rFonts w:cs="Tahoma"/>
          <w:sz w:val="24"/>
          <w:szCs w:val="24"/>
          <w:lang w:bidi="lt-LT"/>
        </w:rPr>
        <w:t xml:space="preserve">                    </w:t>
      </w:r>
      <w:r w:rsidR="00302FC3">
        <w:rPr>
          <w:rFonts w:cs="Tahoma"/>
          <w:sz w:val="24"/>
          <w:szCs w:val="24"/>
          <w:lang w:bidi="lt-LT"/>
        </w:rPr>
        <w:t>10</w:t>
      </w:r>
      <w:r w:rsidR="00EC166A" w:rsidRPr="00EC166A">
        <w:rPr>
          <w:rFonts w:cs="Tahoma"/>
          <w:sz w:val="24"/>
          <w:szCs w:val="24"/>
          <w:lang w:bidi="lt-LT"/>
        </w:rPr>
        <w:t xml:space="preserve">. </w:t>
      </w:r>
      <w:r w:rsidR="00EC166A">
        <w:rPr>
          <w:rFonts w:cs="Tahoma"/>
          <w:sz w:val="24"/>
          <w:szCs w:val="24"/>
          <w:lang w:bidi="lt-LT"/>
        </w:rPr>
        <w:t>Pastatų naudotojai, atsižvelgdami į savo galimybes atlikti nuolatinius stebėjimus savo personalo jėgomis, gali sudaryti sutartis su Įstaiga tik dėl apžiūrų paslaugos teikimo.</w:t>
      </w:r>
    </w:p>
    <w:p w:rsidR="00092D18" w:rsidRPr="00C75582" w:rsidRDefault="00EC166A" w:rsidP="00092D18">
      <w:pPr>
        <w:jc w:val="both"/>
        <w:rPr>
          <w:rFonts w:cs="Tahoma"/>
          <w:sz w:val="24"/>
          <w:szCs w:val="24"/>
          <w:lang w:bidi="lt-LT"/>
        </w:rPr>
      </w:pPr>
      <w:r w:rsidRPr="00C75582">
        <w:rPr>
          <w:rFonts w:cs="Tahoma"/>
          <w:b/>
          <w:sz w:val="24"/>
          <w:szCs w:val="24"/>
          <w:lang w:bidi="lt-LT"/>
        </w:rPr>
        <w:t xml:space="preserve">                    </w:t>
      </w:r>
      <w:r w:rsidR="00092D18" w:rsidRPr="00C75582">
        <w:rPr>
          <w:rFonts w:cs="Tahoma"/>
          <w:sz w:val="24"/>
          <w:szCs w:val="24"/>
          <w:lang w:bidi="lt-LT"/>
        </w:rPr>
        <w:t>1</w:t>
      </w:r>
      <w:r w:rsidR="00302FC3">
        <w:rPr>
          <w:rFonts w:cs="Tahoma"/>
          <w:sz w:val="24"/>
          <w:szCs w:val="24"/>
          <w:lang w:bidi="lt-LT"/>
        </w:rPr>
        <w:t>1</w:t>
      </w:r>
      <w:r w:rsidR="00092D18" w:rsidRPr="00C75582">
        <w:rPr>
          <w:rFonts w:cs="Tahoma"/>
          <w:sz w:val="24"/>
          <w:szCs w:val="24"/>
          <w:lang w:bidi="lt-LT"/>
        </w:rPr>
        <w:t xml:space="preserve">. </w:t>
      </w:r>
      <w:r w:rsidRPr="00C75582">
        <w:rPr>
          <w:rFonts w:cs="Tahoma"/>
          <w:sz w:val="24"/>
          <w:szCs w:val="24"/>
          <w:lang w:bidi="lt-LT"/>
        </w:rPr>
        <w:t>Įstaiga</w:t>
      </w:r>
      <w:r w:rsidR="00092D18" w:rsidRPr="00C75582">
        <w:rPr>
          <w:rFonts w:cs="Tahoma"/>
          <w:sz w:val="24"/>
          <w:szCs w:val="24"/>
          <w:lang w:bidi="lt-LT"/>
        </w:rPr>
        <w:t xml:space="preserve">, veikdama </w:t>
      </w:r>
      <w:r w:rsidRPr="00C75582">
        <w:rPr>
          <w:rFonts w:cs="Tahoma"/>
          <w:sz w:val="24"/>
          <w:szCs w:val="24"/>
          <w:lang w:bidi="lt-LT"/>
        </w:rPr>
        <w:t>pastatų naudotojų</w:t>
      </w:r>
      <w:r w:rsidR="00092D18" w:rsidRPr="00C75582">
        <w:rPr>
          <w:rFonts w:cs="Tahoma"/>
          <w:sz w:val="24"/>
          <w:szCs w:val="24"/>
          <w:lang w:bidi="lt-LT"/>
        </w:rPr>
        <w:t xml:space="preserve"> naudai, gali priimti sprendimą sumažinti </w:t>
      </w:r>
      <w:r w:rsidR="00B94594" w:rsidRPr="00C75582">
        <w:rPr>
          <w:rFonts w:cs="Tahoma"/>
          <w:sz w:val="24"/>
          <w:szCs w:val="24"/>
          <w:lang w:bidi="lt-LT"/>
        </w:rPr>
        <w:t>pastato</w:t>
      </w:r>
      <w:r w:rsidR="00092D18" w:rsidRPr="00C75582">
        <w:rPr>
          <w:rFonts w:cs="Tahoma"/>
          <w:sz w:val="24"/>
          <w:szCs w:val="24"/>
          <w:lang w:bidi="lt-LT"/>
        </w:rPr>
        <w:t xml:space="preserve"> techninės priežiūros tarifą, ne</w:t>
      </w:r>
      <w:r w:rsidR="00B94594" w:rsidRPr="00C75582">
        <w:rPr>
          <w:rFonts w:cs="Tahoma"/>
          <w:sz w:val="24"/>
          <w:szCs w:val="24"/>
          <w:lang w:bidi="lt-LT"/>
        </w:rPr>
        <w:t>mažindama paslaugų apimties ir ne</w:t>
      </w:r>
      <w:r w:rsidR="00092D18" w:rsidRPr="00C75582">
        <w:rPr>
          <w:rFonts w:cs="Tahoma"/>
          <w:sz w:val="24"/>
          <w:szCs w:val="24"/>
          <w:lang w:bidi="lt-LT"/>
        </w:rPr>
        <w:t>pažei</w:t>
      </w:r>
      <w:r w:rsidR="00B94594" w:rsidRPr="00C75582">
        <w:rPr>
          <w:rFonts w:cs="Tahoma"/>
          <w:sz w:val="24"/>
          <w:szCs w:val="24"/>
          <w:lang w:bidi="lt-LT"/>
        </w:rPr>
        <w:t>sdama</w:t>
      </w:r>
      <w:r w:rsidR="00092D18" w:rsidRPr="00C75582">
        <w:rPr>
          <w:rFonts w:cs="Tahoma"/>
          <w:sz w:val="24"/>
          <w:szCs w:val="24"/>
          <w:lang w:bidi="lt-LT"/>
        </w:rPr>
        <w:t xml:space="preserve"> </w:t>
      </w:r>
      <w:r w:rsidR="00B94594" w:rsidRPr="00C75582">
        <w:rPr>
          <w:rFonts w:cs="Tahoma"/>
          <w:sz w:val="24"/>
          <w:szCs w:val="24"/>
          <w:lang w:bidi="lt-LT"/>
        </w:rPr>
        <w:t>pastatų</w:t>
      </w:r>
      <w:r w:rsidR="00092D18" w:rsidRPr="00C75582">
        <w:rPr>
          <w:rFonts w:cs="Tahoma"/>
          <w:sz w:val="24"/>
          <w:szCs w:val="24"/>
          <w:lang w:bidi="lt-LT"/>
        </w:rPr>
        <w:t xml:space="preserve"> naudojimo priežiūr</w:t>
      </w:r>
      <w:r w:rsidR="00B94594" w:rsidRPr="00C75582">
        <w:rPr>
          <w:rFonts w:cs="Tahoma"/>
          <w:sz w:val="24"/>
          <w:szCs w:val="24"/>
          <w:lang w:bidi="lt-LT"/>
        </w:rPr>
        <w:t>ą reglamentuojančių teisės aktų</w:t>
      </w:r>
      <w:r w:rsidR="00092D18" w:rsidRPr="00C75582">
        <w:rPr>
          <w:rFonts w:cs="Tahoma"/>
          <w:sz w:val="24"/>
          <w:szCs w:val="24"/>
          <w:lang w:bidi="lt-LT"/>
        </w:rPr>
        <w:t xml:space="preserve"> reikalavimų.</w:t>
      </w:r>
    </w:p>
    <w:p w:rsidR="00092D18" w:rsidRDefault="00092D18" w:rsidP="00092D18">
      <w:pPr>
        <w:jc w:val="both"/>
        <w:rPr>
          <w:sz w:val="24"/>
          <w:szCs w:val="24"/>
        </w:rPr>
      </w:pPr>
    </w:p>
    <w:p w:rsidR="00092D18" w:rsidRDefault="00092D18" w:rsidP="00092D18">
      <w:pPr>
        <w:pStyle w:val="Heading2"/>
        <w:numPr>
          <w:ilvl w:val="1"/>
          <w:numId w:val="3"/>
        </w:numPr>
        <w:tabs>
          <w:tab w:val="left" w:pos="0"/>
        </w:tabs>
        <w:rPr>
          <w:rFonts w:cs="Tahoma"/>
          <w:caps w:val="0"/>
          <w:sz w:val="24"/>
          <w:szCs w:val="24"/>
          <w:lang w:eastAsia="lt-LT" w:bidi="lt-LT"/>
        </w:rPr>
      </w:pPr>
      <w:r>
        <w:rPr>
          <w:rFonts w:cs="Tahoma"/>
          <w:caps w:val="0"/>
          <w:sz w:val="24"/>
          <w:szCs w:val="24"/>
          <w:lang w:eastAsia="lt-LT" w:bidi="lt-LT"/>
        </w:rPr>
        <w:t>IV. BAIGIAMOSIOS NUOSTATOS</w:t>
      </w:r>
    </w:p>
    <w:p w:rsidR="00092D18" w:rsidRDefault="00092D18" w:rsidP="00092D18">
      <w:pPr>
        <w:jc w:val="both"/>
        <w:rPr>
          <w:sz w:val="24"/>
          <w:szCs w:val="24"/>
        </w:rPr>
      </w:pPr>
    </w:p>
    <w:p w:rsidR="00092D18" w:rsidRDefault="00092D18" w:rsidP="00092D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="00302FC3">
        <w:rPr>
          <w:sz w:val="24"/>
          <w:szCs w:val="24"/>
        </w:rPr>
        <w:t>2</w:t>
      </w:r>
      <w:r>
        <w:rPr>
          <w:sz w:val="24"/>
          <w:szCs w:val="24"/>
        </w:rPr>
        <w:t xml:space="preserve">. Tai, ko nereglamentuoja ši </w:t>
      </w:r>
      <w:r w:rsidR="00302FC3">
        <w:rPr>
          <w:sz w:val="24"/>
          <w:szCs w:val="24"/>
        </w:rPr>
        <w:t>m</w:t>
      </w:r>
      <w:r>
        <w:rPr>
          <w:sz w:val="24"/>
          <w:szCs w:val="24"/>
        </w:rPr>
        <w:t>etodika, sprendžiama taip, kaip numatyta Lietuvos Respublikos teisės aktuose.</w:t>
      </w:r>
    </w:p>
    <w:p w:rsidR="00092D18" w:rsidRDefault="00302FC3" w:rsidP="00092D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13</w:t>
      </w:r>
      <w:r w:rsidR="00092D18">
        <w:rPr>
          <w:sz w:val="24"/>
          <w:szCs w:val="24"/>
        </w:rPr>
        <w:t>. Ši metodika gali būti pakeista, papildyta ar panaikinta Panevėžio rajono savivaldybės tarybos sprendimu.</w:t>
      </w:r>
    </w:p>
    <w:p w:rsidR="00092D18" w:rsidRDefault="00092D18" w:rsidP="00092D1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092D18" w:rsidRDefault="00092D18" w:rsidP="00092D18">
      <w:pPr>
        <w:jc w:val="right"/>
        <w:rPr>
          <w:sz w:val="24"/>
          <w:szCs w:val="24"/>
        </w:rPr>
      </w:pPr>
    </w:p>
    <w:p w:rsidR="00092D18" w:rsidRDefault="00092D18" w:rsidP="00092D18">
      <w:pPr>
        <w:pStyle w:val="Standard"/>
        <w:jc w:val="both"/>
        <w:sectPr w:rsidR="00092D18" w:rsidSect="0072691D">
          <w:footerReference w:type="default" r:id="rId9"/>
          <w:pgSz w:w="11906" w:h="16838"/>
          <w:pgMar w:top="1134" w:right="567" w:bottom="567" w:left="1701" w:header="567" w:footer="567" w:gutter="0"/>
          <w:cols w:space="1296"/>
          <w:titlePg/>
        </w:sectPr>
      </w:pPr>
    </w:p>
    <w:p w:rsidR="00A72356" w:rsidRDefault="000C069E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A72356" w:rsidRDefault="000C069E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VIETINIO ŪKIO SKYRIUS</w:t>
      </w:r>
    </w:p>
    <w:p w:rsidR="00A72356" w:rsidRDefault="00A72356">
      <w:pPr>
        <w:pStyle w:val="Standard"/>
        <w:rPr>
          <w:sz w:val="24"/>
          <w:szCs w:val="24"/>
        </w:rPr>
      </w:pPr>
    </w:p>
    <w:p w:rsidR="00A72356" w:rsidRDefault="000C069E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A72356" w:rsidRDefault="00A72356">
      <w:pPr>
        <w:pStyle w:val="Standard"/>
        <w:rPr>
          <w:sz w:val="24"/>
          <w:szCs w:val="24"/>
        </w:rPr>
      </w:pPr>
    </w:p>
    <w:p w:rsidR="00A72356" w:rsidRDefault="000C069E">
      <w:pPr>
        <w:pStyle w:val="Textbody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</w:t>
      </w:r>
    </w:p>
    <w:p w:rsidR="00A72356" w:rsidRPr="00C75582" w:rsidRDefault="000C069E" w:rsidP="00C75582">
      <w:pPr>
        <w:pStyle w:val="Textbody"/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SPRENDIMO „</w:t>
      </w:r>
      <w:r w:rsidR="00C75582" w:rsidRPr="000E73AF">
        <w:rPr>
          <w:b/>
          <w:bCs/>
          <w:sz w:val="24"/>
          <w:szCs w:val="24"/>
        </w:rPr>
        <w:t xml:space="preserve">DĖL </w:t>
      </w:r>
      <w:r w:rsidR="00C75582" w:rsidRPr="000E73AF">
        <w:rPr>
          <w:b/>
          <w:sz w:val="24"/>
          <w:szCs w:val="24"/>
        </w:rPr>
        <w:t>VŠĮ VELŽIO KOMUNALINIO ŪKIO ATLIEKAMŲ STATINIŲ (NEGYVENAMŲJŲ PASTATŲ) TECHNINĖS PRIEŽIŪROS PASLAUGŲ MOKESČIO TARIF</w:t>
      </w:r>
      <w:r w:rsidR="00C75582">
        <w:rPr>
          <w:b/>
          <w:sz w:val="24"/>
          <w:szCs w:val="24"/>
        </w:rPr>
        <w:t>O</w:t>
      </w:r>
      <w:r w:rsidR="00C75582" w:rsidRPr="000E73AF">
        <w:rPr>
          <w:b/>
          <w:sz w:val="24"/>
          <w:szCs w:val="24"/>
        </w:rPr>
        <w:t xml:space="preserve"> APSKAIČIAVIMO METODIKOS PA</w:t>
      </w:r>
      <w:r w:rsidR="00C75582" w:rsidRPr="000E73AF">
        <w:rPr>
          <w:b/>
          <w:bCs/>
          <w:sz w:val="24"/>
          <w:szCs w:val="24"/>
        </w:rPr>
        <w:t>TVIRTINIMO</w:t>
      </w:r>
      <w:r>
        <w:rPr>
          <w:b/>
          <w:sz w:val="24"/>
          <w:szCs w:val="24"/>
        </w:rPr>
        <w:t>“ PROJEKTO</w:t>
      </w:r>
    </w:p>
    <w:p w:rsidR="00A72356" w:rsidRDefault="00A72356">
      <w:pPr>
        <w:pStyle w:val="Standard"/>
        <w:jc w:val="center"/>
        <w:rPr>
          <w:sz w:val="24"/>
          <w:szCs w:val="24"/>
        </w:rPr>
      </w:pPr>
    </w:p>
    <w:p w:rsidR="00A72356" w:rsidRDefault="000C069E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E7625C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A46C97">
        <w:rPr>
          <w:sz w:val="24"/>
          <w:szCs w:val="24"/>
        </w:rPr>
        <w:t>gegužės</w:t>
      </w:r>
      <w:r w:rsidR="00D85C2B">
        <w:rPr>
          <w:sz w:val="24"/>
          <w:szCs w:val="24"/>
        </w:rPr>
        <w:t xml:space="preserve"> </w:t>
      </w:r>
      <w:r w:rsidR="00A46C97">
        <w:rPr>
          <w:sz w:val="24"/>
          <w:szCs w:val="24"/>
        </w:rPr>
        <w:t>9</w:t>
      </w:r>
      <w:r>
        <w:rPr>
          <w:sz w:val="24"/>
          <w:szCs w:val="24"/>
        </w:rPr>
        <w:t xml:space="preserve"> d.</w:t>
      </w:r>
    </w:p>
    <w:p w:rsidR="00A72356" w:rsidRDefault="000C069E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72356" w:rsidRDefault="00A72356">
      <w:pPr>
        <w:pStyle w:val="Standard"/>
        <w:jc w:val="center"/>
        <w:rPr>
          <w:sz w:val="24"/>
          <w:szCs w:val="24"/>
        </w:rPr>
      </w:pPr>
    </w:p>
    <w:p w:rsidR="00A72356" w:rsidRDefault="000C069E">
      <w:pPr>
        <w:pStyle w:val="Standard"/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</w:p>
    <w:p w:rsidR="0015574C" w:rsidRDefault="00302FC3">
      <w:pPr>
        <w:pStyle w:val="Standard"/>
        <w:tabs>
          <w:tab w:val="right" w:pos="-7371"/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VšĮ</w:t>
      </w:r>
      <w:r w:rsidR="00411ABD">
        <w:rPr>
          <w:sz w:val="24"/>
          <w:szCs w:val="24"/>
        </w:rPr>
        <w:t xml:space="preserve"> Velžio komunalinio ūkio 2018-04-13 raštas Nr. S4-35 „Dėl </w:t>
      </w:r>
      <w:r>
        <w:rPr>
          <w:sz w:val="24"/>
          <w:szCs w:val="24"/>
        </w:rPr>
        <w:t>D</w:t>
      </w:r>
      <w:r w:rsidR="00411ABD">
        <w:rPr>
          <w:sz w:val="24"/>
          <w:szCs w:val="24"/>
        </w:rPr>
        <w:t>augiabučių gyvenamųjų namų bendrojo naudojimo objektų ir kitų pastatų techninės priežiūros mokesčio tarifo apskaičiavimo tvarkos aprašo patvirtinimo“.</w:t>
      </w:r>
      <w:r w:rsidR="009F7C81">
        <w:rPr>
          <w:sz w:val="24"/>
          <w:szCs w:val="24"/>
        </w:rPr>
        <w:t xml:space="preserve"> </w:t>
      </w:r>
    </w:p>
    <w:p w:rsidR="00A72356" w:rsidRDefault="000C069E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A72356" w:rsidRDefault="00411ABD">
      <w:pPr>
        <w:pStyle w:val="Standard"/>
        <w:tabs>
          <w:tab w:val="left" w:pos="993"/>
        </w:tabs>
        <w:ind w:firstLine="720"/>
        <w:jc w:val="both"/>
      </w:pPr>
      <w:r>
        <w:rPr>
          <w:color w:val="000000"/>
          <w:spacing w:val="-1"/>
          <w:sz w:val="24"/>
          <w:szCs w:val="24"/>
        </w:rPr>
        <w:t>Lietuvos Respublikos vietos savivaldos įstatymo 16 straipsnio 2 dalies 37 punkte numatyta, kad Savivaldybės taryba nustato kainas už viešųjų įstaigų (kurių dalininkė savivaldybė) teikiamas atlygintinas paslaugas. Atsižvelgiant į VšĮ Velžio komunalinio ūkio prašymą ir pateiktus paskaičiavimus, parengtas sprendimo projektas</w:t>
      </w:r>
      <w:r w:rsidR="000C069E">
        <w:rPr>
          <w:sz w:val="24"/>
          <w:szCs w:val="24"/>
        </w:rPr>
        <w:t>.</w:t>
      </w:r>
    </w:p>
    <w:p w:rsidR="00A72356" w:rsidRDefault="000C069E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A72356" w:rsidRDefault="00411ABD">
      <w:pPr>
        <w:pStyle w:val="Standard"/>
        <w:tabs>
          <w:tab w:val="left" w:pos="993"/>
        </w:tabs>
        <w:ind w:firstLine="720"/>
        <w:jc w:val="both"/>
        <w:rPr>
          <w:bCs/>
          <w:sz w:val="24"/>
        </w:rPr>
      </w:pPr>
      <w:r>
        <w:rPr>
          <w:color w:val="000000"/>
          <w:spacing w:val="-3"/>
          <w:sz w:val="24"/>
          <w:szCs w:val="24"/>
        </w:rPr>
        <w:t>Bus patvirtintos teikiamų atlygintinų paslaugų kainos</w:t>
      </w:r>
      <w:r w:rsidR="000C069E">
        <w:rPr>
          <w:bCs/>
          <w:sz w:val="24"/>
        </w:rPr>
        <w:t>.</w:t>
      </w:r>
    </w:p>
    <w:p w:rsidR="00A72356" w:rsidRDefault="000C069E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72356" w:rsidRDefault="000C069E">
      <w:pPr>
        <w:pStyle w:val="Standard"/>
        <w:ind w:right="72" w:firstLine="720"/>
        <w:jc w:val="both"/>
        <w:rPr>
          <w:rFonts w:ascii="TimesNewRoman" w:hAnsi="TimesNewRoman" w:cs="TimesNewRomanPS-BoldMT"/>
          <w:bCs/>
          <w:sz w:val="24"/>
          <w:szCs w:val="24"/>
        </w:rPr>
      </w:pPr>
      <w:r>
        <w:rPr>
          <w:rFonts w:ascii="TimesNewRoman" w:hAnsi="TimesNewRoman" w:cs="TimesNewRomanPS-BoldMT"/>
          <w:bCs/>
          <w:sz w:val="24"/>
          <w:szCs w:val="24"/>
        </w:rPr>
        <w:t>Neigiamų pasekmių nėra.</w:t>
      </w:r>
    </w:p>
    <w:p w:rsidR="00A72356" w:rsidRDefault="000C069E">
      <w:pPr>
        <w:pStyle w:val="Standard"/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A72356" w:rsidRPr="00C979C2" w:rsidRDefault="00EA0035" w:rsidP="00C979C2">
      <w:pPr>
        <w:tabs>
          <w:tab w:val="left" w:pos="170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Nereikia</w:t>
      </w:r>
      <w:r w:rsidR="00C979C2">
        <w:rPr>
          <w:sz w:val="24"/>
          <w:szCs w:val="24"/>
        </w:rPr>
        <w:t>.</w:t>
      </w:r>
    </w:p>
    <w:p w:rsidR="00A72356" w:rsidRDefault="000C069E">
      <w:pPr>
        <w:pStyle w:val="Standard"/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72356" w:rsidRDefault="00411ABD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Sprendimo įgyvendinimui savivaldybės lėšos nereikalingos</w:t>
      </w:r>
      <w:r w:rsidR="000C069E">
        <w:rPr>
          <w:sz w:val="24"/>
          <w:szCs w:val="24"/>
        </w:rPr>
        <w:t>.</w:t>
      </w:r>
    </w:p>
    <w:p w:rsidR="00A72356" w:rsidRDefault="000C069E" w:rsidP="00766D00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projektui antikorupcinis vertinimas </w:t>
      </w:r>
      <w:r w:rsidR="00411ABD">
        <w:rPr>
          <w:sz w:val="24"/>
          <w:szCs w:val="24"/>
        </w:rPr>
        <w:t>atliktas</w:t>
      </w:r>
      <w:r>
        <w:rPr>
          <w:sz w:val="24"/>
          <w:szCs w:val="24"/>
        </w:rPr>
        <w:t>.</w:t>
      </w:r>
    </w:p>
    <w:p w:rsidR="0009068C" w:rsidRDefault="0009068C">
      <w:pPr>
        <w:pStyle w:val="Standard"/>
        <w:suppressAutoHyphens w:val="0"/>
        <w:jc w:val="center"/>
        <w:rPr>
          <w:sz w:val="24"/>
          <w:szCs w:val="24"/>
          <w:lang w:eastAsia="lt-LT"/>
        </w:rPr>
      </w:pPr>
    </w:p>
    <w:p w:rsidR="00A72356" w:rsidRDefault="0009068C" w:rsidP="0009068C">
      <w:pPr>
        <w:pStyle w:val="Standard"/>
        <w:suppressAutoHyphens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Vedėjas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           </w:t>
      </w:r>
      <w:r>
        <w:rPr>
          <w:sz w:val="24"/>
          <w:szCs w:val="24"/>
          <w:lang w:eastAsia="lt-LT"/>
        </w:rPr>
        <w:tab/>
        <w:t xml:space="preserve">                                                  R</w:t>
      </w:r>
      <w:r w:rsidR="000C069E">
        <w:rPr>
          <w:sz w:val="24"/>
          <w:szCs w:val="24"/>
          <w:lang w:eastAsia="lt-LT"/>
        </w:rPr>
        <w:t>im</w:t>
      </w:r>
      <w:r>
        <w:rPr>
          <w:sz w:val="24"/>
          <w:szCs w:val="24"/>
          <w:lang w:eastAsia="lt-LT"/>
        </w:rPr>
        <w:t>as</w:t>
      </w:r>
      <w:r w:rsidR="000C069E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S</w:t>
      </w:r>
      <w:r>
        <w:rPr>
          <w:sz w:val="24"/>
          <w:szCs w:val="24"/>
          <w:lang w:eastAsia="lt-LT"/>
        </w:rPr>
        <w:t>a</w:t>
      </w:r>
      <w:r>
        <w:rPr>
          <w:sz w:val="24"/>
          <w:szCs w:val="24"/>
          <w:lang w:eastAsia="lt-LT"/>
        </w:rPr>
        <w:t>mkus</w:t>
      </w:r>
    </w:p>
    <w:sectPr w:rsidR="00A72356" w:rsidSect="00E60228">
      <w:pgSz w:w="11906" w:h="16838"/>
      <w:pgMar w:top="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7CE" w:rsidRDefault="00C147CE">
      <w:r>
        <w:separator/>
      </w:r>
    </w:p>
  </w:endnote>
  <w:endnote w:type="continuationSeparator" w:id="0">
    <w:p w:rsidR="00C147CE" w:rsidRDefault="00C14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TimesNewRomanPS-BoldMT"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BA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1A6" w:rsidRDefault="000C069E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7CE" w:rsidRDefault="00C147CE">
      <w:r>
        <w:rPr>
          <w:color w:val="000000"/>
        </w:rPr>
        <w:separator/>
      </w:r>
    </w:p>
  </w:footnote>
  <w:footnote w:type="continuationSeparator" w:id="0">
    <w:p w:rsidR="00C147CE" w:rsidRDefault="00C147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615AD"/>
    <w:multiLevelType w:val="hybridMultilevel"/>
    <w:tmpl w:val="1F4E754A"/>
    <w:lvl w:ilvl="0" w:tplc="05A83EFE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433B6D"/>
    <w:multiLevelType w:val="hybridMultilevel"/>
    <w:tmpl w:val="0A54B77E"/>
    <w:lvl w:ilvl="0" w:tplc="33C43C5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73BC8"/>
    <w:multiLevelType w:val="hybridMultilevel"/>
    <w:tmpl w:val="2004B9DA"/>
    <w:lvl w:ilvl="0" w:tplc="E200C5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49D0A90"/>
    <w:multiLevelType w:val="hybridMultilevel"/>
    <w:tmpl w:val="2004B9DA"/>
    <w:lvl w:ilvl="0" w:tplc="E200C5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autoHyphenation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356"/>
    <w:rsid w:val="0009068C"/>
    <w:rsid w:val="00092B13"/>
    <w:rsid w:val="00092D18"/>
    <w:rsid w:val="000B657A"/>
    <w:rsid w:val="000C069E"/>
    <w:rsid w:val="000E73AF"/>
    <w:rsid w:val="000F3624"/>
    <w:rsid w:val="00114081"/>
    <w:rsid w:val="00115EAB"/>
    <w:rsid w:val="00120608"/>
    <w:rsid w:val="00130A43"/>
    <w:rsid w:val="0015574C"/>
    <w:rsid w:val="001A71AC"/>
    <w:rsid w:val="001C5320"/>
    <w:rsid w:val="001E0C31"/>
    <w:rsid w:val="0022033F"/>
    <w:rsid w:val="002A21B1"/>
    <w:rsid w:val="002A5A6A"/>
    <w:rsid w:val="00302FC3"/>
    <w:rsid w:val="003136AF"/>
    <w:rsid w:val="00320C50"/>
    <w:rsid w:val="003B2EC0"/>
    <w:rsid w:val="003C553C"/>
    <w:rsid w:val="00411ABD"/>
    <w:rsid w:val="00421832"/>
    <w:rsid w:val="00425738"/>
    <w:rsid w:val="00426092"/>
    <w:rsid w:val="00431AFB"/>
    <w:rsid w:val="00440DDB"/>
    <w:rsid w:val="00476427"/>
    <w:rsid w:val="00484AFF"/>
    <w:rsid w:val="004A0B16"/>
    <w:rsid w:val="004D1D4A"/>
    <w:rsid w:val="0053468B"/>
    <w:rsid w:val="005532B6"/>
    <w:rsid w:val="00585950"/>
    <w:rsid w:val="00645D9B"/>
    <w:rsid w:val="00686A60"/>
    <w:rsid w:val="006C38EC"/>
    <w:rsid w:val="006C6151"/>
    <w:rsid w:val="006E6C2E"/>
    <w:rsid w:val="006F55BA"/>
    <w:rsid w:val="0072691D"/>
    <w:rsid w:val="0075256D"/>
    <w:rsid w:val="00753532"/>
    <w:rsid w:val="00760A4B"/>
    <w:rsid w:val="00766D00"/>
    <w:rsid w:val="00783181"/>
    <w:rsid w:val="007C1CA0"/>
    <w:rsid w:val="007C2D3A"/>
    <w:rsid w:val="007C5964"/>
    <w:rsid w:val="007D43E7"/>
    <w:rsid w:val="007D513A"/>
    <w:rsid w:val="007E4C4E"/>
    <w:rsid w:val="007E7734"/>
    <w:rsid w:val="007F07E9"/>
    <w:rsid w:val="00805ECA"/>
    <w:rsid w:val="0083321C"/>
    <w:rsid w:val="00841D0D"/>
    <w:rsid w:val="0085327F"/>
    <w:rsid w:val="008B3BD8"/>
    <w:rsid w:val="008B6518"/>
    <w:rsid w:val="008D4C9D"/>
    <w:rsid w:val="008D6B3D"/>
    <w:rsid w:val="008F3C40"/>
    <w:rsid w:val="00901274"/>
    <w:rsid w:val="009372E3"/>
    <w:rsid w:val="00941B28"/>
    <w:rsid w:val="009A2701"/>
    <w:rsid w:val="009A2E3C"/>
    <w:rsid w:val="009F7C81"/>
    <w:rsid w:val="009F7E72"/>
    <w:rsid w:val="00A2008C"/>
    <w:rsid w:val="00A269D3"/>
    <w:rsid w:val="00A46C97"/>
    <w:rsid w:val="00A72356"/>
    <w:rsid w:val="00A7635A"/>
    <w:rsid w:val="00A8362A"/>
    <w:rsid w:val="00AA1CF5"/>
    <w:rsid w:val="00AB244C"/>
    <w:rsid w:val="00B068F6"/>
    <w:rsid w:val="00B94594"/>
    <w:rsid w:val="00BB1AB4"/>
    <w:rsid w:val="00BF76BC"/>
    <w:rsid w:val="00C147CE"/>
    <w:rsid w:val="00C611A6"/>
    <w:rsid w:val="00C75582"/>
    <w:rsid w:val="00C90BB8"/>
    <w:rsid w:val="00C979C2"/>
    <w:rsid w:val="00CC2C7F"/>
    <w:rsid w:val="00D003E1"/>
    <w:rsid w:val="00D36E1A"/>
    <w:rsid w:val="00D45D49"/>
    <w:rsid w:val="00D51035"/>
    <w:rsid w:val="00D80D53"/>
    <w:rsid w:val="00D85C2B"/>
    <w:rsid w:val="00DB570C"/>
    <w:rsid w:val="00DC3722"/>
    <w:rsid w:val="00DD39AD"/>
    <w:rsid w:val="00E420F5"/>
    <w:rsid w:val="00E50CCB"/>
    <w:rsid w:val="00E57FA1"/>
    <w:rsid w:val="00E60228"/>
    <w:rsid w:val="00E7625C"/>
    <w:rsid w:val="00EA0035"/>
    <w:rsid w:val="00EC0EE2"/>
    <w:rsid w:val="00EC166A"/>
    <w:rsid w:val="00EF0372"/>
    <w:rsid w:val="00F01724"/>
    <w:rsid w:val="00F27199"/>
    <w:rsid w:val="00F408E1"/>
    <w:rsid w:val="00F9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228"/>
    <w:pPr>
      <w:widowControl w:val="0"/>
      <w:suppressAutoHyphens/>
      <w:autoSpaceDN w:val="0"/>
      <w:textAlignment w:val="baseline"/>
    </w:pPr>
    <w:rPr>
      <w:kern w:val="3"/>
    </w:rPr>
  </w:style>
  <w:style w:type="paragraph" w:styleId="Heading2">
    <w:name w:val="heading 2"/>
    <w:basedOn w:val="Normal"/>
    <w:next w:val="BodyText"/>
    <w:link w:val="Heading2Char"/>
    <w:qFormat/>
    <w:rsid w:val="00092D18"/>
    <w:pPr>
      <w:keepNext/>
      <w:widowControl/>
      <w:numPr>
        <w:ilvl w:val="1"/>
        <w:numId w:val="1"/>
      </w:numPr>
      <w:autoSpaceDN/>
      <w:jc w:val="center"/>
      <w:textAlignment w:val="auto"/>
      <w:outlineLvl w:val="1"/>
    </w:pPr>
    <w:rPr>
      <w:b/>
      <w:caps/>
      <w:kern w:val="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60228"/>
    <w:pPr>
      <w:suppressAutoHyphens/>
      <w:autoSpaceDN w:val="0"/>
      <w:textAlignment w:val="baseline"/>
    </w:pPr>
    <w:rPr>
      <w:kern w:val="3"/>
      <w:lang w:eastAsia="ar-SA"/>
    </w:rPr>
  </w:style>
  <w:style w:type="paragraph" w:styleId="Title">
    <w:name w:val="Title"/>
    <w:basedOn w:val="Standard"/>
    <w:next w:val="Textbody"/>
    <w:rsid w:val="00E6022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60228"/>
    <w:pPr>
      <w:spacing w:after="120"/>
    </w:pPr>
  </w:style>
  <w:style w:type="paragraph" w:styleId="Subtitle">
    <w:name w:val="Subtitle"/>
    <w:basedOn w:val="Title"/>
    <w:next w:val="Textbody"/>
    <w:rsid w:val="00E60228"/>
    <w:pPr>
      <w:jc w:val="center"/>
    </w:pPr>
    <w:rPr>
      <w:i/>
      <w:iCs/>
    </w:rPr>
  </w:style>
  <w:style w:type="paragraph" w:styleId="List">
    <w:name w:val="List"/>
    <w:basedOn w:val="Textbody"/>
    <w:rsid w:val="00E60228"/>
    <w:rPr>
      <w:rFonts w:cs="Mangal"/>
    </w:rPr>
  </w:style>
  <w:style w:type="paragraph" w:styleId="Caption">
    <w:name w:val="caption"/>
    <w:basedOn w:val="Standard"/>
    <w:rsid w:val="00E6022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60228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E6022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E60228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E60228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E60228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E60228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Footer">
    <w:name w:val="footer"/>
    <w:basedOn w:val="Standard"/>
    <w:rsid w:val="00E60228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E60228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E60228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E60228"/>
    <w:pPr>
      <w:suppressLineNumbers/>
    </w:pPr>
  </w:style>
  <w:style w:type="paragraph" w:customStyle="1" w:styleId="TableHeading">
    <w:name w:val="Table Heading"/>
    <w:basedOn w:val="TableContents"/>
    <w:rsid w:val="00E60228"/>
    <w:pPr>
      <w:jc w:val="center"/>
    </w:pPr>
    <w:rPr>
      <w:b/>
      <w:bCs/>
    </w:rPr>
  </w:style>
  <w:style w:type="character" w:customStyle="1" w:styleId="DefaultParagraphFont1">
    <w:name w:val="Default Paragraph Font1"/>
    <w:rsid w:val="00E60228"/>
  </w:style>
  <w:style w:type="character" w:customStyle="1" w:styleId="Raminta">
    <w:name w:val="Raminta"/>
    <w:rsid w:val="00E60228"/>
    <w:rPr>
      <w:color w:val="000000"/>
    </w:rPr>
  </w:style>
  <w:style w:type="character" w:customStyle="1" w:styleId="BalloonTextChar">
    <w:name w:val="Balloon Text Char"/>
    <w:rsid w:val="00E60228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sid w:val="00E60228"/>
    <w:rPr>
      <w:kern w:val="3"/>
    </w:rPr>
  </w:style>
  <w:style w:type="character" w:customStyle="1" w:styleId="HeaderChar">
    <w:name w:val="Header Char"/>
    <w:rsid w:val="00E60228"/>
    <w:rPr>
      <w:kern w:val="3"/>
    </w:rPr>
  </w:style>
  <w:style w:type="character" w:customStyle="1" w:styleId="FooterChar">
    <w:name w:val="Footer Char"/>
    <w:rsid w:val="00E60228"/>
  </w:style>
  <w:style w:type="character" w:customStyle="1" w:styleId="ListLabel1">
    <w:name w:val="ListLabel 1"/>
    <w:rsid w:val="00E60228"/>
    <w:rPr>
      <w:rFonts w:eastAsia="Times New Roman" w:cs="TimesNewRomanPS-BoldMT"/>
    </w:rPr>
  </w:style>
  <w:style w:type="character" w:customStyle="1" w:styleId="ListLabel2">
    <w:name w:val="ListLabel 2"/>
    <w:rsid w:val="00E60228"/>
    <w:rPr>
      <w:rFonts w:cs="Courier New"/>
    </w:rPr>
  </w:style>
  <w:style w:type="character" w:customStyle="1" w:styleId="ListLabel3">
    <w:name w:val="ListLabel 3"/>
    <w:rsid w:val="00E60228"/>
    <w:rPr>
      <w:color w:val="000000"/>
    </w:rPr>
  </w:style>
  <w:style w:type="character" w:customStyle="1" w:styleId="HeaderChar1">
    <w:name w:val="Header Char1"/>
    <w:rsid w:val="00E60228"/>
    <w:rPr>
      <w:kern w:val="3"/>
      <w:lang w:eastAsia="ar-SA"/>
    </w:rPr>
  </w:style>
  <w:style w:type="character" w:customStyle="1" w:styleId="BalloonTextChar1">
    <w:name w:val="Balloon Text Char1"/>
    <w:rsid w:val="00E60228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E60228"/>
    <w:rPr>
      <w:kern w:val="3"/>
      <w:lang w:eastAsia="ar-SA"/>
    </w:rPr>
  </w:style>
  <w:style w:type="table" w:styleId="TableGrid">
    <w:name w:val="Table Grid"/>
    <w:basedOn w:val="TableNormal"/>
    <w:uiPriority w:val="39"/>
    <w:rsid w:val="00D51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2691D"/>
    <w:pPr>
      <w:widowControl w:val="0"/>
      <w:suppressAutoHyphens/>
      <w:autoSpaceDN w:val="0"/>
      <w:textAlignment w:val="baseline"/>
    </w:pPr>
    <w:rPr>
      <w:kern w:val="3"/>
    </w:rPr>
  </w:style>
  <w:style w:type="character" w:customStyle="1" w:styleId="Heading2Char">
    <w:name w:val="Heading 2 Char"/>
    <w:basedOn w:val="DefaultParagraphFont"/>
    <w:link w:val="Heading2"/>
    <w:rsid w:val="00092D18"/>
    <w:rPr>
      <w:b/>
      <w:caps/>
      <w:lang w:eastAsia="ar-SA"/>
    </w:rPr>
  </w:style>
  <w:style w:type="paragraph" w:styleId="BodyText">
    <w:name w:val="Body Text"/>
    <w:basedOn w:val="Normal"/>
    <w:link w:val="BodyTextChar2"/>
    <w:uiPriority w:val="99"/>
    <w:semiHidden/>
    <w:unhideWhenUsed/>
    <w:rsid w:val="00092D18"/>
    <w:pPr>
      <w:spacing w:after="120"/>
    </w:pPr>
  </w:style>
  <w:style w:type="character" w:customStyle="1" w:styleId="BodyTextChar2">
    <w:name w:val="Body Text Char2"/>
    <w:basedOn w:val="DefaultParagraphFont"/>
    <w:link w:val="BodyText"/>
    <w:uiPriority w:val="99"/>
    <w:semiHidden/>
    <w:rsid w:val="00092D18"/>
    <w:rPr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87C6F-24CA-422D-A936-9B07F3CD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5553</Words>
  <Characters>3166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user</cp:lastModifiedBy>
  <cp:revision>2</cp:revision>
  <cp:lastPrinted>2018-05-17T11:49:00Z</cp:lastPrinted>
  <dcterms:created xsi:type="dcterms:W3CDTF">2018-05-17T11:52:00Z</dcterms:created>
  <dcterms:modified xsi:type="dcterms:W3CDTF">2018-05-17T11:52:00Z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