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24" w:rsidRPr="001D570E" w:rsidRDefault="002D0F24" w:rsidP="001D570E">
      <w:pPr>
        <w:tabs>
          <w:tab w:val="left" w:pos="6379"/>
          <w:tab w:val="left" w:pos="7938"/>
        </w:tabs>
        <w:suppressAutoHyphens/>
        <w:ind w:firstLine="12500"/>
        <w:jc w:val="both"/>
        <w:rPr>
          <w:sz w:val="20"/>
          <w:lang w:eastAsia="ar-SA"/>
        </w:rPr>
      </w:pPr>
      <w:r w:rsidRPr="001D570E">
        <w:rPr>
          <w:sz w:val="20"/>
          <w:lang w:eastAsia="ar-SA"/>
        </w:rPr>
        <w:t xml:space="preserve">Integruotų teritorijų vystymo programų </w:t>
      </w:r>
    </w:p>
    <w:p w:rsidR="002D0F24" w:rsidRPr="001D570E" w:rsidRDefault="002D0F24" w:rsidP="001D570E">
      <w:pPr>
        <w:tabs>
          <w:tab w:val="left" w:pos="6379"/>
          <w:tab w:val="left" w:pos="7938"/>
        </w:tabs>
        <w:suppressAutoHyphens/>
        <w:ind w:firstLine="12500"/>
        <w:jc w:val="both"/>
        <w:rPr>
          <w:sz w:val="20"/>
          <w:lang w:eastAsia="ar-SA"/>
        </w:rPr>
      </w:pPr>
      <w:r w:rsidRPr="001D570E">
        <w:rPr>
          <w:sz w:val="20"/>
          <w:lang w:eastAsia="ar-SA"/>
        </w:rPr>
        <w:t>rengimo ir įgyvendinimo gairių</w:t>
      </w:r>
    </w:p>
    <w:p w:rsidR="002D0F24" w:rsidRPr="001D570E" w:rsidRDefault="002D0F24" w:rsidP="001D570E">
      <w:pPr>
        <w:tabs>
          <w:tab w:val="left" w:pos="6379"/>
          <w:tab w:val="left" w:pos="7938"/>
        </w:tabs>
        <w:suppressAutoHyphens/>
        <w:ind w:firstLine="12500"/>
        <w:jc w:val="both"/>
        <w:rPr>
          <w:caps/>
          <w:sz w:val="20"/>
          <w:lang w:eastAsia="ar-SA"/>
        </w:rPr>
      </w:pPr>
      <w:r w:rsidRPr="001D570E">
        <w:rPr>
          <w:sz w:val="20"/>
          <w:lang w:eastAsia="ar-SA"/>
        </w:rPr>
        <w:t>5 priedas</w:t>
      </w:r>
    </w:p>
    <w:p w:rsidR="002D0F24" w:rsidRDefault="002D0F24" w:rsidP="00AE5F44">
      <w:pPr>
        <w:tabs>
          <w:tab w:val="center" w:pos="4819"/>
          <w:tab w:val="right" w:pos="9638"/>
        </w:tabs>
        <w:suppressAutoHyphens/>
        <w:ind w:firstLine="720"/>
        <w:jc w:val="both"/>
        <w:rPr>
          <w:szCs w:val="24"/>
          <w:lang w:eastAsia="ar-SA"/>
        </w:rPr>
      </w:pPr>
    </w:p>
    <w:p w:rsidR="002D0F24" w:rsidRDefault="002D0F24" w:rsidP="00EF1C73">
      <w:pPr>
        <w:suppressAutoHyphens/>
        <w:ind w:firstLine="720"/>
        <w:jc w:val="center"/>
        <w:rPr>
          <w:b/>
          <w:bCs/>
          <w:caps/>
          <w:sz w:val="22"/>
          <w:szCs w:val="22"/>
          <w:lang w:eastAsia="ar-SA"/>
        </w:rPr>
      </w:pPr>
      <w:r>
        <w:rPr>
          <w:b/>
          <w:bCs/>
          <w:caps/>
          <w:sz w:val="22"/>
          <w:szCs w:val="22"/>
          <w:lang w:eastAsia="ar-SA"/>
        </w:rPr>
        <w:t>programos įgyvendinimo ataskaita</w:t>
      </w:r>
    </w:p>
    <w:p w:rsidR="002D0F24" w:rsidRPr="00F461D5" w:rsidRDefault="002D0F24" w:rsidP="00F461D5">
      <w:pPr>
        <w:suppressAutoHyphens/>
        <w:ind w:firstLine="720"/>
        <w:jc w:val="center"/>
        <w:rPr>
          <w:b/>
          <w:bCs/>
          <w:sz w:val="22"/>
          <w:szCs w:val="22"/>
          <w:u w:val="single"/>
          <w:lang w:eastAsia="ar-SA"/>
        </w:rPr>
      </w:pPr>
      <w:r w:rsidRPr="00F461D5">
        <w:rPr>
          <w:b/>
          <w:bCs/>
          <w:sz w:val="22"/>
          <w:szCs w:val="22"/>
          <w:u w:val="single"/>
          <w:lang w:eastAsia="ar-SA"/>
        </w:rPr>
        <w:t>Panevėžio rajono savivaldybės administracija</w:t>
      </w:r>
    </w:p>
    <w:p w:rsidR="002D0F24" w:rsidRDefault="002D0F24" w:rsidP="00EF1C73">
      <w:pPr>
        <w:suppressAutoHyphens/>
        <w:ind w:firstLine="720"/>
        <w:jc w:val="center"/>
        <w:rPr>
          <w:b/>
          <w:bCs/>
          <w:sz w:val="22"/>
          <w:szCs w:val="22"/>
          <w:lang w:eastAsia="ar-SA"/>
        </w:rPr>
      </w:pPr>
    </w:p>
    <w:p w:rsidR="002D0F24" w:rsidRDefault="002D0F24" w:rsidP="00EF1C73">
      <w:pPr>
        <w:suppressAutoHyphens/>
        <w:ind w:firstLine="720"/>
        <w:jc w:val="center"/>
        <w:rPr>
          <w:b/>
          <w:color w:val="000000"/>
          <w:szCs w:val="22"/>
          <w:lang w:eastAsia="ar-SA"/>
        </w:rPr>
      </w:pPr>
      <w:r>
        <w:rPr>
          <w:b/>
          <w:color w:val="000000"/>
          <w:szCs w:val="22"/>
          <w:lang w:eastAsia="ar-SA"/>
        </w:rPr>
        <w:t>I SKYRIUS</w:t>
      </w:r>
    </w:p>
    <w:p w:rsidR="002D0F24" w:rsidRDefault="002D0F24" w:rsidP="00EF1C73">
      <w:pPr>
        <w:suppressAutoHyphens/>
        <w:ind w:firstLine="720"/>
        <w:jc w:val="center"/>
        <w:rPr>
          <w:b/>
          <w:bCs/>
          <w:caps/>
          <w:szCs w:val="24"/>
          <w:lang w:eastAsia="ar-SA"/>
        </w:rPr>
      </w:pPr>
      <w:r>
        <w:rPr>
          <w:b/>
          <w:iCs/>
          <w:szCs w:val="24"/>
          <w:lang w:eastAsia="ar-SA"/>
        </w:rPr>
        <w:t>SITUACIJOS ANALIZĖJE NAGRINĖTŲ IR SSGG LENTELĖJE NURODYTŲ VEIKSNIŲ</w:t>
      </w:r>
      <w:r>
        <w:rPr>
          <w:b/>
          <w:color w:val="000000"/>
          <w:szCs w:val="24"/>
          <w:lang w:eastAsia="ar-SA"/>
        </w:rPr>
        <w:t xml:space="preserve"> POKYČIAI</w:t>
      </w:r>
    </w:p>
    <w:p w:rsidR="002D0F24" w:rsidRDefault="002D0F24" w:rsidP="00EF1C73">
      <w:pPr>
        <w:suppressAutoHyphens/>
        <w:ind w:firstLine="720"/>
        <w:jc w:val="center"/>
        <w:rPr>
          <w:b/>
          <w:bCs/>
          <w:caps/>
          <w:szCs w:val="24"/>
          <w:lang w:eastAsia="ar-SA"/>
        </w:rPr>
      </w:pPr>
    </w:p>
    <w:p w:rsidR="002D0F24" w:rsidRPr="00B03579" w:rsidRDefault="002D0F24" w:rsidP="00EF1C73">
      <w:pPr>
        <w:suppressAutoHyphens/>
        <w:ind w:firstLine="425"/>
        <w:jc w:val="both"/>
        <w:rPr>
          <w:iCs/>
          <w:sz w:val="22"/>
          <w:szCs w:val="22"/>
          <w:lang w:eastAsia="ar-SA"/>
        </w:rPr>
      </w:pPr>
      <w:r w:rsidRPr="00B03579">
        <w:rPr>
          <w:iCs/>
          <w:sz w:val="22"/>
          <w:szCs w:val="22"/>
          <w:lang w:eastAsia="ar-SA"/>
        </w:rPr>
        <w:t>1. Situacijos analizėje nagrinėtų ir SSGG lentelėje nurodytų veiksnių pokyčių įvertinimas praėjusiais metais*.</w:t>
      </w:r>
    </w:p>
    <w:p w:rsidR="002D0F24" w:rsidRPr="00B03579" w:rsidRDefault="002D0F24" w:rsidP="00EF1C73">
      <w:pPr>
        <w:suppressAutoHyphens/>
        <w:ind w:firstLine="425"/>
        <w:jc w:val="both"/>
        <w:rPr>
          <w:iCs/>
          <w:sz w:val="22"/>
          <w:szCs w:val="22"/>
          <w:lang w:eastAsia="ar-SA"/>
        </w:rPr>
      </w:pPr>
      <w:r w:rsidRPr="00B03579">
        <w:rPr>
          <w:iCs/>
          <w:sz w:val="22"/>
          <w:szCs w:val="22"/>
          <w:lang w:eastAsia="ar-SA"/>
        </w:rPr>
        <w:t>2. Situacijos analizėje nagrinėtų ir SSGG lentelėje nurodytų veiksnių pokyčių įvertinimas nuo programos įgyvendinimo pradžios*.</w:t>
      </w:r>
    </w:p>
    <w:p w:rsidR="002D0F24" w:rsidRPr="00B03579" w:rsidRDefault="002D0F24" w:rsidP="00F461D5">
      <w:pPr>
        <w:suppressAutoHyphens/>
        <w:ind w:firstLine="425"/>
        <w:jc w:val="both"/>
        <w:rPr>
          <w:i/>
          <w:iCs/>
          <w:sz w:val="22"/>
          <w:szCs w:val="22"/>
          <w:lang w:eastAsia="ar-SA"/>
        </w:rPr>
      </w:pPr>
      <w:r w:rsidRPr="00B03579">
        <w:rPr>
          <w:i/>
          <w:iCs/>
          <w:sz w:val="22"/>
          <w:szCs w:val="22"/>
          <w:lang w:eastAsia="ar-SA"/>
        </w:rPr>
        <w:t xml:space="preserve">*Nurodoma, jei pasikeitė ar išnyko identifikuotos silpnybės (problemos), stiprybės, galimybės ar grėsmės, ar atsirado naujų, programoje neįvertintų teritorijos vystymui svarbių veiksnių (apimtis iki 2 psl.). </w:t>
      </w:r>
    </w:p>
    <w:p w:rsidR="002D0F24" w:rsidRDefault="002D0F24" w:rsidP="00AE5F44">
      <w:pPr>
        <w:suppressAutoHyphens/>
        <w:ind w:firstLine="720"/>
        <w:jc w:val="center"/>
        <w:rPr>
          <w:b/>
          <w:bCs/>
          <w:sz w:val="22"/>
          <w:szCs w:val="22"/>
          <w:lang w:eastAsia="ar-SA"/>
        </w:rPr>
      </w:pPr>
      <w:r>
        <w:rPr>
          <w:b/>
          <w:bCs/>
          <w:sz w:val="22"/>
          <w:szCs w:val="22"/>
          <w:lang w:eastAsia="ar-SA"/>
        </w:rPr>
        <w:t>II SKYRIUS</w:t>
      </w:r>
    </w:p>
    <w:p w:rsidR="002D0F24" w:rsidRDefault="002D0F24" w:rsidP="00AE5F44">
      <w:pPr>
        <w:suppressAutoHyphens/>
        <w:ind w:firstLine="720"/>
        <w:jc w:val="center"/>
        <w:rPr>
          <w:b/>
          <w:bCs/>
          <w:sz w:val="22"/>
          <w:szCs w:val="22"/>
          <w:lang w:eastAsia="ar-SA"/>
        </w:rPr>
      </w:pPr>
      <w:r>
        <w:rPr>
          <w:b/>
          <w:bCs/>
          <w:sz w:val="22"/>
          <w:szCs w:val="22"/>
          <w:lang w:eastAsia="ar-SA"/>
        </w:rPr>
        <w:t>INFORMACIJA APIE PROGRAMOS ĮGYVENDINIMĄ</w:t>
      </w:r>
    </w:p>
    <w:tbl>
      <w:tblPr>
        <w:tblW w:w="15800" w:type="dxa"/>
        <w:tblInd w:w="55" w:type="dxa"/>
        <w:tblLayout w:type="fixed"/>
        <w:tblCellMar>
          <w:top w:w="55" w:type="dxa"/>
          <w:left w:w="55" w:type="dxa"/>
          <w:bottom w:w="55" w:type="dxa"/>
          <w:right w:w="55" w:type="dxa"/>
        </w:tblCellMar>
        <w:tblLook w:val="0000"/>
      </w:tblPr>
      <w:tblGrid>
        <w:gridCol w:w="1000"/>
        <w:gridCol w:w="2402"/>
        <w:gridCol w:w="993"/>
        <w:gridCol w:w="1417"/>
        <w:gridCol w:w="1188"/>
        <w:gridCol w:w="1200"/>
        <w:gridCol w:w="2006"/>
        <w:gridCol w:w="851"/>
        <w:gridCol w:w="850"/>
        <w:gridCol w:w="3893"/>
      </w:tblGrid>
      <w:tr w:rsidR="002D0F24" w:rsidTr="009F4E48">
        <w:tc>
          <w:tcPr>
            <w:tcW w:w="1000"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ind w:firstLine="720"/>
              <w:jc w:val="center"/>
              <w:rPr>
                <w:sz w:val="20"/>
                <w:lang w:eastAsia="ar-SA"/>
              </w:rPr>
            </w:pPr>
          </w:p>
        </w:tc>
        <w:tc>
          <w:tcPr>
            <w:tcW w:w="2402"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Pavadinimas</w:t>
            </w:r>
          </w:p>
        </w:tc>
        <w:tc>
          <w:tcPr>
            <w:tcW w:w="993"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Įvykdymo terminas</w:t>
            </w:r>
          </w:p>
          <w:p w:rsidR="002D0F24" w:rsidRDefault="002D0F24" w:rsidP="009B20B9">
            <w:pPr>
              <w:suppressLineNumbers/>
              <w:suppressAutoHyphens/>
              <w:jc w:val="center"/>
              <w:rPr>
                <w:sz w:val="20"/>
                <w:lang w:eastAsia="ar-SA"/>
              </w:rPr>
            </w:pPr>
            <w:r>
              <w:rPr>
                <w:sz w:val="20"/>
                <w:lang w:eastAsia="ar-SA"/>
              </w:rPr>
              <w:t>(pradžia ir pabaiga) (metai)</w:t>
            </w:r>
          </w:p>
        </w:tc>
        <w:tc>
          <w:tcPr>
            <w:tcW w:w="1417"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Faktinio įvykdymo data (metai)</w:t>
            </w:r>
          </w:p>
        </w:tc>
        <w:tc>
          <w:tcPr>
            <w:tcW w:w="1188"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pacing w:val="-4"/>
                <w:sz w:val="20"/>
                <w:lang w:eastAsia="ar-SA"/>
              </w:rPr>
            </w:pPr>
            <w:r>
              <w:rPr>
                <w:spacing w:val="-4"/>
                <w:sz w:val="20"/>
                <w:lang w:eastAsia="ar-SA"/>
              </w:rPr>
              <w:t>Planuotas finansavimas ir finansavimo šaltinis (-iai)</w:t>
            </w:r>
          </w:p>
        </w:tc>
        <w:tc>
          <w:tcPr>
            <w:tcW w:w="1200"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pacing w:val="-4"/>
                <w:sz w:val="20"/>
                <w:lang w:eastAsia="ar-SA"/>
              </w:rPr>
            </w:pPr>
            <w:r>
              <w:rPr>
                <w:spacing w:val="-4"/>
                <w:sz w:val="20"/>
                <w:lang w:eastAsia="ar-SA"/>
              </w:rPr>
              <w:t>Panaudotas finansavimas ir finansavimo šaltinis (-iai)</w:t>
            </w:r>
          </w:p>
          <w:p w:rsidR="002D0F24" w:rsidRDefault="002D0F24" w:rsidP="009B20B9">
            <w:pPr>
              <w:suppressLineNumbers/>
              <w:suppressAutoHyphens/>
              <w:jc w:val="center"/>
              <w:rPr>
                <w:spacing w:val="-4"/>
                <w:sz w:val="20"/>
                <w:lang w:eastAsia="ar-SA"/>
              </w:rPr>
            </w:pPr>
          </w:p>
        </w:tc>
        <w:tc>
          <w:tcPr>
            <w:tcW w:w="2006"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Rodiklis, metai</w:t>
            </w:r>
          </w:p>
        </w:tc>
        <w:tc>
          <w:tcPr>
            <w:tcW w:w="851"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Siektina reikšmė</w:t>
            </w:r>
          </w:p>
        </w:tc>
        <w:tc>
          <w:tcPr>
            <w:tcW w:w="850"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LineNumbers/>
              <w:suppressAutoHyphens/>
              <w:snapToGrid w:val="0"/>
              <w:jc w:val="center"/>
              <w:rPr>
                <w:sz w:val="20"/>
                <w:lang w:eastAsia="ar-SA"/>
              </w:rPr>
            </w:pPr>
            <w:r>
              <w:rPr>
                <w:sz w:val="20"/>
                <w:lang w:eastAsia="ar-SA"/>
              </w:rPr>
              <w:t>Pasiekta reikšmė</w:t>
            </w:r>
          </w:p>
        </w:tc>
        <w:tc>
          <w:tcPr>
            <w:tcW w:w="3893" w:type="dxa"/>
            <w:tcBorders>
              <w:top w:val="single" w:sz="4" w:space="0" w:color="auto"/>
              <w:left w:val="single" w:sz="4" w:space="0" w:color="auto"/>
              <w:bottom w:val="single" w:sz="4" w:space="0" w:color="auto"/>
              <w:right w:val="single" w:sz="4" w:space="0" w:color="auto"/>
            </w:tcBorders>
            <w:vAlign w:val="center"/>
          </w:tcPr>
          <w:p w:rsidR="002D0F24" w:rsidRDefault="002D0F24" w:rsidP="009B20B9">
            <w:pPr>
              <w:suppressAutoHyphens/>
              <w:jc w:val="center"/>
              <w:rPr>
                <w:i/>
                <w:iCs/>
                <w:sz w:val="20"/>
                <w:lang w:eastAsia="ar-SA"/>
              </w:rPr>
            </w:pPr>
            <w:r>
              <w:rPr>
                <w:sz w:val="20"/>
                <w:lang w:eastAsia="ar-SA"/>
              </w:rPr>
              <w:t xml:space="preserve">Komentarai ir paaiškinimai </w:t>
            </w:r>
            <w:r>
              <w:rPr>
                <w:spacing w:val="-4"/>
                <w:sz w:val="20"/>
                <w:lang w:eastAsia="ar-SA"/>
              </w:rPr>
              <w:t>informacija apie uždavinių ar veiksmų neįvykdymą, siektinų  rodiklių reikšmių nepasiekimą lėmusias priežastis</w:t>
            </w:r>
          </w:p>
        </w:tc>
      </w:tr>
      <w:tr w:rsidR="002D0F24" w:rsidTr="009F4E48">
        <w:tc>
          <w:tcPr>
            <w:tcW w:w="1000" w:type="dxa"/>
            <w:tcBorders>
              <w:top w:val="single" w:sz="4" w:space="0" w:color="auto"/>
              <w:left w:val="single" w:sz="4" w:space="0" w:color="auto"/>
              <w:bottom w:val="single" w:sz="4" w:space="0" w:color="auto"/>
              <w:right w:val="single" w:sz="4" w:space="0" w:color="auto"/>
            </w:tcBorders>
          </w:tcPr>
          <w:p w:rsidR="002D0F24" w:rsidRDefault="002D0F24" w:rsidP="00EF1C73">
            <w:pPr>
              <w:suppressLineNumbers/>
              <w:suppressAutoHyphens/>
              <w:snapToGrid w:val="0"/>
              <w:rPr>
                <w:sz w:val="20"/>
                <w:lang w:eastAsia="ar-SA"/>
              </w:rPr>
            </w:pPr>
            <w:r>
              <w:rPr>
                <w:sz w:val="20"/>
                <w:lang w:eastAsia="ar-SA"/>
              </w:rPr>
              <w:t>Tikslas</w:t>
            </w:r>
          </w:p>
        </w:tc>
        <w:tc>
          <w:tcPr>
            <w:tcW w:w="2402" w:type="dxa"/>
            <w:tcBorders>
              <w:top w:val="single" w:sz="4" w:space="0" w:color="auto"/>
              <w:left w:val="single" w:sz="4" w:space="0" w:color="auto"/>
              <w:bottom w:val="single" w:sz="4" w:space="0" w:color="auto"/>
              <w:right w:val="single" w:sz="4" w:space="0" w:color="auto"/>
            </w:tcBorders>
          </w:tcPr>
          <w:p w:rsidR="002D0F24" w:rsidRPr="00017B83" w:rsidRDefault="002D0F24" w:rsidP="00017B83">
            <w:pPr>
              <w:suppressLineNumbers/>
              <w:suppressAutoHyphens/>
              <w:snapToGrid w:val="0"/>
              <w:rPr>
                <w:sz w:val="20"/>
                <w:lang w:eastAsia="ar-SA"/>
              </w:rPr>
            </w:pPr>
            <w:r w:rsidRPr="00017B83">
              <w:rPr>
                <w:b/>
                <w:sz w:val="20"/>
              </w:rPr>
              <w:t>1. Tikslas:</w:t>
            </w:r>
            <w:r w:rsidRPr="00017B83">
              <w:rPr>
                <w:sz w:val="20"/>
              </w:rPr>
              <w:t xml:space="preserve"> Sumažinti nedarbo lygį didinant ekonominį aktyvumą ir gerinant gyvenimo kokybę</w:t>
            </w:r>
          </w:p>
        </w:tc>
        <w:tc>
          <w:tcPr>
            <w:tcW w:w="993" w:type="dxa"/>
            <w:tcBorders>
              <w:top w:val="single" w:sz="4" w:space="0" w:color="auto"/>
              <w:left w:val="single" w:sz="4" w:space="0" w:color="auto"/>
              <w:bottom w:val="single" w:sz="4" w:space="0" w:color="auto"/>
              <w:right w:val="single" w:sz="4" w:space="0" w:color="auto"/>
            </w:tcBorders>
          </w:tcPr>
          <w:p w:rsidR="002D0F24" w:rsidRDefault="002D0F24" w:rsidP="00017B83">
            <w:pPr>
              <w:suppressLineNumbers/>
              <w:suppressAutoHyphens/>
              <w:snapToGrid w:val="0"/>
              <w:ind w:firstLine="43"/>
              <w:jc w:val="center"/>
              <w:rPr>
                <w:sz w:val="20"/>
                <w:lang w:eastAsia="ar-SA"/>
              </w:rPr>
            </w:pPr>
            <w:r>
              <w:rPr>
                <w:sz w:val="20"/>
                <w:lang w:eastAsia="ar-SA"/>
              </w:rPr>
              <w:t>2014–2023</w:t>
            </w:r>
          </w:p>
        </w:tc>
        <w:tc>
          <w:tcPr>
            <w:tcW w:w="1417" w:type="dxa"/>
            <w:tcBorders>
              <w:top w:val="single" w:sz="4" w:space="0" w:color="auto"/>
              <w:left w:val="single" w:sz="4" w:space="0" w:color="auto"/>
              <w:bottom w:val="single" w:sz="4" w:space="0" w:color="auto"/>
              <w:right w:val="single" w:sz="4" w:space="0" w:color="auto"/>
            </w:tcBorders>
          </w:tcPr>
          <w:p w:rsidR="002D0F24" w:rsidRPr="008370FA" w:rsidRDefault="002D0F24" w:rsidP="009B20B9">
            <w:pPr>
              <w:suppressLineNumbers/>
              <w:suppressAutoHyphens/>
              <w:snapToGrid w:val="0"/>
              <w:jc w:val="center"/>
              <w:rPr>
                <w:sz w:val="20"/>
                <w:lang w:eastAsia="ar-SA"/>
              </w:rPr>
            </w:pPr>
            <w:r w:rsidRPr="008370FA">
              <w:rPr>
                <w:sz w:val="20"/>
                <w:lang w:eastAsia="ar-SA"/>
              </w:rPr>
              <w:t>Jeigu baigti įgyvendinti visi tikslo uždaviniai, vėliausia uždavinio įgyvendinimo data</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r>
              <w:rPr>
                <w:sz w:val="20"/>
                <w:lang w:eastAsia="ar-SA"/>
              </w:rPr>
              <w:t>X</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F87117">
            <w:pPr>
              <w:suppressLineNumbers/>
              <w:suppressAutoHyphens/>
              <w:snapToGrid w:val="0"/>
              <w:ind w:hanging="1"/>
              <w:jc w:val="right"/>
              <w:rPr>
                <w:sz w:val="20"/>
                <w:lang w:eastAsia="ar-SA"/>
              </w:rPr>
            </w:pPr>
            <w:r>
              <w:rPr>
                <w:sz w:val="20"/>
                <w:lang w:eastAsia="ar-SA"/>
              </w:rPr>
              <w:t>X</w:t>
            </w:r>
          </w:p>
        </w:tc>
        <w:tc>
          <w:tcPr>
            <w:tcW w:w="2006" w:type="dxa"/>
            <w:tcBorders>
              <w:top w:val="single" w:sz="4" w:space="0" w:color="auto"/>
              <w:left w:val="single" w:sz="4" w:space="0" w:color="auto"/>
              <w:bottom w:val="single" w:sz="4" w:space="0" w:color="auto"/>
              <w:right w:val="single" w:sz="4" w:space="0" w:color="auto"/>
            </w:tcBorders>
          </w:tcPr>
          <w:p w:rsidR="002D0F24" w:rsidRPr="008370FA" w:rsidRDefault="002D0F24" w:rsidP="00017B83">
            <w:pPr>
              <w:suppressLineNumbers/>
              <w:suppressAutoHyphens/>
              <w:snapToGrid w:val="0"/>
              <w:rPr>
                <w:b/>
                <w:sz w:val="20"/>
                <w:lang w:eastAsia="ar-SA"/>
              </w:rPr>
            </w:pPr>
            <w:r w:rsidRPr="008370FA">
              <w:rPr>
                <w:b/>
                <w:sz w:val="20"/>
                <w:lang w:eastAsia="ar-SA"/>
              </w:rPr>
              <w:t>Efekto rodiklis</w:t>
            </w:r>
            <w:r>
              <w:rPr>
                <w:b/>
                <w:sz w:val="20"/>
                <w:lang w:eastAsia="ar-SA"/>
              </w:rPr>
              <w:t>:</w:t>
            </w:r>
          </w:p>
          <w:p w:rsidR="002D0F24" w:rsidRDefault="002D0F24" w:rsidP="00017B83">
            <w:pPr>
              <w:suppressLineNumbers/>
              <w:suppressAutoHyphens/>
              <w:snapToGrid w:val="0"/>
              <w:rPr>
                <w:sz w:val="20"/>
              </w:rPr>
            </w:pPr>
            <w:r w:rsidRPr="008370FA">
              <w:rPr>
                <w:sz w:val="20"/>
              </w:rPr>
              <w:t>Vidutinis – Biržų, Kupiškio, Pasvalio ir Rokiškio rajonų savivaldybėse registruotas nedarbo lygis lyginant su šalies rodikliu, procentais</w:t>
            </w:r>
            <w:r>
              <w:rPr>
                <w:sz w:val="20"/>
              </w:rPr>
              <w:t xml:space="preserve"> (</w:t>
            </w:r>
            <w:r w:rsidRPr="008370FA">
              <w:rPr>
                <w:sz w:val="20"/>
              </w:rPr>
              <w:t xml:space="preserve">kodas </w:t>
            </w:r>
          </w:p>
          <w:p w:rsidR="002D0F24" w:rsidRPr="008370FA" w:rsidRDefault="002D0F24" w:rsidP="00017B83">
            <w:pPr>
              <w:suppressLineNumbers/>
              <w:suppressAutoHyphens/>
              <w:snapToGrid w:val="0"/>
              <w:rPr>
                <w:sz w:val="20"/>
                <w:lang w:eastAsia="ar-SA"/>
              </w:rPr>
            </w:pPr>
            <w:r w:rsidRPr="008370FA">
              <w:rPr>
                <w:sz w:val="20"/>
              </w:rPr>
              <w:t>1-E-1).</w:t>
            </w:r>
          </w:p>
        </w:tc>
        <w:tc>
          <w:tcPr>
            <w:tcW w:w="851" w:type="dxa"/>
            <w:tcBorders>
              <w:top w:val="single" w:sz="4" w:space="0" w:color="auto"/>
              <w:left w:val="single" w:sz="4" w:space="0" w:color="auto"/>
              <w:bottom w:val="single" w:sz="4" w:space="0" w:color="auto"/>
              <w:right w:val="single" w:sz="4" w:space="0" w:color="auto"/>
            </w:tcBorders>
          </w:tcPr>
          <w:p w:rsidR="002D0F24" w:rsidRDefault="002D0F24" w:rsidP="00F87117">
            <w:pPr>
              <w:suppressLineNumbers/>
              <w:suppressAutoHyphens/>
              <w:snapToGrid w:val="0"/>
              <w:jc w:val="center"/>
              <w:rPr>
                <w:sz w:val="20"/>
                <w:lang w:eastAsia="ar-SA"/>
              </w:rPr>
            </w:pPr>
            <w:r>
              <w:rPr>
                <w:sz w:val="20"/>
                <w:lang w:eastAsia="ar-SA"/>
              </w:rPr>
              <w:t>126</w:t>
            </w:r>
          </w:p>
        </w:tc>
        <w:tc>
          <w:tcPr>
            <w:tcW w:w="850" w:type="dxa"/>
            <w:tcBorders>
              <w:top w:val="single" w:sz="4" w:space="0" w:color="auto"/>
              <w:left w:val="single" w:sz="4" w:space="0" w:color="auto"/>
              <w:bottom w:val="single" w:sz="4" w:space="0" w:color="auto"/>
              <w:right w:val="single" w:sz="4" w:space="0" w:color="auto"/>
            </w:tcBorders>
          </w:tcPr>
          <w:p w:rsidR="002D0F24" w:rsidRDefault="002D0F24" w:rsidP="008370FA">
            <w:pPr>
              <w:suppressLineNumbers/>
              <w:suppressAutoHyphens/>
              <w:snapToGrid w:val="0"/>
              <w:jc w:val="right"/>
              <w:rPr>
                <w:sz w:val="20"/>
                <w:lang w:eastAsia="ar-SA"/>
              </w:rPr>
            </w:pPr>
            <w:r>
              <w:rPr>
                <w:sz w:val="20"/>
                <w:lang w:eastAsia="ar-SA"/>
              </w:rPr>
              <w:t>–</w:t>
            </w: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c>
          <w:tcPr>
            <w:tcW w:w="1000" w:type="dxa"/>
            <w:vMerge w:val="restart"/>
            <w:tcBorders>
              <w:top w:val="single" w:sz="4" w:space="0" w:color="auto"/>
              <w:left w:val="single" w:sz="4" w:space="0" w:color="auto"/>
              <w:bottom w:val="single" w:sz="4" w:space="0" w:color="auto"/>
              <w:right w:val="single" w:sz="4" w:space="0" w:color="auto"/>
            </w:tcBorders>
          </w:tcPr>
          <w:p w:rsidR="002D0F24" w:rsidRDefault="002D0F24" w:rsidP="00EF1C73">
            <w:pPr>
              <w:suppressLineNumbers/>
              <w:suppressAutoHyphens/>
              <w:snapToGrid w:val="0"/>
              <w:rPr>
                <w:sz w:val="20"/>
                <w:lang w:eastAsia="ar-SA"/>
              </w:rPr>
            </w:pPr>
            <w:r>
              <w:rPr>
                <w:sz w:val="20"/>
                <w:lang w:eastAsia="ar-SA"/>
              </w:rPr>
              <w:t>Uždavinys</w:t>
            </w:r>
          </w:p>
        </w:tc>
        <w:tc>
          <w:tcPr>
            <w:tcW w:w="2402" w:type="dxa"/>
            <w:vMerge w:val="restart"/>
            <w:tcBorders>
              <w:top w:val="single" w:sz="4" w:space="0" w:color="auto"/>
              <w:left w:val="single" w:sz="4" w:space="0" w:color="auto"/>
              <w:bottom w:val="single" w:sz="4" w:space="0" w:color="auto"/>
              <w:right w:val="single" w:sz="4" w:space="0" w:color="auto"/>
            </w:tcBorders>
          </w:tcPr>
          <w:p w:rsidR="002D0F24" w:rsidRPr="005E5299" w:rsidRDefault="002D0F24" w:rsidP="005E5299">
            <w:pPr>
              <w:suppressLineNumbers/>
              <w:suppressAutoHyphens/>
              <w:snapToGrid w:val="0"/>
              <w:ind w:firstLine="45"/>
              <w:rPr>
                <w:sz w:val="20"/>
                <w:lang w:eastAsia="ar-SA"/>
              </w:rPr>
            </w:pPr>
            <w:r w:rsidRPr="005E5299">
              <w:rPr>
                <w:b/>
                <w:sz w:val="20"/>
              </w:rPr>
              <w:t>1.3. Uždavinys:</w:t>
            </w:r>
            <w:r w:rsidRPr="005E5299">
              <w:rPr>
                <w:sz w:val="20"/>
              </w:rPr>
              <w:t xml:space="preserve"> Padidinti tikslinių teritorijų ekonominį aktyvumą skatinant sąveiką su aplinkiniais miestais ir mažinant pasiekiamumo netolygumus</w:t>
            </w:r>
          </w:p>
        </w:tc>
        <w:tc>
          <w:tcPr>
            <w:tcW w:w="993" w:type="dxa"/>
            <w:vMerge w:val="restart"/>
            <w:tcBorders>
              <w:top w:val="single" w:sz="4" w:space="0" w:color="auto"/>
              <w:left w:val="single" w:sz="4" w:space="0" w:color="auto"/>
              <w:bottom w:val="single" w:sz="4" w:space="0" w:color="auto"/>
              <w:right w:val="single" w:sz="4" w:space="0" w:color="auto"/>
            </w:tcBorders>
          </w:tcPr>
          <w:p w:rsidR="002D0F24" w:rsidRDefault="002D0F24" w:rsidP="00BB010F">
            <w:pPr>
              <w:suppressLineNumbers/>
              <w:suppressAutoHyphens/>
              <w:snapToGrid w:val="0"/>
              <w:ind w:firstLine="43"/>
              <w:jc w:val="center"/>
              <w:rPr>
                <w:sz w:val="20"/>
                <w:lang w:eastAsia="ar-SA"/>
              </w:rPr>
            </w:pPr>
            <w:r>
              <w:rPr>
                <w:sz w:val="20"/>
                <w:lang w:eastAsia="ar-SA"/>
              </w:rPr>
              <w:t>2014–2023</w:t>
            </w:r>
          </w:p>
        </w:tc>
        <w:tc>
          <w:tcPr>
            <w:tcW w:w="1417" w:type="dxa"/>
            <w:vMerge w:val="restart"/>
            <w:tcBorders>
              <w:top w:val="single" w:sz="4" w:space="0" w:color="auto"/>
              <w:left w:val="single" w:sz="4" w:space="0" w:color="auto"/>
              <w:bottom w:val="single" w:sz="4" w:space="0" w:color="auto"/>
              <w:right w:val="single" w:sz="4" w:space="0" w:color="auto"/>
            </w:tcBorders>
          </w:tcPr>
          <w:p w:rsidR="002D0F24" w:rsidRPr="008370FA" w:rsidRDefault="002D0F24" w:rsidP="009B20B9">
            <w:pPr>
              <w:suppressLineNumbers/>
              <w:suppressAutoHyphens/>
              <w:snapToGrid w:val="0"/>
              <w:jc w:val="center"/>
              <w:rPr>
                <w:sz w:val="20"/>
                <w:lang w:eastAsia="ar-SA"/>
              </w:rPr>
            </w:pPr>
            <w:r w:rsidRPr="008370FA">
              <w:rPr>
                <w:sz w:val="20"/>
                <w:lang w:eastAsia="ar-SA"/>
              </w:rPr>
              <w:t>Jeigu baigtos įgyvendinti visos uždavinio priemonės, vėliausia priemonės įgyvendinimo data</w:t>
            </w:r>
          </w:p>
        </w:tc>
        <w:tc>
          <w:tcPr>
            <w:tcW w:w="1188" w:type="dxa"/>
            <w:vMerge w:val="restart"/>
            <w:tcBorders>
              <w:top w:val="single" w:sz="4" w:space="0" w:color="auto"/>
              <w:left w:val="single" w:sz="4" w:space="0" w:color="auto"/>
              <w:bottom w:val="single" w:sz="4" w:space="0" w:color="auto"/>
              <w:right w:val="single" w:sz="4" w:space="0" w:color="auto"/>
            </w:tcBorders>
          </w:tcPr>
          <w:p w:rsidR="002D0F24" w:rsidRPr="008370FA" w:rsidRDefault="002D0F24" w:rsidP="009B20B9">
            <w:pPr>
              <w:suppressLineNumbers/>
              <w:suppressAutoHyphens/>
              <w:snapToGrid w:val="0"/>
              <w:ind w:firstLine="720"/>
              <w:jc w:val="center"/>
              <w:rPr>
                <w:sz w:val="20"/>
                <w:lang w:eastAsia="ar-SA"/>
              </w:rPr>
            </w:pPr>
          </w:p>
        </w:tc>
        <w:tc>
          <w:tcPr>
            <w:tcW w:w="1200"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006" w:type="dxa"/>
            <w:tcBorders>
              <w:top w:val="single" w:sz="4" w:space="0" w:color="auto"/>
              <w:left w:val="single" w:sz="4" w:space="0" w:color="auto"/>
              <w:bottom w:val="single" w:sz="4" w:space="0" w:color="auto"/>
              <w:right w:val="single" w:sz="4" w:space="0" w:color="auto"/>
            </w:tcBorders>
          </w:tcPr>
          <w:p w:rsidR="002D0F24" w:rsidRPr="00840692" w:rsidRDefault="002D0F24" w:rsidP="00017B83">
            <w:pPr>
              <w:suppressLineNumbers/>
              <w:suppressAutoHyphens/>
              <w:snapToGrid w:val="0"/>
              <w:rPr>
                <w:b/>
                <w:sz w:val="20"/>
                <w:lang w:eastAsia="ar-SA"/>
              </w:rPr>
            </w:pPr>
            <w:r w:rsidRPr="00840692">
              <w:rPr>
                <w:b/>
                <w:sz w:val="20"/>
                <w:lang w:eastAsia="ar-SA"/>
              </w:rPr>
              <w:t>Rezultato rodiklis:</w:t>
            </w:r>
          </w:p>
          <w:p w:rsidR="002D0F24" w:rsidRDefault="002D0F24" w:rsidP="00840692">
            <w:pPr>
              <w:suppressAutoHyphens/>
              <w:snapToGrid w:val="0"/>
              <w:rPr>
                <w:sz w:val="20"/>
              </w:rPr>
            </w:pPr>
            <w:r w:rsidRPr="00840692">
              <w:rPr>
                <w:sz w:val="20"/>
              </w:rPr>
              <w:t>Darbingo amžiaus gyventojų dalis nuo gyventojų skaičiaus savivaldybėse, kuriose įgyvendinamos integruotos teritorinės investicijos, procentai</w:t>
            </w:r>
            <w:r>
              <w:rPr>
                <w:sz w:val="20"/>
              </w:rPr>
              <w:t xml:space="preserve"> (kodas </w:t>
            </w:r>
          </w:p>
          <w:p w:rsidR="002D0F24" w:rsidRDefault="002D0F24" w:rsidP="00017B83">
            <w:pPr>
              <w:suppressLineNumbers/>
              <w:suppressAutoHyphens/>
              <w:snapToGrid w:val="0"/>
              <w:rPr>
                <w:sz w:val="20"/>
                <w:lang w:eastAsia="ar-SA"/>
              </w:rPr>
            </w:pPr>
            <w:r w:rsidRPr="00840692">
              <w:rPr>
                <w:sz w:val="20"/>
              </w:rPr>
              <w:t>1-R-3</w:t>
            </w:r>
            <w:r>
              <w:rPr>
                <w:sz w:val="20"/>
              </w:rPr>
              <w:t>)</w:t>
            </w:r>
            <w:r w:rsidRPr="00840692">
              <w:rPr>
                <w:sz w:val="20"/>
              </w:rPr>
              <w:t>.</w:t>
            </w:r>
          </w:p>
        </w:tc>
        <w:tc>
          <w:tcPr>
            <w:tcW w:w="851" w:type="dxa"/>
            <w:tcBorders>
              <w:top w:val="single" w:sz="4" w:space="0" w:color="auto"/>
              <w:left w:val="single" w:sz="4" w:space="0" w:color="auto"/>
              <w:bottom w:val="single" w:sz="4" w:space="0" w:color="auto"/>
              <w:right w:val="single" w:sz="4" w:space="0" w:color="auto"/>
            </w:tcBorders>
          </w:tcPr>
          <w:p w:rsidR="002D0F24" w:rsidRPr="00CC0F92" w:rsidRDefault="002D0F24" w:rsidP="00CC0F92">
            <w:pPr>
              <w:suppressLineNumbers/>
              <w:suppressAutoHyphens/>
              <w:snapToGrid w:val="0"/>
              <w:ind w:firstLine="39"/>
              <w:jc w:val="center"/>
              <w:rPr>
                <w:sz w:val="20"/>
                <w:lang w:eastAsia="ar-SA"/>
              </w:rPr>
            </w:pPr>
            <w:r w:rsidRPr="00CC0F92">
              <w:rPr>
                <w:sz w:val="20"/>
              </w:rPr>
              <w:t>59,64</w:t>
            </w:r>
          </w:p>
        </w:tc>
        <w:tc>
          <w:tcPr>
            <w:tcW w:w="850" w:type="dxa"/>
            <w:tcBorders>
              <w:top w:val="single" w:sz="4" w:space="0" w:color="auto"/>
              <w:left w:val="single" w:sz="4" w:space="0" w:color="auto"/>
              <w:bottom w:val="single" w:sz="4" w:space="0" w:color="auto"/>
              <w:right w:val="single" w:sz="4" w:space="0" w:color="auto"/>
            </w:tcBorders>
          </w:tcPr>
          <w:p w:rsidR="002D0F24" w:rsidRDefault="002D0F24" w:rsidP="00DF597A">
            <w:pPr>
              <w:suppressLineNumbers/>
              <w:suppressAutoHyphens/>
              <w:snapToGrid w:val="0"/>
              <w:ind w:firstLine="88"/>
              <w:jc w:val="right"/>
              <w:rPr>
                <w:sz w:val="20"/>
                <w:lang w:eastAsia="ar-SA"/>
              </w:rPr>
            </w:pPr>
            <w:r>
              <w:rPr>
                <w:sz w:val="20"/>
                <w:lang w:eastAsia="ar-SA"/>
              </w:rPr>
              <w:t>–</w:t>
            </w: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222"/>
        </w:trPr>
        <w:tc>
          <w:tcPr>
            <w:tcW w:w="1000" w:type="dxa"/>
            <w:vMerge/>
            <w:tcBorders>
              <w:top w:val="single" w:sz="4" w:space="0" w:color="auto"/>
              <w:left w:val="single" w:sz="4" w:space="0" w:color="auto"/>
              <w:right w:val="single" w:sz="4" w:space="0" w:color="auto"/>
            </w:tcBorders>
          </w:tcPr>
          <w:p w:rsidR="002D0F24" w:rsidRDefault="002D0F24" w:rsidP="00EF1C73">
            <w:pPr>
              <w:suppressLineNumbers/>
              <w:suppressAutoHyphens/>
              <w:snapToGrid w:val="0"/>
              <w:ind w:firstLine="720"/>
              <w:rPr>
                <w:sz w:val="20"/>
                <w:lang w:eastAsia="ar-SA"/>
              </w:rPr>
            </w:pPr>
          </w:p>
        </w:tc>
        <w:tc>
          <w:tcPr>
            <w:tcW w:w="2402" w:type="dxa"/>
            <w:vMerge/>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417" w:type="dxa"/>
            <w:vMerge/>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188" w:type="dxa"/>
            <w:vMerge/>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200" w:type="dxa"/>
            <w:vMerge/>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006" w:type="dxa"/>
            <w:tcBorders>
              <w:top w:val="single" w:sz="4" w:space="0" w:color="auto"/>
              <w:left w:val="single" w:sz="4" w:space="0" w:color="auto"/>
              <w:right w:val="single" w:sz="4" w:space="0" w:color="auto"/>
            </w:tcBorders>
          </w:tcPr>
          <w:p w:rsidR="002D0F24" w:rsidRPr="00384996" w:rsidRDefault="002D0F24" w:rsidP="00017B83">
            <w:pPr>
              <w:suppressLineNumbers/>
              <w:suppressAutoHyphens/>
              <w:snapToGrid w:val="0"/>
              <w:rPr>
                <w:b/>
                <w:sz w:val="20"/>
                <w:lang w:eastAsia="ar-SA"/>
              </w:rPr>
            </w:pPr>
            <w:r w:rsidRPr="00384996">
              <w:rPr>
                <w:b/>
                <w:sz w:val="20"/>
                <w:lang w:eastAsia="ar-SA"/>
              </w:rPr>
              <w:t>Produkto rodiklis:</w:t>
            </w:r>
          </w:p>
          <w:p w:rsidR="002D0F24" w:rsidRDefault="002D0F24" w:rsidP="00017B83">
            <w:pPr>
              <w:suppressLineNumbers/>
              <w:suppressAutoHyphens/>
              <w:snapToGrid w:val="0"/>
              <w:rPr>
                <w:sz w:val="20"/>
              </w:rPr>
            </w:pPr>
            <w:r w:rsidRPr="007C25CE">
              <w:rPr>
                <w:sz w:val="20"/>
              </w:rPr>
              <w:t xml:space="preserve">Bendras rekonstruotų arba atnaujintų kelių ilgis, km (kodas </w:t>
            </w:r>
          </w:p>
          <w:p w:rsidR="002D0F24" w:rsidRPr="007C25CE" w:rsidRDefault="002D0F24" w:rsidP="006C49AD">
            <w:pPr>
              <w:suppressLineNumbers/>
              <w:suppressAutoHyphens/>
              <w:snapToGrid w:val="0"/>
              <w:rPr>
                <w:sz w:val="20"/>
                <w:lang w:eastAsia="ar-SA"/>
              </w:rPr>
            </w:pPr>
            <w:r w:rsidRPr="007C25CE">
              <w:rPr>
                <w:sz w:val="20"/>
              </w:rPr>
              <w:t>1.3-P-2)</w:t>
            </w:r>
          </w:p>
        </w:tc>
        <w:tc>
          <w:tcPr>
            <w:tcW w:w="851" w:type="dxa"/>
            <w:tcBorders>
              <w:top w:val="single" w:sz="4" w:space="0" w:color="auto"/>
              <w:left w:val="single" w:sz="4" w:space="0" w:color="auto"/>
              <w:right w:val="single" w:sz="4" w:space="0" w:color="auto"/>
            </w:tcBorders>
          </w:tcPr>
          <w:p w:rsidR="002D0F24" w:rsidRDefault="002D0F24" w:rsidP="006C49AD">
            <w:pPr>
              <w:suppressLineNumbers/>
              <w:suppressAutoHyphens/>
              <w:snapToGrid w:val="0"/>
              <w:jc w:val="right"/>
              <w:rPr>
                <w:sz w:val="20"/>
                <w:lang w:eastAsia="ar-SA"/>
              </w:rPr>
            </w:pPr>
            <w:r>
              <w:rPr>
                <w:color w:val="000000"/>
                <w:sz w:val="20"/>
              </w:rPr>
              <w:t>0</w:t>
            </w:r>
          </w:p>
        </w:tc>
        <w:tc>
          <w:tcPr>
            <w:tcW w:w="850" w:type="dxa"/>
            <w:tcBorders>
              <w:top w:val="single" w:sz="4" w:space="0" w:color="auto"/>
              <w:left w:val="single" w:sz="4" w:space="0" w:color="auto"/>
              <w:right w:val="single" w:sz="4" w:space="0" w:color="auto"/>
            </w:tcBorders>
          </w:tcPr>
          <w:p w:rsidR="002D0F24" w:rsidRDefault="002D0F24" w:rsidP="008370FA">
            <w:pPr>
              <w:suppressLineNumbers/>
              <w:suppressAutoHyphens/>
              <w:snapToGrid w:val="0"/>
              <w:jc w:val="right"/>
              <w:rPr>
                <w:sz w:val="20"/>
                <w:lang w:eastAsia="ar-SA"/>
              </w:rPr>
            </w:pPr>
            <w:r>
              <w:rPr>
                <w:sz w:val="20"/>
                <w:lang w:eastAsia="ar-SA"/>
              </w:rPr>
              <w:t>–</w:t>
            </w:r>
          </w:p>
        </w:tc>
        <w:tc>
          <w:tcPr>
            <w:tcW w:w="3893" w:type="dxa"/>
            <w:tcBorders>
              <w:top w:val="single" w:sz="4" w:space="0" w:color="auto"/>
              <w:left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c>
          <w:tcPr>
            <w:tcW w:w="1000" w:type="dxa"/>
            <w:tcBorders>
              <w:top w:val="single" w:sz="4" w:space="0" w:color="auto"/>
              <w:left w:val="single" w:sz="4" w:space="0" w:color="auto"/>
              <w:bottom w:val="single" w:sz="4" w:space="0" w:color="auto"/>
              <w:right w:val="single" w:sz="4" w:space="0" w:color="auto"/>
            </w:tcBorders>
          </w:tcPr>
          <w:p w:rsidR="002D0F24" w:rsidRDefault="002D0F24" w:rsidP="00EF1C73">
            <w:pPr>
              <w:suppressLineNumbers/>
              <w:suppressAutoHyphens/>
              <w:snapToGrid w:val="0"/>
              <w:rPr>
                <w:sz w:val="20"/>
                <w:lang w:eastAsia="ar-SA"/>
              </w:rPr>
            </w:pPr>
            <w:r>
              <w:rPr>
                <w:sz w:val="20"/>
                <w:lang w:eastAsia="ar-SA"/>
              </w:rPr>
              <w:t>Veiksmas</w:t>
            </w:r>
          </w:p>
        </w:tc>
        <w:tc>
          <w:tcPr>
            <w:tcW w:w="2402" w:type="dxa"/>
            <w:tcBorders>
              <w:top w:val="single" w:sz="4" w:space="0" w:color="auto"/>
              <w:left w:val="single" w:sz="4" w:space="0" w:color="auto"/>
              <w:bottom w:val="single" w:sz="4" w:space="0" w:color="auto"/>
              <w:right w:val="single" w:sz="4" w:space="0" w:color="auto"/>
            </w:tcBorders>
          </w:tcPr>
          <w:p w:rsidR="002D0F24" w:rsidRPr="00EF1C73" w:rsidRDefault="002D0F24" w:rsidP="00EF1C73">
            <w:pPr>
              <w:suppressLineNumbers/>
              <w:suppressAutoHyphens/>
              <w:snapToGrid w:val="0"/>
              <w:ind w:firstLine="45"/>
              <w:rPr>
                <w:sz w:val="20"/>
                <w:lang w:eastAsia="ar-SA"/>
              </w:rPr>
            </w:pPr>
            <w:r w:rsidRPr="00EF1C73">
              <w:rPr>
                <w:b/>
                <w:sz w:val="20"/>
              </w:rPr>
              <w:t>1.3.7v Veiksmas:</w:t>
            </w:r>
            <w:r w:rsidRPr="00EF1C73">
              <w:rPr>
                <w:sz w:val="20"/>
              </w:rPr>
              <w:t xml:space="preserve"> Vietinių kelių techninių parametrų ir eismo saugos gerinimas Panevėžio rajone (Liekupio g. dalyje Paliūniškio k. (Karsakiškio seniūnija), Kęstučio g. Krekenavos mstl. (Krekenavos seniūnija), Mickiemės g. Mickiemės k. (Naujamiesčio seniūnija), Sodų g. Skaistgirių k., Saulės g. Skaistgirių k. (Paįstrio seniūnija), Žalioji g. Molainių k., Trako g. Bernatonių k. (Panevėžio seniūnija), Šilo g. dalies Pašilių II k. (Ramygalos seniūnija), Paupio g. Velželio k., Savanorių g. Vyčių k., Kęstučio g. Vyčių k. (Velžio seniūnija)</w:t>
            </w:r>
          </w:p>
        </w:tc>
        <w:tc>
          <w:tcPr>
            <w:tcW w:w="993"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3"/>
              <w:jc w:val="center"/>
              <w:rPr>
                <w:sz w:val="20"/>
                <w:lang w:eastAsia="ar-SA"/>
              </w:rPr>
            </w:pPr>
            <w:r>
              <w:rPr>
                <w:sz w:val="20"/>
                <w:lang w:eastAsia="ar-SA"/>
              </w:rPr>
              <w:t>2017–2018</w:t>
            </w: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8370FA">
            <w:pPr>
              <w:suppressLineNumbers/>
              <w:suppressAutoHyphens/>
              <w:snapToGrid w:val="0"/>
              <w:jc w:val="center"/>
              <w:rPr>
                <w:sz w:val="20"/>
                <w:lang w:eastAsia="ar-SA"/>
              </w:rPr>
            </w:pPr>
            <w:r>
              <w:rPr>
                <w:sz w:val="20"/>
                <w:lang w:eastAsia="ar-SA"/>
              </w:rPr>
              <w:t>Pabaigos požymis (faktas, liudijantis, kad veiksmas įgyvendintas)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r>
              <w:rPr>
                <w:sz w:val="20"/>
                <w:lang w:eastAsia="ar-SA"/>
              </w:rPr>
              <w:t>X</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r>
              <w:rPr>
                <w:sz w:val="20"/>
                <w:lang w:eastAsia="ar-SA"/>
              </w:rPr>
              <w:t>X</w:t>
            </w:r>
          </w:p>
        </w:tc>
        <w:tc>
          <w:tcPr>
            <w:tcW w:w="2006"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sz w:val="20"/>
                <w:lang w:eastAsia="ar-SA"/>
              </w:rPr>
              <w:t>X</w:t>
            </w:r>
          </w:p>
        </w:tc>
        <w:tc>
          <w:tcPr>
            <w:tcW w:w="1701" w:type="dxa"/>
            <w:gridSpan w:val="2"/>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sz w:val="20"/>
                <w:lang w:eastAsia="ar-SA"/>
              </w:rPr>
              <w:t>X</w:t>
            </w: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r>
      <w:tr w:rsidR="002D0F24" w:rsidTr="009F4E48">
        <w:trPr>
          <w:trHeight w:val="183"/>
        </w:trPr>
        <w:tc>
          <w:tcPr>
            <w:tcW w:w="1000"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sz w:val="20"/>
                <w:lang w:eastAsia="ar-SA"/>
              </w:rPr>
              <w:t>Planuotas ir panaudo-tas finansavimas pagal šaltinius</w:t>
            </w: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Savivaldybės biudžeto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33"/>
              <w:jc w:val="right"/>
              <w:rPr>
                <w:sz w:val="20"/>
                <w:lang w:eastAsia="ar-SA"/>
              </w:rPr>
            </w:pPr>
            <w:r>
              <w:rPr>
                <w:sz w:val="20"/>
                <w:lang w:eastAsia="ar-SA"/>
              </w:rPr>
              <w:t>208 638,00</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5"/>
              <w:jc w:val="right"/>
              <w:rPr>
                <w:sz w:val="20"/>
                <w:lang w:eastAsia="ar-SA"/>
              </w:rPr>
            </w:pPr>
            <w:r>
              <w:rPr>
                <w:sz w:val="20"/>
                <w:lang w:eastAsia="ar-SA"/>
              </w:rPr>
              <w:t>–</w:t>
            </w:r>
          </w:p>
        </w:tc>
        <w:tc>
          <w:tcPr>
            <w:tcW w:w="2006"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both"/>
              <w:rPr>
                <w:sz w:val="20"/>
                <w:lang w:eastAsia="ar-SA"/>
              </w:rPr>
            </w:pPr>
            <w:r>
              <w:rPr>
                <w:sz w:val="20"/>
                <w:lang w:eastAsia="ar-SA"/>
              </w:rPr>
              <w:t>X</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both"/>
              <w:rPr>
                <w:sz w:val="20"/>
                <w:lang w:eastAsia="ar-SA"/>
              </w:rPr>
            </w:pPr>
            <w:r>
              <w:rPr>
                <w:sz w:val="20"/>
                <w:lang w:eastAsia="ar-SA"/>
              </w:rPr>
              <w:t>X</w:t>
            </w: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Valstybės biudžeto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Kitos viešosios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Privačios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ES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jc w:val="right"/>
              <w:rPr>
                <w:sz w:val="20"/>
                <w:lang w:eastAsia="ar-SA"/>
              </w:rPr>
            </w:pPr>
            <w:r>
              <w:rPr>
                <w:sz w:val="20"/>
                <w:lang w:eastAsia="ar-SA"/>
              </w:rPr>
              <w:t>1 182 279,00</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5E529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sz w:val="20"/>
                <w:lang w:eastAsia="ar-SA"/>
              </w:rPr>
              <w:t>Iš viso programos veiksmų planui:</w:t>
            </w:r>
          </w:p>
        </w:tc>
        <w:tc>
          <w:tcPr>
            <w:tcW w:w="993"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sz w:val="20"/>
                <w:lang w:eastAsia="ar-SA"/>
              </w:rPr>
              <w:t>Planuotas ir panaudo-tas finansavimas pagal šaltinius</w:t>
            </w: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Savivaldybės biudžeto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33"/>
              <w:jc w:val="right"/>
              <w:rPr>
                <w:sz w:val="20"/>
                <w:lang w:eastAsia="ar-SA"/>
              </w:rPr>
            </w:pPr>
            <w:r>
              <w:rPr>
                <w:sz w:val="20"/>
                <w:lang w:eastAsia="ar-SA"/>
              </w:rPr>
              <w:t>208 638,00</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45"/>
              <w:jc w:val="right"/>
              <w:rPr>
                <w:sz w:val="20"/>
                <w:lang w:eastAsia="ar-SA"/>
              </w:rPr>
            </w:pPr>
            <w:r>
              <w:rPr>
                <w:sz w:val="20"/>
                <w:lang w:eastAsia="ar-SA"/>
              </w:rPr>
              <w:t>–</w:t>
            </w:r>
          </w:p>
        </w:tc>
        <w:tc>
          <w:tcPr>
            <w:tcW w:w="2006" w:type="dxa"/>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both"/>
              <w:rPr>
                <w:sz w:val="20"/>
                <w:lang w:eastAsia="ar-SA"/>
              </w:rPr>
            </w:pPr>
            <w:r>
              <w:rPr>
                <w:sz w:val="20"/>
                <w:lang w:eastAsia="ar-SA"/>
              </w:rPr>
              <w:t>X</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both"/>
              <w:rPr>
                <w:sz w:val="20"/>
                <w:lang w:eastAsia="ar-SA"/>
              </w:rPr>
            </w:pPr>
            <w:r>
              <w:rPr>
                <w:sz w:val="20"/>
                <w:lang w:eastAsia="ar-SA"/>
              </w:rPr>
              <w:t>X</w:t>
            </w: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Valstybės biudžeto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Kitos viešosios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Privačios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right"/>
              <w:rPr>
                <w:sz w:val="20"/>
                <w:lang w:eastAsia="ar-SA"/>
              </w:rPr>
            </w:pPr>
            <w:r>
              <w:rPr>
                <w:sz w:val="20"/>
                <w:lang w:eastAsia="ar-SA"/>
              </w:rPr>
              <w:t>–</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r w:rsidR="002D0F24" w:rsidTr="009F4E48">
        <w:trPr>
          <w:trHeight w:val="183"/>
        </w:trPr>
        <w:tc>
          <w:tcPr>
            <w:tcW w:w="1000"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2402"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993"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p>
        </w:tc>
        <w:tc>
          <w:tcPr>
            <w:tcW w:w="1417"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center"/>
              <w:rPr>
                <w:sz w:val="20"/>
                <w:lang w:eastAsia="ar-SA"/>
              </w:rPr>
            </w:pPr>
            <w:r>
              <w:rPr>
                <w:color w:val="000000"/>
                <w:sz w:val="20"/>
                <w:lang w:eastAsia="lt-LT"/>
              </w:rPr>
              <w:t>ES lėšos</w:t>
            </w:r>
          </w:p>
        </w:tc>
        <w:tc>
          <w:tcPr>
            <w:tcW w:w="1188"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jc w:val="right"/>
              <w:rPr>
                <w:sz w:val="20"/>
                <w:lang w:eastAsia="ar-SA"/>
              </w:rPr>
            </w:pPr>
            <w:r>
              <w:rPr>
                <w:sz w:val="20"/>
                <w:lang w:eastAsia="ar-SA"/>
              </w:rPr>
              <w:t>1 182 279,00</w:t>
            </w:r>
          </w:p>
        </w:tc>
        <w:tc>
          <w:tcPr>
            <w:tcW w:w="1200"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45"/>
              <w:jc w:val="right"/>
              <w:rPr>
                <w:sz w:val="20"/>
                <w:lang w:eastAsia="ar-SA"/>
              </w:rPr>
            </w:pPr>
            <w:r>
              <w:rPr>
                <w:sz w:val="20"/>
                <w:lang w:eastAsia="ar-SA"/>
              </w:rPr>
              <w:t>–</w:t>
            </w:r>
          </w:p>
        </w:tc>
        <w:tc>
          <w:tcPr>
            <w:tcW w:w="2006" w:type="dxa"/>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c>
          <w:tcPr>
            <w:tcW w:w="3893" w:type="dxa"/>
            <w:tcBorders>
              <w:top w:val="single" w:sz="4" w:space="0" w:color="auto"/>
              <w:left w:val="single" w:sz="4" w:space="0" w:color="auto"/>
              <w:bottom w:val="single" w:sz="4" w:space="0" w:color="auto"/>
              <w:right w:val="single" w:sz="4" w:space="0" w:color="auto"/>
            </w:tcBorders>
          </w:tcPr>
          <w:p w:rsidR="002D0F24" w:rsidRDefault="002D0F24" w:rsidP="009B20B9">
            <w:pPr>
              <w:suppressLineNumbers/>
              <w:suppressAutoHyphens/>
              <w:snapToGrid w:val="0"/>
              <w:ind w:firstLine="720"/>
              <w:jc w:val="center"/>
              <w:rPr>
                <w:sz w:val="20"/>
                <w:lang w:eastAsia="ar-SA"/>
              </w:rPr>
            </w:pPr>
          </w:p>
        </w:tc>
      </w:tr>
    </w:tbl>
    <w:p w:rsidR="002D0F24" w:rsidRDefault="002D0F24" w:rsidP="00AE5F44">
      <w:pPr>
        <w:suppressAutoHyphens/>
        <w:ind w:firstLine="720"/>
        <w:jc w:val="both"/>
        <w:rPr>
          <w:iCs/>
          <w:sz w:val="22"/>
          <w:szCs w:val="22"/>
          <w:lang w:eastAsia="ar-SA"/>
        </w:rPr>
      </w:pPr>
    </w:p>
    <w:p w:rsidR="002D0F24" w:rsidRDefault="002D0F24" w:rsidP="00AE5F44">
      <w:pPr>
        <w:suppressAutoHyphens/>
        <w:jc w:val="center"/>
        <w:rPr>
          <w:b/>
          <w:bCs/>
          <w:sz w:val="22"/>
          <w:szCs w:val="22"/>
          <w:lang w:eastAsia="ar-SA"/>
        </w:rPr>
      </w:pPr>
    </w:p>
    <w:p w:rsidR="002D0F24" w:rsidRDefault="002D0F24" w:rsidP="00AE5F44">
      <w:pPr>
        <w:suppressAutoHyphens/>
        <w:jc w:val="center"/>
        <w:rPr>
          <w:b/>
          <w:bCs/>
          <w:sz w:val="22"/>
          <w:szCs w:val="22"/>
          <w:lang w:eastAsia="ar-SA"/>
        </w:rPr>
      </w:pPr>
      <w:r>
        <w:rPr>
          <w:b/>
          <w:bCs/>
          <w:sz w:val="22"/>
          <w:szCs w:val="22"/>
          <w:lang w:eastAsia="ar-SA"/>
        </w:rPr>
        <w:t>III SKYRIUS</w:t>
      </w:r>
    </w:p>
    <w:p w:rsidR="002D0F24" w:rsidRDefault="002D0F24" w:rsidP="00AE5F44">
      <w:pPr>
        <w:suppressAutoHyphens/>
        <w:jc w:val="center"/>
        <w:rPr>
          <w:b/>
          <w:bCs/>
          <w:sz w:val="22"/>
          <w:szCs w:val="22"/>
          <w:lang w:eastAsia="ar-SA"/>
        </w:rPr>
      </w:pPr>
      <w:r>
        <w:rPr>
          <w:b/>
          <w:bCs/>
          <w:sz w:val="22"/>
          <w:szCs w:val="22"/>
          <w:lang w:eastAsia="ar-SA"/>
        </w:rPr>
        <w:t>PASIŪLYMAI DĖL PROGRAMOS PAKEITIMO</w:t>
      </w:r>
    </w:p>
    <w:p w:rsidR="002D0F24" w:rsidRDefault="002D0F24" w:rsidP="00AE5F44">
      <w:pPr>
        <w:suppressAutoHyphens/>
        <w:jc w:val="both"/>
        <w:rPr>
          <w:bCs/>
          <w:sz w:val="22"/>
          <w:szCs w:val="22"/>
          <w:lang w:eastAsia="ar-SA"/>
        </w:rPr>
      </w:pPr>
    </w:p>
    <w:p w:rsidR="002D0F24" w:rsidRDefault="002D0F24" w:rsidP="00EF1C73">
      <w:pPr>
        <w:suppressAutoHyphens/>
        <w:ind w:firstLine="567"/>
        <w:jc w:val="both"/>
        <w:rPr>
          <w:bCs/>
          <w:szCs w:val="24"/>
          <w:lang w:eastAsia="ar-SA"/>
        </w:rPr>
      </w:pPr>
      <w:r>
        <w:rPr>
          <w:bCs/>
          <w:szCs w:val="24"/>
          <w:lang w:eastAsia="ar-SA"/>
        </w:rPr>
        <w:t>3. Siūlant keisti programą turi būti pateikta:</w:t>
      </w:r>
    </w:p>
    <w:p w:rsidR="002D0F24" w:rsidRDefault="002D0F24" w:rsidP="00EF1C73">
      <w:pPr>
        <w:suppressAutoHyphens/>
        <w:ind w:firstLine="567"/>
        <w:jc w:val="both"/>
        <w:rPr>
          <w:bCs/>
          <w:szCs w:val="24"/>
          <w:lang w:eastAsia="ar-SA"/>
        </w:rPr>
      </w:pPr>
      <w:r>
        <w:rPr>
          <w:bCs/>
          <w:szCs w:val="24"/>
          <w:lang w:eastAsia="ar-SA"/>
        </w:rPr>
        <w:t>3.1. poreikį keisti programą pagrindžianti informacija:</w:t>
      </w:r>
    </w:p>
    <w:p w:rsidR="002D0F24" w:rsidRDefault="002D0F24" w:rsidP="00EF1C73">
      <w:pPr>
        <w:suppressAutoHyphens/>
        <w:ind w:firstLine="567"/>
        <w:jc w:val="both"/>
        <w:rPr>
          <w:color w:val="000000"/>
          <w:szCs w:val="22"/>
          <w:lang w:eastAsia="ar-SA"/>
        </w:rPr>
      </w:pPr>
      <w:r>
        <w:rPr>
          <w:color w:val="000000"/>
          <w:szCs w:val="22"/>
          <w:lang w:eastAsia="ar-SA"/>
        </w:rPr>
        <w:t>3.1.1. pakartotinai atlik</w:t>
      </w:r>
      <w:r>
        <w:rPr>
          <w:color w:val="000000"/>
          <w:szCs w:val="24"/>
          <w:lang w:eastAsia="ar-SA"/>
        </w:rPr>
        <w:t>tos programos įgyvendinimo teritorijos vystymo</w:t>
      </w:r>
      <w:r>
        <w:rPr>
          <w:color w:val="000000"/>
          <w:szCs w:val="22"/>
          <w:lang w:eastAsia="ar-SA"/>
        </w:rPr>
        <w:t xml:space="preserve"> tikslų ir (arba) uždavinių ir priemonių alternatyvų įvertinimo išvada ir pridėtas tikslo alternatyvų ir (arba) uždavinio alternatyvų įvertinimas, atliktas pagal gairių 6 priedo metodines rekomendacijas, arba;</w:t>
      </w:r>
    </w:p>
    <w:p w:rsidR="002D0F24" w:rsidRDefault="002D0F24" w:rsidP="00EF1C73">
      <w:pPr>
        <w:suppressAutoHyphens/>
        <w:ind w:firstLine="567"/>
        <w:jc w:val="both"/>
        <w:rPr>
          <w:color w:val="000000"/>
          <w:szCs w:val="22"/>
          <w:lang w:eastAsia="ar-SA"/>
        </w:rPr>
      </w:pPr>
      <w:r>
        <w:rPr>
          <w:color w:val="000000"/>
          <w:szCs w:val="22"/>
          <w:lang w:eastAsia="ar-SA"/>
        </w:rPr>
        <w:t>3.1.2. informacija apie aplinkybes, dėl kurių iškyla grėsmė neįvykdyti programoje nustatytų tikslų ir uždavinių ir pasiūlymai dėl programos pakeitimų, leidžiančių šios grėsmės išvengti ar sumažinti jos poveikį, arba;</w:t>
      </w:r>
    </w:p>
    <w:p w:rsidR="002D0F24" w:rsidRDefault="002D0F24" w:rsidP="00EF1C73">
      <w:pPr>
        <w:suppressAutoHyphens/>
        <w:ind w:firstLine="567"/>
        <w:jc w:val="both"/>
        <w:rPr>
          <w:color w:val="000000"/>
          <w:szCs w:val="24"/>
          <w:lang w:eastAsia="ar-SA"/>
        </w:rPr>
      </w:pPr>
      <w:r>
        <w:rPr>
          <w:color w:val="000000"/>
          <w:szCs w:val="24"/>
          <w:lang w:eastAsia="ar-SA"/>
        </w:rPr>
        <w:t xml:space="preserve">3.1.3. informacija apie sutaupytas lėšas ar atsiradusiais iš anksto nesuplanuotas išlaidas, dėl kurių atsirado poreikis patikslinti programą, arba; </w:t>
      </w:r>
    </w:p>
    <w:p w:rsidR="002D0F24" w:rsidRDefault="002D0F24" w:rsidP="00EF1C73">
      <w:pPr>
        <w:suppressAutoHyphens/>
        <w:ind w:firstLine="567"/>
        <w:jc w:val="both"/>
        <w:rPr>
          <w:color w:val="000000"/>
          <w:szCs w:val="22"/>
          <w:lang w:eastAsia="ar-SA"/>
        </w:rPr>
      </w:pPr>
      <w:r>
        <w:rPr>
          <w:color w:val="000000"/>
          <w:szCs w:val="24"/>
          <w:lang w:eastAsia="ar-SA"/>
        </w:rPr>
        <w:t xml:space="preserve">3.1.4. </w:t>
      </w:r>
      <w:r>
        <w:rPr>
          <w:color w:val="000000"/>
          <w:szCs w:val="22"/>
          <w:lang w:eastAsia="ar-SA"/>
        </w:rPr>
        <w:t>kita svarbi informacija, pagrindžianti reikalingus programos pakeitimus;</w:t>
      </w:r>
    </w:p>
    <w:p w:rsidR="002D0F24" w:rsidRDefault="002D0F24" w:rsidP="00EF1C73">
      <w:pPr>
        <w:suppressAutoHyphens/>
        <w:ind w:firstLine="567"/>
        <w:jc w:val="both"/>
        <w:rPr>
          <w:color w:val="000000"/>
          <w:szCs w:val="22"/>
          <w:lang w:eastAsia="ar-SA"/>
        </w:rPr>
      </w:pPr>
      <w:r>
        <w:rPr>
          <w:color w:val="000000"/>
          <w:szCs w:val="22"/>
          <w:lang w:eastAsia="ar-SA"/>
        </w:rPr>
        <w:t>3.2. s</w:t>
      </w:r>
      <w:r w:rsidRPr="00AE5F44">
        <w:rPr>
          <w:color w:val="000000"/>
          <w:szCs w:val="22"/>
          <w:lang w:val="pt-BR" w:eastAsia="ar-SA"/>
        </w:rPr>
        <w:t>i</w:t>
      </w:r>
      <w:r>
        <w:rPr>
          <w:color w:val="000000"/>
          <w:szCs w:val="22"/>
          <w:lang w:eastAsia="ar-SA"/>
        </w:rPr>
        <w:t>ūlomos keisti programos dalies lyginamasis variantas.</w:t>
      </w:r>
    </w:p>
    <w:p w:rsidR="002D0F24" w:rsidRDefault="002D0F24"/>
    <w:sectPr w:rsidR="002D0F24" w:rsidSect="00EF1C73">
      <w:pgSz w:w="16840" w:h="11907" w:orient="landscape" w:code="9"/>
      <w:pgMar w:top="567" w:right="567" w:bottom="567" w:left="567" w:header="1134" w:footer="567" w:gutter="0"/>
      <w:cols w:space="720"/>
      <w:noEndnote/>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defaultTabStop w:val="720"/>
  <w:drawingGridHorizontalSpacing w:val="100"/>
  <w:drawingGridVerticalSpacing w:val="136"/>
  <w:displayHorizontalDrawingGridEvery w:val="0"/>
  <w:displayVertic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F44"/>
    <w:rsid w:val="00017B83"/>
    <w:rsid w:val="00076987"/>
    <w:rsid w:val="001D570E"/>
    <w:rsid w:val="00202312"/>
    <w:rsid w:val="002D0F24"/>
    <w:rsid w:val="00344587"/>
    <w:rsid w:val="00384996"/>
    <w:rsid w:val="003F3EA9"/>
    <w:rsid w:val="00403B5E"/>
    <w:rsid w:val="004A3B9E"/>
    <w:rsid w:val="005E5299"/>
    <w:rsid w:val="006C355A"/>
    <w:rsid w:val="006C49AD"/>
    <w:rsid w:val="007C25CE"/>
    <w:rsid w:val="008370FA"/>
    <w:rsid w:val="00840692"/>
    <w:rsid w:val="00925C69"/>
    <w:rsid w:val="00935172"/>
    <w:rsid w:val="009B20B9"/>
    <w:rsid w:val="009F4E48"/>
    <w:rsid w:val="00A90F78"/>
    <w:rsid w:val="00AE5F44"/>
    <w:rsid w:val="00AF4F92"/>
    <w:rsid w:val="00B03579"/>
    <w:rsid w:val="00B930DE"/>
    <w:rsid w:val="00BA209E"/>
    <w:rsid w:val="00BB010F"/>
    <w:rsid w:val="00BC061A"/>
    <w:rsid w:val="00CB6E7E"/>
    <w:rsid w:val="00CC0F92"/>
    <w:rsid w:val="00DF597A"/>
    <w:rsid w:val="00E310A5"/>
    <w:rsid w:val="00EF1C73"/>
    <w:rsid w:val="00F461D5"/>
    <w:rsid w:val="00F87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44"/>
    <w:rPr>
      <w:sz w:val="24"/>
      <w:szCs w:val="20"/>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F4E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3B5E"/>
    <w:rPr>
      <w:rFonts w:cs="Times New Roman"/>
      <w:sz w:val="2"/>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3</Pages>
  <Words>616</Words>
  <Characters>3516</Characters>
  <Application>Microsoft Office Outlook</Application>
  <DocSecurity>0</DocSecurity>
  <Lines>0</Lines>
  <Paragraphs>0</Paragraphs>
  <ScaleCrop>false</ScaleCrop>
  <Company>pnrs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Integruotų teritorijų vystymo programų </dc:title>
  <dc:subject/>
  <dc:creator>Migle.Brazeniene</dc:creator>
  <cp:keywords/>
  <dc:description/>
  <cp:lastModifiedBy>Migle.Brazeniene</cp:lastModifiedBy>
  <cp:revision>13</cp:revision>
  <cp:lastPrinted>2017-01-17T12:41:00Z</cp:lastPrinted>
  <dcterms:created xsi:type="dcterms:W3CDTF">2017-01-17T09:02:00Z</dcterms:created>
  <dcterms:modified xsi:type="dcterms:W3CDTF">2017-01-23T12:57:00Z</dcterms:modified>
</cp:coreProperties>
</file>