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0A36F6">
        <w:rPr>
          <w:b/>
          <w:lang w:val="lt-LT"/>
        </w:rPr>
        <w:t>8</w:t>
      </w:r>
      <w:r w:rsidRPr="00C50FA1">
        <w:rPr>
          <w:b/>
          <w:lang w:val="lt-LT"/>
        </w:rPr>
        <w:t>–20</w:t>
      </w:r>
      <w:r w:rsidR="000A36F6">
        <w:rPr>
          <w:b/>
          <w:lang w:val="lt-LT"/>
        </w:rPr>
        <w:t>20</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0A36F6">
              <w:rPr>
                <w:b/>
                <w:lang w:eastAsia="ar-SA"/>
              </w:rPr>
              <w:t>8–2020</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0A36F6">
                    <w:t>8</w:t>
                  </w:r>
                </w:p>
              </w:tc>
              <w:tc>
                <w:tcPr>
                  <w:tcW w:w="1080" w:type="dxa"/>
                </w:tcPr>
                <w:p w:rsidR="00736F71" w:rsidRPr="00C50FA1" w:rsidRDefault="00F1064F" w:rsidP="00865703">
                  <w:pPr>
                    <w:jc w:val="center"/>
                  </w:pPr>
                  <w:r w:rsidRPr="00C50FA1">
                    <w:t>201</w:t>
                  </w:r>
                  <w:r w:rsidR="000A36F6">
                    <w:t>9</w:t>
                  </w:r>
                </w:p>
              </w:tc>
              <w:tc>
                <w:tcPr>
                  <w:tcW w:w="1080" w:type="dxa"/>
                </w:tcPr>
                <w:p w:rsidR="00736F71" w:rsidRPr="00C50FA1" w:rsidRDefault="00F1064F" w:rsidP="000A36F6">
                  <w:pPr>
                    <w:jc w:val="center"/>
                  </w:pPr>
                  <w:r w:rsidRPr="00C50FA1">
                    <w:t>20</w:t>
                  </w:r>
                  <w:r w:rsidR="000A36F6">
                    <w:t>20</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732582">
                    <w:t>9</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2,4</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0A36F6" w:rsidP="008F3656">
                  <w:pPr>
                    <w:jc w:val="center"/>
                  </w:pPr>
                  <w:r>
                    <w:t>6,</w:t>
                  </w:r>
                  <w:r w:rsidR="008F3656">
                    <w:t>4</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5,4</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8F3656" w:rsidP="000A36F6">
                  <w:pPr>
                    <w:jc w:val="center"/>
                  </w:pPr>
                  <w:r>
                    <w:t>6,2</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2017 m. antrąjį ketvirtį tiesioginių užsienio investicijų (TUI) srautas Lietuvoje sudarė 137,5 mln. </w:t>
            </w:r>
            <w:proofErr w:type="spellStart"/>
            <w:r w:rsidRPr="00C23500">
              <w:rPr>
                <w:szCs w:val="24"/>
                <w:shd w:val="clear" w:color="auto" w:fill="FFFFFF"/>
              </w:rPr>
              <w:t>Eur</w:t>
            </w:r>
            <w:proofErr w:type="spellEnd"/>
            <w:r w:rsidRPr="00C23500">
              <w:rPr>
                <w:szCs w:val="24"/>
                <w:shd w:val="clear" w:color="auto" w:fill="FFFFFF"/>
              </w:rPr>
              <w:t xml:space="preserve"> ir, palyginti su 2016 m. antruoju ketvirčiu, padidėjo 25,2</w:t>
            </w:r>
            <w:r w:rsidR="002F487F">
              <w:rPr>
                <w:szCs w:val="24"/>
                <w:shd w:val="clear" w:color="auto" w:fill="FFFFFF"/>
              </w:rPr>
              <w:t xml:space="preserve"> proc.</w:t>
            </w:r>
            <w:r w:rsidRPr="00C23500">
              <w:rPr>
                <w:szCs w:val="24"/>
                <w:shd w:val="clear" w:color="auto" w:fill="FFFFFF"/>
              </w:rPr>
              <w:t>, rodo išankstiniai Lietuvos statistikos departamento duomenys.</w:t>
            </w:r>
          </w:p>
          <w:p w:rsidR="00C23500" w:rsidRPr="00C23500" w:rsidRDefault="009F4881" w:rsidP="00C23500">
            <w:pPr>
              <w:pStyle w:val="Antrats"/>
              <w:ind w:firstLine="747"/>
              <w:jc w:val="both"/>
              <w:rPr>
                <w:szCs w:val="24"/>
                <w:shd w:val="clear" w:color="auto" w:fill="FFFFFF"/>
              </w:rPr>
            </w:pPr>
            <w:r>
              <w:rPr>
                <w:szCs w:val="24"/>
                <w:shd w:val="clear" w:color="auto" w:fill="FFFFFF"/>
              </w:rPr>
              <w:t>Š</w:t>
            </w:r>
            <w:r w:rsidR="00C23500" w:rsidRPr="00C23500">
              <w:rPr>
                <w:szCs w:val="24"/>
                <w:shd w:val="clear" w:color="auto" w:fill="FFFFFF"/>
              </w:rPr>
              <w:t xml:space="preserve">ių metų antrojo ketvirčio teigiamą TUI srautą lėmė didėjusios reinvesticijos (93,7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Didžiausias TUI srautas Lietuvoje buvo į finansinę ir draudimo veiklą – 60,3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didmeninę bei mažmeninę prekybą; variklinių transporto priemonių ir motociklų remontą – 54,9 mln. </w:t>
            </w:r>
            <w:proofErr w:type="spellStart"/>
            <w:r w:rsidR="00C23500" w:rsidRPr="00C23500">
              <w:rPr>
                <w:szCs w:val="24"/>
                <w:shd w:val="clear" w:color="auto" w:fill="FFFFFF"/>
              </w:rPr>
              <w:t>Eur</w:t>
            </w:r>
            <w:proofErr w:type="spellEnd"/>
            <w:r w:rsidR="00C23500"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Labiausiai mažėjusios TUI (–53,8 mln. </w:t>
            </w:r>
            <w:proofErr w:type="spellStart"/>
            <w:r w:rsidRPr="00C23500">
              <w:rPr>
                <w:szCs w:val="24"/>
                <w:shd w:val="clear" w:color="auto" w:fill="FFFFFF"/>
              </w:rPr>
              <w:t>Eur</w:t>
            </w:r>
            <w:proofErr w:type="spellEnd"/>
            <w:r w:rsidRPr="00C23500">
              <w:rPr>
                <w:szCs w:val="24"/>
                <w:shd w:val="clear" w:color="auto" w:fill="FFFFFF"/>
              </w:rPr>
              <w:t xml:space="preserve">) užfiksuotos informacijų ir ryšių veikloje, kurias lėmė grąžintos skolos priemonės (–37,6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TUI pajamos, tenkančios </w:t>
            </w:r>
            <w:proofErr w:type="spellStart"/>
            <w:r w:rsidRPr="00C23500">
              <w:rPr>
                <w:szCs w:val="24"/>
                <w:shd w:val="clear" w:color="auto" w:fill="FFFFFF"/>
              </w:rPr>
              <w:t>nerezidentų</w:t>
            </w:r>
            <w:proofErr w:type="spellEnd"/>
            <w:r w:rsidRPr="00C23500">
              <w:rPr>
                <w:szCs w:val="24"/>
                <w:shd w:val="clear" w:color="auto" w:fill="FFFFFF"/>
              </w:rPr>
              <w:t xml:space="preserve"> investicijoms Lietuvoje, 2017 m. antrąjį ketvirtį sudarė 400,6 mln. </w:t>
            </w:r>
            <w:proofErr w:type="spellStart"/>
            <w:r w:rsidRPr="00C23500">
              <w:rPr>
                <w:szCs w:val="24"/>
                <w:shd w:val="clear" w:color="auto" w:fill="FFFFFF"/>
              </w:rPr>
              <w:t>Eur</w:t>
            </w:r>
            <w:proofErr w:type="spellEnd"/>
            <w:r w:rsidRPr="00C23500">
              <w:rPr>
                <w:szCs w:val="24"/>
                <w:shd w:val="clear" w:color="auto" w:fill="FFFFFF"/>
              </w:rPr>
              <w:t xml:space="preserve">. Daugiausia pajamų iš TUI Lietuvoje uždirbo Švedija (97 mln. </w:t>
            </w:r>
            <w:proofErr w:type="spellStart"/>
            <w:r w:rsidRPr="00C23500">
              <w:rPr>
                <w:szCs w:val="24"/>
                <w:shd w:val="clear" w:color="auto" w:fill="FFFFFF"/>
              </w:rPr>
              <w:t>Eur</w:t>
            </w:r>
            <w:proofErr w:type="spellEnd"/>
            <w:r w:rsidRPr="00C23500">
              <w:rPr>
                <w:szCs w:val="24"/>
                <w:shd w:val="clear" w:color="auto" w:fill="FFFFFF"/>
              </w:rPr>
              <w:t xml:space="preserve">), Nyderlandai (62,1 mln. </w:t>
            </w:r>
            <w:proofErr w:type="spellStart"/>
            <w:r w:rsidRPr="00C23500">
              <w:rPr>
                <w:szCs w:val="24"/>
                <w:shd w:val="clear" w:color="auto" w:fill="FFFFFF"/>
              </w:rPr>
              <w:t>Eur</w:t>
            </w:r>
            <w:proofErr w:type="spellEnd"/>
            <w:r w:rsidRPr="00C23500">
              <w:rPr>
                <w:szCs w:val="24"/>
                <w:shd w:val="clear" w:color="auto" w:fill="FFFFFF"/>
              </w:rPr>
              <w:t xml:space="preserve">) ir Estija (35,6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Sukauptosios TUI Lietuvoje </w:t>
            </w:r>
            <w:r w:rsidR="009F4881">
              <w:rPr>
                <w:szCs w:val="24"/>
                <w:shd w:val="clear" w:color="auto" w:fill="FFFFFF"/>
              </w:rPr>
              <w:t>2017</w:t>
            </w:r>
            <w:r w:rsidRPr="00C23500">
              <w:rPr>
                <w:szCs w:val="24"/>
                <w:shd w:val="clear" w:color="auto" w:fill="FFFFFF"/>
              </w:rPr>
              <w:t xml:space="preserve"> metų birželio 30 d. buvo 14,3 mlrd. </w:t>
            </w:r>
            <w:proofErr w:type="spellStart"/>
            <w:r w:rsidRPr="00C23500">
              <w:rPr>
                <w:szCs w:val="24"/>
                <w:shd w:val="clear" w:color="auto" w:fill="FFFFFF"/>
              </w:rPr>
              <w:t>Eur</w:t>
            </w:r>
            <w:proofErr w:type="spellEnd"/>
            <w:r w:rsidRPr="00C23500">
              <w:rPr>
                <w:szCs w:val="24"/>
                <w:shd w:val="clear" w:color="auto" w:fill="FFFFFF"/>
              </w:rPr>
              <w:t xml:space="preserve"> ir sudarė 35,7</w:t>
            </w:r>
            <w:r w:rsidR="002F487F">
              <w:rPr>
                <w:szCs w:val="24"/>
                <w:shd w:val="clear" w:color="auto" w:fill="FFFFFF"/>
              </w:rPr>
              <w:t xml:space="preserve"> proc. </w:t>
            </w:r>
            <w:r w:rsidRPr="00C23500">
              <w:rPr>
                <w:szCs w:val="24"/>
                <w:shd w:val="clear" w:color="auto" w:fill="FFFFFF"/>
              </w:rPr>
              <w:t>šalies BVP. Lyginant su 2016 m. antru</w:t>
            </w:r>
            <w:r w:rsidR="002F487F">
              <w:rPr>
                <w:szCs w:val="24"/>
                <w:shd w:val="clear" w:color="auto" w:fill="FFFFFF"/>
              </w:rPr>
              <w:t>oju ketvirčiu, jos padidėjo 7,2 proc.</w:t>
            </w:r>
            <w:r w:rsidRPr="00C23500">
              <w:rPr>
                <w:szCs w:val="24"/>
                <w:shd w:val="clear" w:color="auto" w:fill="FFFFFF"/>
              </w:rPr>
              <w:t xml:space="preserve"> Vienam šalies</w:t>
            </w:r>
            <w:r w:rsidR="009F4881">
              <w:rPr>
                <w:szCs w:val="24"/>
                <w:shd w:val="clear" w:color="auto" w:fill="FFFFFF"/>
              </w:rPr>
              <w:t xml:space="preserve"> gyventojui vidutiniškai teko 5,</w:t>
            </w:r>
            <w:r w:rsidRPr="00C23500">
              <w:rPr>
                <w:szCs w:val="24"/>
                <w:shd w:val="clear" w:color="auto" w:fill="FFFFFF"/>
              </w:rPr>
              <w:t xml:space="preserve">063 </w:t>
            </w:r>
            <w:proofErr w:type="spellStart"/>
            <w:r w:rsidRPr="00C23500">
              <w:rPr>
                <w:szCs w:val="24"/>
                <w:shd w:val="clear" w:color="auto" w:fill="FFFFFF"/>
              </w:rPr>
              <w:t>Eur</w:t>
            </w:r>
            <w:proofErr w:type="spellEnd"/>
            <w:r w:rsidRPr="00C23500">
              <w:rPr>
                <w:szCs w:val="24"/>
                <w:shd w:val="clear" w:color="auto" w:fill="FFFFFF"/>
              </w:rPr>
              <w:t xml:space="preserve"> TUI, kai 2016 m. gruodžio 31 d. jos siekė</w:t>
            </w:r>
            <w:r w:rsidR="009F4881">
              <w:rPr>
                <w:szCs w:val="24"/>
                <w:shd w:val="clear" w:color="auto" w:fill="FFFFFF"/>
              </w:rPr>
              <w:t xml:space="preserve"> 4,</w:t>
            </w:r>
            <w:r w:rsidRPr="00C23500">
              <w:rPr>
                <w:szCs w:val="24"/>
                <w:shd w:val="clear" w:color="auto" w:fill="FFFFFF"/>
              </w:rPr>
              <w:t xml:space="preserve">890 </w:t>
            </w:r>
            <w:proofErr w:type="spellStart"/>
            <w:r w:rsidRPr="00C23500">
              <w:rPr>
                <w:szCs w:val="24"/>
                <w:shd w:val="clear" w:color="auto" w:fill="FFFFFF"/>
              </w:rPr>
              <w:t>Eur</w:t>
            </w:r>
            <w:proofErr w:type="spellEnd"/>
            <w:r w:rsidRPr="00C23500">
              <w:rPr>
                <w:szCs w:val="24"/>
                <w:shd w:val="clear" w:color="auto" w:fill="FFFFFF"/>
              </w:rPr>
              <w:t xml:space="preserve"> gyventojui.</w:t>
            </w:r>
          </w:p>
          <w:p w:rsidR="009A5788" w:rsidRPr="00C50FA1" w:rsidRDefault="00EA2CC1" w:rsidP="00F80CF5">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FC6076" w:rsidRDefault="00FB1CD9">
            <w:pPr>
              <w:ind w:firstLine="709"/>
              <w:jc w:val="both"/>
              <w:rPr>
                <w:color w:val="FF0000"/>
              </w:rPr>
            </w:pPr>
            <w:r w:rsidRPr="00FB1CD9">
              <w:lastRenderedPageBreak/>
              <w:t>Panevėžio rajone prioritetinės žemės ūkio veiklos šakos yra javų, rapsų auginimas. Rajone</w:t>
            </w:r>
            <w:proofErr w:type="gramStart"/>
            <w:r w:rsidRPr="00FB1CD9">
              <w:t xml:space="preserve">  </w:t>
            </w:r>
            <w:proofErr w:type="gramEnd"/>
            <w:r w:rsidRPr="00FB1CD9">
              <w:t xml:space="preserve">įregistruota 2 217 ūkininkų ūkių ir veikia daugiau nei 50 žemės ūkio įmonių, stambiausios iš jų yra UAB „Krekenava“, </w:t>
            </w:r>
            <w:proofErr w:type="spellStart"/>
            <w:r w:rsidRPr="00FB1CD9">
              <w:t>Žibartonių</w:t>
            </w:r>
            <w:proofErr w:type="spellEnd"/>
            <w:r w:rsidRPr="00FB1CD9">
              <w:t>, Aukštadvario, Ėriškių ir Jotainių žemės ūkio bendrovės. Nors augalininkystė – didžiausias rajono ūkininkų pajamų šaltinis, rajone užauginama daug bulvių, vaisių, uogų, plėtojama ekologinė žemdirbystė. Rajone plėtojamos ir netradicinės ūkio šakos: kailinių žvėrelių, sraigių, danielių, tauriųjų elnių ir alpakų auginimas, yra ir vaistažolių augintojų.</w:t>
            </w:r>
          </w:p>
          <w:p w:rsidR="00DB3611" w:rsidRDefault="009018BB">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2F7C21">
              <w:t>3</w:t>
            </w:r>
            <w:r w:rsidR="003061EE" w:rsidRPr="0029279E">
              <w:t>9</w:t>
            </w:r>
            <w:r w:rsidR="00173B99" w:rsidRPr="0029279E">
              <w:t xml:space="preserve"> kultūros paveldo objekt</w:t>
            </w:r>
            <w:r w:rsidR="00FC04A8" w:rsidRPr="0029279E">
              <w:t>ai</w:t>
            </w:r>
            <w:r w:rsidR="00173B99" w:rsidRPr="0029279E">
              <w:t xml:space="preserve">: 58 iš jų pripažinti valstybės saugomais, </w:t>
            </w:r>
            <w:r w:rsidR="00B0543E" w:rsidRPr="0029279E">
              <w:t xml:space="preserve">    </w:t>
            </w:r>
            <w:r w:rsidR="002F7C21">
              <w:t>18</w:t>
            </w:r>
            <w:r w:rsidR="003061EE" w:rsidRPr="0029279E">
              <w:t>1</w:t>
            </w:r>
            <w:r w:rsidR="00173B99" w:rsidRPr="0029279E">
              <w:t xml:space="preserve"> įrašyt</w:t>
            </w:r>
            <w:r w:rsidR="00FC04A8" w:rsidRPr="0029279E">
              <w:t>a</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B6BBB" w:rsidRPr="00BB6BBB" w:rsidRDefault="00BB6BBB" w:rsidP="00BB6BBB">
            <w:pPr>
              <w:pStyle w:val="Pagrindinistekstas"/>
              <w:spacing w:after="0"/>
              <w:ind w:firstLine="709"/>
              <w:jc w:val="both"/>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1 712,6  km kelių, iš jų asfaltuotų – 266,40 km, žvyruotų – 1 241,60 km, </w:t>
            </w:r>
            <w:proofErr w:type="spellStart"/>
            <w:r w:rsidRPr="00BB6BBB">
              <w:t>gruntkelių</w:t>
            </w:r>
            <w:proofErr w:type="spellEnd"/>
            <w:r w:rsidRPr="00BB6BBB">
              <w:t xml:space="preserve"> – 204,6 km. Jų eksploatacija brangiai kainuoja, be to, tam tikrais metų laikotarpiais jie tampa sunkiai išvažiuojami, nesaugūs, transporto sukeliamos dulkės didina aplinkos oro taršą.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lastRenderedPageBreak/>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  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81C5E" w:rsidRPr="00687951">
              <w:t>8</w:t>
            </w:r>
            <w:r w:rsidR="007F77AB" w:rsidRPr="00687951">
              <w:t xml:space="preserve"> m. pradžioje Panevėžio rajone gyven</w:t>
            </w:r>
            <w:r w:rsidR="00D81C5E" w:rsidRPr="00687951">
              <w:t>amąją vietą deklaravo 39 936</w:t>
            </w:r>
            <w:r w:rsidR="00174FD9" w:rsidRPr="00687951">
              <w:t xml:space="preserve"> </w:t>
            </w:r>
            <w:r w:rsidR="007F77AB" w:rsidRPr="00687951">
              <w:t>gyventojai,</w:t>
            </w:r>
            <w:r w:rsidR="00041095" w:rsidRPr="00687951">
              <w:t xml:space="preserve"> </w:t>
            </w:r>
            <w:r w:rsidR="00D81C5E" w:rsidRPr="00687951">
              <w:t>2017 m. pradžioje – 4</w:t>
            </w:r>
            <w:r w:rsidR="002E349D">
              <w:t>0 958</w:t>
            </w:r>
            <w:r w:rsidR="00D81C5E" w:rsidRPr="00687951">
              <w:t xml:space="preserve">, </w:t>
            </w:r>
            <w:r w:rsidR="001470D5" w:rsidRPr="00687951">
              <w:t>2016 m. pradžioje – 41 </w:t>
            </w:r>
            <w:r w:rsidR="002E349D" w:rsidRPr="00687951">
              <w:t>3</w:t>
            </w:r>
            <w:r w:rsidR="002E349D">
              <w:t>84</w:t>
            </w:r>
            <w:bookmarkStart w:id="0" w:name="_GoBack"/>
            <w:bookmarkEnd w:id="0"/>
            <w:r w:rsidR="001470D5" w:rsidRPr="00687951">
              <w:t xml:space="preserve">, </w:t>
            </w:r>
            <w:r w:rsidR="007F77AB" w:rsidRPr="00687951">
              <w:t xml:space="preserve">2015 m. pradžioje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5B2A77" w:rsidRPr="00687951">
              <w:t>pradžioje</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687951" w:rsidRDefault="00620611" w:rsidP="00620611">
            <w:pPr>
              <w:tabs>
                <w:tab w:val="left" w:pos="900"/>
                <w:tab w:val="left" w:pos="1260"/>
              </w:tabs>
              <w:ind w:firstLine="498"/>
              <w:jc w:val="both"/>
            </w:pPr>
            <w:r w:rsidRPr="00687951">
              <w:t>Savivaldybės seniūnijose dirba socialiniai darbuotojai bei socialiniai darbuotojai darbui su socialinės rizikos šeimomis,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105BD0" w:rsidRDefault="00105BD0" w:rsidP="00105BD0">
            <w:pPr>
              <w:autoSpaceDE w:val="0"/>
              <w:ind w:firstLine="540"/>
              <w:jc w:val="both"/>
            </w:pPr>
            <w:r>
              <w:t xml:space="preserve">2017–2018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105BD0" w:rsidRDefault="00105BD0" w:rsidP="00105BD0">
            <w:pPr>
              <w:autoSpaceDE w:val="0"/>
              <w:ind w:firstLine="540"/>
              <w:jc w:val="both"/>
            </w:pPr>
            <w:r>
              <w:t>2017–2018 m. m. bendrojo ugdymo mokyklose mokosi 3 043 mokiniai, ikimokyklinio ugdymo grupes lanko 769 vaikai, priešmokyklinio ugdymo grupes lanko 216 vaikų.</w:t>
            </w:r>
          </w:p>
          <w:p w:rsidR="00105BD0" w:rsidRDefault="00105BD0" w:rsidP="00105BD0">
            <w:pPr>
              <w:autoSpaceDE w:val="0"/>
              <w:ind w:firstLine="540"/>
              <w:jc w:val="both"/>
            </w:pPr>
            <w:r>
              <w:t xml:space="preserve">2017–2018 m. m. švietimo srities veiklos prioritetai: </w:t>
            </w:r>
          </w:p>
          <w:p w:rsidR="00105BD0" w:rsidRDefault="00105BD0" w:rsidP="00105BD0">
            <w:pPr>
              <w:autoSpaceDE w:val="0"/>
              <w:ind w:firstLine="540"/>
              <w:jc w:val="both"/>
            </w:pPr>
            <w:r>
              <w:t>1. Mokymo(</w:t>
            </w:r>
            <w:proofErr w:type="spellStart"/>
            <w:r>
              <w:t>si</w:t>
            </w:r>
            <w:proofErr w:type="spellEnd"/>
            <w:r>
              <w:t>) kokybė (mokymosi pasiekimai);</w:t>
            </w:r>
          </w:p>
          <w:p w:rsidR="00105BD0" w:rsidRDefault="00105BD0" w:rsidP="00105BD0">
            <w:pPr>
              <w:autoSpaceDE w:val="0"/>
              <w:ind w:firstLine="540"/>
              <w:jc w:val="both"/>
            </w:pPr>
            <w:r>
              <w:t>2. Smurto ir patyčių prevencija.</w:t>
            </w:r>
          </w:p>
          <w:p w:rsidR="00105BD0" w:rsidRDefault="00105BD0" w:rsidP="00105BD0">
            <w:pPr>
              <w:autoSpaceDE w:val="0"/>
              <w:ind w:firstLine="540"/>
              <w:jc w:val="both"/>
              <w:rPr>
                <w:u w:val="single"/>
                <w:shd w:val="clear" w:color="auto" w:fill="FFFFFF"/>
              </w:rPr>
            </w:pPr>
            <w:r>
              <w:lastRenderedPageBreak/>
              <w:t xml:space="preserve">2017–2018 m. m. švietimo srities veiklos prioritetus įgyvendina </w:t>
            </w:r>
            <w:r w:rsidR="00DF1744">
              <w:t>Š</w:t>
            </w:r>
            <w:r>
              <w:t xml:space="preserve">vietimo, kultūros ir </w:t>
            </w:r>
            <w:proofErr w:type="gramStart"/>
            <w:r>
              <w:t>sporto skyrius</w:t>
            </w:r>
            <w:proofErr w:type="gramEnd"/>
            <w:r>
              <w:t>,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74454A" w:rsidRPr="0074454A" w:rsidRDefault="0074454A" w:rsidP="0074454A">
            <w:pPr>
              <w:ind w:firstLine="720"/>
              <w:jc w:val="both"/>
            </w:pPr>
            <w:r w:rsidRPr="0074454A">
              <w:t>Panevėžio rajono savivaldybė turi pakankamai gerai išplėtotą kultūros centrų tinklą. 2017 m. Panevėžio rajone veikė 12 kultūros centrų ir 19 jų padalinių, juose 149 įvairūs meno kolektyvai,                   2 787 dalyviai. Kultūros centruose dirbo 174 darbuotojai, iš jų 120 kultūros ir meno darbuotojų.</w:t>
            </w:r>
          </w:p>
          <w:p w:rsidR="0074454A" w:rsidRDefault="0074454A" w:rsidP="0074454A">
            <w:pPr>
              <w:ind w:firstLine="720"/>
              <w:jc w:val="both"/>
            </w:pPr>
            <w:r w:rsidRPr="0074454A">
              <w:t>Rajone yra 33 žiūrovų salės, kuriose telpa 4 920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470537">
              <w:t>7</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w:t>
            </w:r>
            <w:r w:rsidR="008005D1">
              <w:br/>
            </w:r>
            <w:r w:rsidRPr="00E25CDB">
              <w:t>e</w:t>
            </w:r>
            <w:r w:rsidR="008005D1">
              <w:t xml:space="preserve">. </w:t>
            </w:r>
            <w:r w:rsidRPr="00E25CDB">
              <w:t>sveikat</w:t>
            </w:r>
            <w:r w:rsidR="003853A6">
              <w:t>os</w:t>
            </w:r>
            <w:r w:rsidRPr="00E25CDB">
              <w:t>, e</w:t>
            </w:r>
            <w:r w:rsidR="008005D1">
              <w:t xml:space="preserve">. </w:t>
            </w:r>
            <w:r w:rsidRPr="00E25CDB">
              <w:t>valdži</w:t>
            </w:r>
            <w:r w:rsidR="003853A6">
              <w:t>os</w:t>
            </w:r>
            <w:r w:rsidRPr="00E25CDB">
              <w:t>, e</w:t>
            </w:r>
            <w:r w:rsidR="008005D1">
              <w:t xml:space="preserve">. </w:t>
            </w:r>
            <w:r w:rsidRPr="00E25CDB">
              <w:t>bankininkystė</w:t>
            </w:r>
            <w:r w:rsidR="003853A6">
              <w:t>s</w:t>
            </w:r>
            <w:r w:rsidRPr="00E25CDB">
              <w:t xml:space="preserve"> ir kt. paslaugomis, teikiamos kopijavimo, spausdinimo, skenavimo ir kt. paslaugos.</w:t>
            </w:r>
          </w:p>
          <w:p w:rsidR="00470537" w:rsidRPr="00470537" w:rsidRDefault="00470537" w:rsidP="00470537">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biblioteka-universalus daugiafunkcis centras sėkmingai vykdo kultūrinio švietimo, sociokultūrinės edukacijos, neformaliojo švietimo </w:t>
            </w:r>
            <w:r w:rsidRPr="00470537">
              <w:t xml:space="preserve">veiklas. Nuo 2016 metų čia veikia Vaikų dienos centras, įsteigtas vykdant socialinės apsaugos ir darbo ministerijos finansuojamą projektą. NVŠ edukacinės vaikų neformaliojo 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470537" w:rsidRPr="00470537" w:rsidRDefault="00470537" w:rsidP="00470537">
            <w:pPr>
              <w:ind w:firstLine="720"/>
              <w:jc w:val="both"/>
            </w:pPr>
            <w:r w:rsidRPr="00470537">
              <w:t xml:space="preserve">Pagerintos skaitytojų aptarnavimo sąlygos viešojoje bibliotekoje. Po remonto skaitytojams atverti saugyklos fondai, pertvarkytas vaikų literatūros fondas.  </w:t>
            </w:r>
          </w:p>
          <w:p w:rsidR="00470537" w:rsidRPr="00C50FA1" w:rsidRDefault="00470537" w:rsidP="00470537">
            <w:pPr>
              <w:autoSpaceDE w:val="0"/>
              <w:ind w:firstLine="720"/>
              <w:jc w:val="both"/>
            </w:pPr>
            <w:r w:rsidRPr="00470537">
              <w:t>Viešojoje bibliotekoje ir Ramygalos bibliotekoje įdiegta LIBIS sistema ir 11 posistemės modulių. LIBIS SAP (skaitytojų aptarnavimo posistemis) sėkmingai diegiamas kitose rajono bibliotekose</w:t>
            </w:r>
            <w:r>
              <w:t>.</w:t>
            </w:r>
            <w:r w:rsidRPr="00470537">
              <w:t xml:space="preserve"> Skaitytoj</w:t>
            </w:r>
            <w:r w:rsidRPr="00E25CDB">
              <w:t>ai naudojasi internetine knygų užsakymo, rezervavimo sistema. Veikia knygų grąžinimo savitarnos įrenginys. Bibliotekos teikia e</w:t>
            </w:r>
            <w:r w:rsidR="008005D1">
              <w:t xml:space="preserve">. </w:t>
            </w:r>
            <w:r w:rsidRPr="00E25CDB">
              <w:t xml:space="preserve">valdžios paslaugas, organizuojamos konsultacijos bei mokymai </w:t>
            </w:r>
            <w:r w:rsidR="008005D1">
              <w:t xml:space="preserve">gyventojams </w:t>
            </w:r>
            <w:r w:rsidRPr="00E25CDB">
              <w:t xml:space="preserve">teikiant deklaracijas Valstybinei mokesčių inspekcijai. Biblioteka dalyvauja įvairiuose 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6735AD" w:rsidRPr="009018BB" w:rsidRDefault="006735AD" w:rsidP="006735AD">
            <w:pPr>
              <w:ind w:firstLine="720"/>
              <w:jc w:val="both"/>
            </w:pPr>
            <w:r w:rsidRPr="009018BB">
              <w:t>Panevėžio rajone veikia 18 sporto klubų, kuriuose sportuoja 400 rajono gyventojų. Seniūnijose sporto renginių organizavimu, gyventojų sporto užimtumu rūpinasi 13 sporto metodininkų. Daugiausia naudojamasi mokyklų sporto bazėmis.</w:t>
            </w:r>
          </w:p>
          <w:p w:rsidR="006735AD" w:rsidRPr="009018BB" w:rsidRDefault="006735AD" w:rsidP="006735AD">
            <w:pPr>
              <w:ind w:firstLine="720"/>
              <w:jc w:val="both"/>
            </w:pPr>
            <w:r w:rsidRPr="009018BB">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9018BB">
              <w:t>Žibartonių</w:t>
            </w:r>
            <w:proofErr w:type="spellEnd"/>
            <w:r w:rsidRPr="009018BB">
              <w:t xml:space="preserve"> pagrindinės mokyklos, Paįstrio Juozo Zikaro gimnazijos Skaistgirių skyrius.</w:t>
            </w:r>
          </w:p>
          <w:p w:rsidR="00855D2A" w:rsidRPr="009018BB"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9018BB" w:rsidRPr="009018BB" w:rsidRDefault="009018BB" w:rsidP="009018BB">
            <w:pPr>
              <w:pStyle w:val="Pagrindinistekstas"/>
              <w:spacing w:after="0"/>
              <w:ind w:firstLine="709"/>
              <w:jc w:val="both"/>
            </w:pPr>
            <w:r w:rsidRPr="009018BB">
              <w:t>Panevėžio rajono savivaldybės asmenų ir šeimų, turinčių teisę į paramą būstui išsinuomoti, sąrašuose 2018 m. sausio 12 d. yra 110 asmen</w:t>
            </w:r>
            <w:r w:rsidR="008005D1">
              <w:t>ų</w:t>
            </w:r>
            <w:r w:rsidRPr="009018BB">
              <w:t xml:space="preserve"> ir šeim</w:t>
            </w:r>
            <w:r w:rsidR="008005D1">
              <w:t>ų</w:t>
            </w:r>
            <w:r w:rsidRPr="009018BB">
              <w:t xml:space="preserve">. </w:t>
            </w:r>
          </w:p>
          <w:p w:rsidR="009229F5" w:rsidRPr="00C50FA1" w:rsidRDefault="009018BB" w:rsidP="009018BB">
            <w:pPr>
              <w:ind w:firstLine="621"/>
              <w:jc w:val="both"/>
            </w:pPr>
            <w:r w:rsidRPr="009018BB">
              <w:t>2017 m. išnuomota 9 socialiniai būstai pagal sąrašus: 3 – šeimoms, auginančioms tris ir daugiau vaikų (įvaikių); 2 – asmenims (šeimoms) iš bendrojo sąrašo, 2 – šeimai iš jaunų šeimų sąrašo,                      2 – šeimoms, iš socialinio būsto nuomininkų, turinčių teisę į būsto sąlygų pagerinimą, sąrašo.                       4 savivaldybės būstai išnuomoti: 2 šeimoms savivaldybės laikinasis būstas, 1 šeimai savivaldybės būstas neterminuotai, 1 asmeniui savivaldybės būstas, iškeldinus iš savivaldybės būsto, pripažintu avariniu. Palyginti su 2016 m. būstų išnuomota mažiau, nes tušti būstai yra nepaklausūs, per toli nuo Panevėžio m. centro.</w:t>
            </w:r>
            <w:r>
              <w:t xml:space="preserve"> </w:t>
            </w:r>
            <w:r w:rsidR="009229F5" w:rsidRPr="00C50FA1">
              <w:t xml:space="preserve"> </w:t>
            </w:r>
          </w:p>
          <w:p w:rsidR="009A5788" w:rsidRPr="00C50FA1" w:rsidRDefault="009A5788">
            <w:pPr>
              <w:pStyle w:val="Pagrindinistekstas"/>
              <w:spacing w:after="0"/>
              <w:ind w:firstLine="709"/>
              <w:jc w:val="both"/>
              <w:rPr>
                <w:u w:val="single"/>
              </w:rPr>
            </w:pPr>
            <w:r w:rsidRPr="00D10310">
              <w:rPr>
                <w:u w:val="single"/>
              </w:rPr>
              <w:lastRenderedPageBreak/>
              <w:t>Sveikata</w:t>
            </w:r>
          </w:p>
          <w:p w:rsidR="00D10310" w:rsidRPr="00C50FA1" w:rsidRDefault="00D10310" w:rsidP="00D10310">
            <w:pPr>
              <w:tabs>
                <w:tab w:val="left" w:pos="709"/>
              </w:tabs>
              <w:ind w:firstLine="720"/>
              <w:jc w:val="both"/>
            </w:pPr>
            <w:r w:rsidRPr="00D10310">
              <w:t xml:space="preserve">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w:t>
            </w:r>
            <w:proofErr w:type="spellStart"/>
            <w:r w:rsidRPr="00D10310">
              <w:t>licenziją</w:t>
            </w:r>
            <w:proofErr w:type="spellEnd"/>
            <w:r w:rsidRPr="00D10310">
              <w:t xml:space="preserve">. VšĮ Krekenavos pirminės sveikatos priežiūros centras teikia kvalifikuotas pirminės ambulatorinės ir stacionarinės (palaikomojo gydymo ir slaugos) asmens sveikatos priežiūros paslaugas pagal įstaigos turimą asmens sveikatos priežiūros </w:t>
            </w:r>
            <w:proofErr w:type="spellStart"/>
            <w:r w:rsidRPr="00D10310">
              <w:t>licenziją</w:t>
            </w:r>
            <w:proofErr w:type="spellEnd"/>
            <w:r w:rsidRPr="00D10310">
              <w:t>.</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Default="00F00C6D" w:rsidP="00F00C6D">
            <w:pPr>
              <w:tabs>
                <w:tab w:val="left" w:pos="900"/>
                <w:tab w:val="left" w:pos="1260"/>
              </w:tabs>
              <w:ind w:firstLine="498"/>
              <w:jc w:val="both"/>
            </w:pPr>
            <w:r>
              <w:t xml:space="preserve">2017 m. I pusmetį apskrities VPK sulaukė 23 972 pranešimų, reaguota į 18 113. Sunkių ir labai sunkių nusikaltimų registruota 65, ištirta – 80. Panevėžio apskrities VPK Organizuoto nusikalstamumo tyrimo valdybos duomenimis, Panevėžio apskrityje dominuojančios nusikalstamos veikos yra vagystės. Per pusmetį jų įvykdyta 775. Užfiksuoti  smurto artimoje aplinkoje </w:t>
            </w:r>
            <w:r w:rsidR="008005D1">
              <w:t xml:space="preserve">526 </w:t>
            </w:r>
            <w:r>
              <w:t xml:space="preserve">atvejai, 130 viešosios tvarkos pažeidimų, 122 nusikaltimai finansų sistemai.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775D6C" w:rsidRPr="00775D6C" w:rsidRDefault="00775D6C" w:rsidP="00775D6C">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775D6C">
              <w:rPr>
                <w:szCs w:val="24"/>
              </w:rPr>
              <w:t>2017 m. pirmąjį ketvirtį asmeninius kompiuterius nam</w:t>
            </w:r>
            <w:r w:rsidR="008005D1">
              <w:rPr>
                <w:szCs w:val="24"/>
              </w:rPr>
              <w:t>i</w:t>
            </w:r>
            <w:r w:rsidRPr="00775D6C">
              <w:rPr>
                <w:szCs w:val="24"/>
              </w:rPr>
              <w:t>e turėjo 73 proc., interneto prieigą 75 proc. namų ūkių, tai atitinkamai 1 ir 2 proc. punktais daugiau nei 2016 m.</w:t>
            </w:r>
            <w:r>
              <w:rPr>
                <w:szCs w:val="24"/>
              </w:rPr>
              <w:t xml:space="preserve"> </w:t>
            </w:r>
            <w:r w:rsidRPr="00775D6C">
              <w:rPr>
                <w:szCs w:val="24"/>
              </w:rPr>
              <w:t>Mieste kompiuterius ir interneto prieigą nam</w:t>
            </w:r>
            <w:r w:rsidR="008005D1">
              <w:rPr>
                <w:szCs w:val="24"/>
              </w:rPr>
              <w:t>i</w:t>
            </w:r>
            <w:r w:rsidRPr="00775D6C">
              <w:rPr>
                <w:szCs w:val="24"/>
              </w:rPr>
              <w:t>e turėjo atitinkamai 78 ir 80 proc. namų ūkių, kaime – atitinkamai 63 ir 66 proc.</w:t>
            </w:r>
            <w:r>
              <w:rPr>
                <w:szCs w:val="24"/>
              </w:rPr>
              <w:t xml:space="preserve"> </w:t>
            </w:r>
            <w:r w:rsidRPr="00775D6C">
              <w:rPr>
                <w:szCs w:val="24"/>
              </w:rPr>
              <w:t>Beveik visi namų ūkiai, turintys nam</w:t>
            </w:r>
            <w:r w:rsidR="008005D1">
              <w:rPr>
                <w:szCs w:val="24"/>
              </w:rPr>
              <w:t>i</w:t>
            </w:r>
            <w:r w:rsidRPr="00775D6C">
              <w:rPr>
                <w:szCs w:val="24"/>
              </w:rPr>
              <w:t>e interneto prieigą, naudojosi plačiajuosčiu ryšiu. 86 proc. interneto prieigą turinčių namų ūkių naudojosi plačiajuosčiu laidiniu ar belaidžiu fiksuotu ryšiu, 46 proc. – mobiliojo ryšio tinklais.</w:t>
            </w:r>
            <w:r>
              <w:rPr>
                <w:szCs w:val="24"/>
              </w:rPr>
              <w:t xml:space="preserve"> </w:t>
            </w:r>
            <w:r w:rsidRPr="00775D6C">
              <w:rPr>
                <w:szCs w:val="24"/>
              </w:rPr>
              <w:t>62 proc. namų ūkių, neturinčių interneto prieigos nam</w:t>
            </w:r>
            <w:r w:rsidR="008005D1">
              <w:rPr>
                <w:szCs w:val="24"/>
              </w:rPr>
              <w:t>i</w:t>
            </w:r>
            <w:r w:rsidRPr="00775D6C">
              <w:rPr>
                <w:szCs w:val="24"/>
              </w:rPr>
              <w:t>e, nurodė, kad jiems internetas nereikalingas. Kitos priežastys, dėl kurių nesinaudota internetu nam</w:t>
            </w:r>
            <w:r w:rsidR="008005D1">
              <w:rPr>
                <w:szCs w:val="24"/>
              </w:rPr>
              <w:t>i</w:t>
            </w:r>
            <w:r w:rsidRPr="00775D6C">
              <w:rPr>
                <w:szCs w:val="24"/>
              </w:rPr>
              <w:t>e – reikiamų įgūdžių neturėjimas, brangi įranga, dideli paslaugų tarifai arba galimybė naudotis internetu kitur.</w:t>
            </w:r>
          </w:p>
          <w:p w:rsidR="00775D6C" w:rsidRPr="00775D6C" w:rsidRDefault="00775D6C" w:rsidP="00775D6C">
            <w:pPr>
              <w:pStyle w:val="Antrats"/>
              <w:tabs>
                <w:tab w:val="left" w:pos="720"/>
              </w:tabs>
              <w:snapToGrid w:val="0"/>
              <w:ind w:firstLine="498"/>
              <w:jc w:val="both"/>
              <w:rPr>
                <w:szCs w:val="24"/>
              </w:rPr>
            </w:pPr>
            <w:r w:rsidRPr="00775D6C">
              <w:rPr>
                <w:szCs w:val="24"/>
              </w:rPr>
              <w:t>2017 m. pirmąjį ketvirtį kompiuteriu naudojosi 76 proc. 16–74 metų amžiaus gyventojų. Besinaudojančių kompiuteriu asmenų dalis atskirose amžiaus grupėse labai skiriasi, nors šis skirtumas kasmet po truputį sumažėja. Dažniausiai kompiuteriu naudojosi 16–24 metų amžiaus (97 proc. visų to amžiaus gyventojų) ir 25–34 metų amžiaus (94 proc.) asmenys. Iš 65–74 metų amžiaus gyventojų kompiuteriu naudojosi 34 proc., o 61 proc. niekada neteko juo naudotis.</w:t>
            </w:r>
            <w:r>
              <w:rPr>
                <w:szCs w:val="24"/>
              </w:rPr>
              <w:t xml:space="preserve"> </w:t>
            </w:r>
            <w:r w:rsidRPr="00775D6C">
              <w:rPr>
                <w:szCs w:val="24"/>
              </w:rPr>
              <w:t>Dauguma (81 proc.) asmenų, kurie 2017 m. pirmąjį ketvirtį naudojosi kompiuteriu, naudojosi juo kasdien, 15 proc. – bent kartą per savaitę, bet ne kasdien.</w:t>
            </w:r>
            <w:r>
              <w:rPr>
                <w:szCs w:val="24"/>
              </w:rPr>
              <w:t xml:space="preserve"> </w:t>
            </w:r>
            <w:r w:rsidRPr="00775D6C">
              <w:rPr>
                <w:szCs w:val="24"/>
              </w:rPr>
              <w:t>2017 m. pirmąjį ketvirtį internetu naudojosi 78 proc. 16–74 metų amžiaus gyventojų (2016 m. pirmąjį ketvirtį – 74 proc.). Iš 16–24 metų amžiaus gyventojų internetu naudojosi 98 proc., iš 65–74 metų amžiaus – 34 proc. Iš dirbančių asmenų internetu naudojosi 91 proc.</w:t>
            </w:r>
            <w:r>
              <w:rPr>
                <w:szCs w:val="24"/>
              </w:rPr>
              <w:t xml:space="preserve"> </w:t>
            </w:r>
            <w:r w:rsidRPr="00775D6C">
              <w:rPr>
                <w:szCs w:val="24"/>
              </w:rPr>
              <w:t>Internetas daugiausia buvo naudojamas naujienoms skaityti, ryšiams, informacijos paieškai: ryšiams internetą naudojo 72 proc. 16–74 metų amžiaus gyventojų (93 proc. to amžiaus internautų), 56 proc. naudojosi internetinės bankininkystės paslaugomis (72 proc. internautų), 54 proc. bendravo socialiniuose tinkluose (69 proc. internautų).</w:t>
            </w:r>
          </w:p>
          <w:p w:rsidR="00775D6C" w:rsidRPr="00775D6C" w:rsidRDefault="00775D6C" w:rsidP="00775D6C">
            <w:pPr>
              <w:pStyle w:val="Antrats"/>
              <w:tabs>
                <w:tab w:val="left" w:pos="720"/>
              </w:tabs>
              <w:snapToGrid w:val="0"/>
              <w:ind w:firstLine="498"/>
              <w:jc w:val="both"/>
              <w:rPr>
                <w:szCs w:val="24"/>
              </w:rPr>
            </w:pPr>
            <w:r w:rsidRPr="00775D6C">
              <w:rPr>
                <w:szCs w:val="24"/>
              </w:rPr>
              <w:t>Valstybės institucijų ar kitų viešųjų paslaugų įstaigų elektroninėmis paslaugomis bent kartą per metus pasinaudojo 48 proc. 16–74 metų amžiaus gyventojų, arba 62 proc. to amžiaus internautų.</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w:t>
            </w:r>
            <w:proofErr w:type="gramStart"/>
            <w:r>
              <w:t xml:space="preserve">  </w:t>
            </w:r>
            <w:proofErr w:type="gramEnd"/>
            <w:r>
              <w:t>Informacinių technologijų, Ekonomikos ir turto valdymo, Centralizuotas vidaus audito, Architektūros, Žemės ūkio, Personalo administravimo, Civilinės metrikacijos ir archyvų, Apskaitos, Juridinis ir Kanceliarijos skyriai, Ūkio tarnyba, savivaldybės gydytojas (vyr. specialis</w:t>
            </w:r>
            <w:r w:rsidR="00872127">
              <w:t>tas), vyr. specialistas</w:t>
            </w:r>
            <w:r w:rsidR="00455DB7">
              <w:t xml:space="preserve"> paveldui</w:t>
            </w:r>
            <w:r>
              <w:t>, civilinės saugos vyr. specialistas, vyr. specialistas</w:t>
            </w:r>
            <w:r w:rsidR="00455DB7">
              <w:t xml:space="preserve"> mobilizacijai</w:t>
            </w:r>
            <w:r>
              <w:t>, jaunimo reikalų koordinatorius (vyr. specialistas)</w:t>
            </w:r>
            <w:r w:rsidR="008005D1">
              <w:t>,</w:t>
            </w:r>
            <w:r>
              <w:t xml:space="preserve"> </w:t>
            </w:r>
            <w:proofErr w:type="spellStart"/>
            <w:r w:rsidR="00455DB7">
              <w:t>tarpinstitucinio</w:t>
            </w:r>
            <w:proofErr w:type="spellEnd"/>
            <w:r w:rsidR="00455DB7">
              <w:t xml:space="preserve"> bendradarbiavimo koordinatorius (vyr. specialistas) </w:t>
            </w:r>
            <w:r>
              <w:t xml:space="preserve">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Sa</w:t>
            </w:r>
            <w:r w:rsidR="00872127">
              <w:t>vivaldybės administracijoje 2018</w:t>
            </w:r>
            <w:r>
              <w:t xml:space="preserve"> m. </w:t>
            </w:r>
            <w:r w:rsidR="00872127">
              <w:t>sausio</w:t>
            </w:r>
            <w:r w:rsidR="00ED1581">
              <w:t xml:space="preserve"> </w:t>
            </w:r>
            <w:r>
              <w:t>1 d. didžiausias leistinas pareigybių skaičius buvo 2</w:t>
            </w:r>
            <w:r w:rsidR="00ED1581">
              <w:t>45</w:t>
            </w:r>
            <w:r>
              <w:t>,</w:t>
            </w:r>
            <w:r w:rsidR="00ED1581">
              <w:t>7</w:t>
            </w:r>
            <w:r w:rsidR="00872127">
              <w:t>5, iš jų patvirtintos: 100</w:t>
            </w:r>
            <w:r>
              <w:t xml:space="preserve">,5 valstybės tarnautojų pareigybės ir </w:t>
            </w:r>
            <w:r w:rsidR="00ED1581">
              <w:t>14</w:t>
            </w:r>
            <w:r w:rsidR="00872127">
              <w:t>3 darbuotojai, dirbantys</w:t>
            </w:r>
            <w:r>
              <w:t xml:space="preserve"> pagal darbo sutartis ir gaunan</w:t>
            </w:r>
            <w:r w:rsidR="00872127">
              <w:t>tys</w:t>
            </w:r>
            <w:r>
              <w:t xml:space="preserve"> darbo užmokestį iš savivaldybės biudžeto.</w:t>
            </w:r>
          </w:p>
          <w:p w:rsidR="00DF725E" w:rsidRPr="00C50FA1" w:rsidRDefault="00872127" w:rsidP="00DF725E">
            <w:pPr>
              <w:pStyle w:val="Pagrindinistekstas"/>
              <w:spacing w:after="0"/>
              <w:ind w:firstLine="498"/>
              <w:jc w:val="both"/>
              <w:rPr>
                <w:b/>
              </w:rPr>
            </w:pPr>
            <w:r>
              <w:t>2018</w:t>
            </w:r>
            <w:r w:rsidR="0036472F" w:rsidRPr="0027758C">
              <w:t xml:space="preserve"> m. </w:t>
            </w:r>
            <w:r>
              <w:t>sausio</w:t>
            </w:r>
            <w:r w:rsidR="0002791D" w:rsidRPr="0027758C">
              <w:t xml:space="preserve"> </w:t>
            </w:r>
            <w:r w:rsidR="0027758C" w:rsidRPr="0027758C">
              <w:t xml:space="preserve">1 </w:t>
            </w:r>
            <w:r w:rsidR="0036472F" w:rsidRPr="0027758C">
              <w:t xml:space="preserve">d. </w:t>
            </w:r>
            <w:r w:rsidR="0036472F">
              <w:t>duomenimis</w:t>
            </w:r>
            <w:r w:rsidR="00B60045">
              <w:t>,</w:t>
            </w:r>
            <w:r w:rsidR="0036472F">
              <w:t xml:space="preserve"> didžioji dalis Savivaldybės administracijos valstybės tarnautojų turi 1</w:t>
            </w:r>
            <w:r w:rsidR="0002791D">
              <w:t>1</w:t>
            </w:r>
            <w:r>
              <w:t>, 13</w:t>
            </w:r>
            <w:r w:rsidR="0036472F">
              <w:t xml:space="preserve"> ir 1</w:t>
            </w:r>
            <w:r>
              <w:t>4 pareigybines kategorijas</w:t>
            </w:r>
            <w:r w:rsidR="0036472F">
              <w:t xml:space="preserve">. </w:t>
            </w:r>
            <w:r w:rsidRPr="00872127">
              <w:t>Vidutinis dirbančiųjų Savivaldybės administracijoje valstybės tarnautojų tarnybos stažas Lietuvos valstybei 18 metų.</w:t>
            </w:r>
            <w:r>
              <w:t xml:space="preserve"> </w:t>
            </w:r>
            <w:r w:rsidRPr="00872127">
              <w:t>98 proc. valstybės tarnautojų turi aukštąjį universitetinį arba jam prilygintą išsilavinimą.</w:t>
            </w:r>
            <w:r w:rsidR="0036472F">
              <w:t xml:space="preserve"> Valstybės tarnautojų kvalifikacija įvertinta taip: </w:t>
            </w:r>
            <w:r w:rsidR="00455DB7">
              <w:br/>
            </w:r>
            <w:r>
              <w:t>8</w:t>
            </w:r>
            <w:r w:rsidR="0036472F">
              <w:t xml:space="preserve"> valstybės tarnautojai turi pirmą kvalifikacinę klasę, </w:t>
            </w:r>
            <w:r>
              <w:t>48</w:t>
            </w:r>
            <w:r w:rsidR="0036472F">
              <w:t xml:space="preserve"> – antrą, </w:t>
            </w:r>
            <w:r>
              <w:t>36</w:t>
            </w:r>
            <w:r w:rsidR="0036472F">
              <w:t xml:space="preserve">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kvartalai, į rajoną atsikelia nauji gyventojai.</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117161">
              <w:t xml:space="preserve">6. </w:t>
            </w:r>
            <w:r w:rsidR="00B03547" w:rsidRPr="00117161">
              <w:rPr>
                <w:szCs w:val="24"/>
              </w:rPr>
              <w:t xml:space="preserve">Sudarytos geros sąlygos seniūnijų socialiniams darbuotojams: seniūnijos turi automobilius, kuriuos naudoja socialiniai darbuotojai vizitams </w:t>
            </w:r>
            <w:r w:rsidR="0036472F" w:rsidRPr="00117161">
              <w:rPr>
                <w:szCs w:val="24"/>
              </w:rPr>
              <w:t>pas</w:t>
            </w:r>
            <w:r w:rsidR="00B03547" w:rsidRPr="0011716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E61DCF">
              <w:rPr>
                <w:szCs w:val="24"/>
              </w:rPr>
              <w:t>5</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EC46A1" w:rsidRPr="00EC46A1">
              <w:rPr>
                <w:szCs w:val="24"/>
              </w:rPr>
              <w:t>2014–2017 m. išasfaltuota vidutiniškai po 3,79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 reikšmės kelių priežiūrai, 2014–2017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117161" w:rsidRDefault="00DD7E56" w:rsidP="00887FFA">
            <w:pPr>
              <w:ind w:left="170"/>
              <w:jc w:val="both"/>
            </w:pPr>
            <w:r w:rsidRPr="00117161">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lastRenderedPageBreak/>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lastRenderedPageBreak/>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6009A9">
        <w:t>8</w:t>
      </w:r>
      <w:r w:rsidR="00460E56" w:rsidRPr="00C50FA1">
        <w:t>–</w:t>
      </w:r>
      <w:r w:rsidR="006009A9">
        <w:t>2020</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BD3" w:rsidRDefault="00587BD3">
      <w:r>
        <w:separator/>
      </w:r>
    </w:p>
  </w:endnote>
  <w:endnote w:type="continuationSeparator" w:id="0">
    <w:p w:rsidR="00587BD3" w:rsidRDefault="0058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BD3" w:rsidRDefault="00587BD3">
      <w:r>
        <w:separator/>
      </w:r>
    </w:p>
  </w:footnote>
  <w:footnote w:type="continuationSeparator" w:id="0">
    <w:p w:rsidR="00587BD3" w:rsidRDefault="00587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2E349D">
      <w:rPr>
        <w:noProof/>
      </w:rPr>
      <w:t>12</w:t>
    </w:r>
    <w:r>
      <w:fldChar w:fldCharType="end"/>
    </w:r>
  </w:p>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Panevėžio rajono savivaldybės tarybos</w:t>
    </w:r>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sidR="000A36F6">
      <w:rPr>
        <w:lang w:val="lt-LT"/>
      </w:rPr>
      <w:t>8</w:t>
    </w:r>
    <w:r>
      <w:rPr>
        <w:lang w:val="lt-LT"/>
      </w:rPr>
      <w:t xml:space="preserve"> </w:t>
    </w:r>
    <w:r w:rsidRPr="00BE1580">
      <w:rPr>
        <w:lang w:val="lt-LT"/>
      </w:rPr>
      <w:t xml:space="preserve">m. </w:t>
    </w:r>
    <w:r w:rsidR="000A36F6">
      <w:rPr>
        <w:lang w:val="lt-LT"/>
      </w:rPr>
      <w:t>vasario 22</w:t>
    </w:r>
    <w:r w:rsidRPr="00BE1580">
      <w:rPr>
        <w:lang w:val="lt-LT"/>
      </w:rPr>
      <w:t xml:space="preserve"> d. sprendimu </w:t>
    </w:r>
    <w:r w:rsidRPr="00BE1580">
      <w:rPr>
        <w:caps/>
        <w:lang w:val="lt-LT"/>
      </w:rPr>
      <w:t>n</w:t>
    </w:r>
    <w:r w:rsidRPr="00BE1580">
      <w:rPr>
        <w:lang w:val="lt-LT"/>
      </w:rPr>
      <w:t>r. T-</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1408"/>
    <w:rsid w:val="000A1F40"/>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CD1"/>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3101"/>
    <w:rsid w:val="00336E3D"/>
    <w:rsid w:val="0033714C"/>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599"/>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6CB7"/>
    <w:rsid w:val="004D7905"/>
    <w:rsid w:val="004E2B4A"/>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75F7"/>
    <w:rsid w:val="005B062F"/>
    <w:rsid w:val="005B2A77"/>
    <w:rsid w:val="005B5362"/>
    <w:rsid w:val="005C194C"/>
    <w:rsid w:val="005C2398"/>
    <w:rsid w:val="005C2704"/>
    <w:rsid w:val="005C29E3"/>
    <w:rsid w:val="005C779E"/>
    <w:rsid w:val="005D0FE5"/>
    <w:rsid w:val="005D1941"/>
    <w:rsid w:val="005D252E"/>
    <w:rsid w:val="005D5880"/>
    <w:rsid w:val="005D7B48"/>
    <w:rsid w:val="005E05C5"/>
    <w:rsid w:val="005E4225"/>
    <w:rsid w:val="005F0D28"/>
    <w:rsid w:val="005F6626"/>
    <w:rsid w:val="005F69FD"/>
    <w:rsid w:val="006009A9"/>
    <w:rsid w:val="0060181E"/>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6121"/>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4376"/>
    <w:rsid w:val="00770126"/>
    <w:rsid w:val="007707B8"/>
    <w:rsid w:val="0077148C"/>
    <w:rsid w:val="00771A59"/>
    <w:rsid w:val="00774B5E"/>
    <w:rsid w:val="00775D6C"/>
    <w:rsid w:val="00780F41"/>
    <w:rsid w:val="00783EF3"/>
    <w:rsid w:val="00790884"/>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3DF0"/>
    <w:rsid w:val="007E5D46"/>
    <w:rsid w:val="007E7FB4"/>
    <w:rsid w:val="007F0388"/>
    <w:rsid w:val="007F599A"/>
    <w:rsid w:val="007F77AB"/>
    <w:rsid w:val="008005D1"/>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6797"/>
    <w:rsid w:val="00886B81"/>
    <w:rsid w:val="00887FFA"/>
    <w:rsid w:val="0089076D"/>
    <w:rsid w:val="00890A77"/>
    <w:rsid w:val="00890DD8"/>
    <w:rsid w:val="00890FF3"/>
    <w:rsid w:val="00896AC4"/>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3656"/>
    <w:rsid w:val="008F48E6"/>
    <w:rsid w:val="008F5431"/>
    <w:rsid w:val="008F7F0E"/>
    <w:rsid w:val="0090057F"/>
    <w:rsid w:val="009018BB"/>
    <w:rsid w:val="009037B7"/>
    <w:rsid w:val="00904750"/>
    <w:rsid w:val="00905D6E"/>
    <w:rsid w:val="00907ECC"/>
    <w:rsid w:val="0091476B"/>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4159"/>
    <w:rsid w:val="00AB7BFC"/>
    <w:rsid w:val="00AC033E"/>
    <w:rsid w:val="00AC21A7"/>
    <w:rsid w:val="00AC776F"/>
    <w:rsid w:val="00AD52DD"/>
    <w:rsid w:val="00AD6693"/>
    <w:rsid w:val="00AD66C5"/>
    <w:rsid w:val="00AD697C"/>
    <w:rsid w:val="00AD7F40"/>
    <w:rsid w:val="00AE08F3"/>
    <w:rsid w:val="00AE1636"/>
    <w:rsid w:val="00AE2BC7"/>
    <w:rsid w:val="00AE4B17"/>
    <w:rsid w:val="00AF2487"/>
    <w:rsid w:val="00AF58E5"/>
    <w:rsid w:val="00AF6894"/>
    <w:rsid w:val="00AF6EDF"/>
    <w:rsid w:val="00AF7BE5"/>
    <w:rsid w:val="00B014B9"/>
    <w:rsid w:val="00B02F10"/>
    <w:rsid w:val="00B030D3"/>
    <w:rsid w:val="00B03394"/>
    <w:rsid w:val="00B03547"/>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5A8D"/>
    <w:rsid w:val="00B46D7C"/>
    <w:rsid w:val="00B47233"/>
    <w:rsid w:val="00B50450"/>
    <w:rsid w:val="00B51852"/>
    <w:rsid w:val="00B54AB2"/>
    <w:rsid w:val="00B60045"/>
    <w:rsid w:val="00B6026C"/>
    <w:rsid w:val="00B607F4"/>
    <w:rsid w:val="00B70CF8"/>
    <w:rsid w:val="00B70FA5"/>
    <w:rsid w:val="00B716EA"/>
    <w:rsid w:val="00B72BBD"/>
    <w:rsid w:val="00B74046"/>
    <w:rsid w:val="00B76129"/>
    <w:rsid w:val="00B766B1"/>
    <w:rsid w:val="00B81A49"/>
    <w:rsid w:val="00B81FB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11C06"/>
    <w:rsid w:val="00C11C1C"/>
    <w:rsid w:val="00C14829"/>
    <w:rsid w:val="00C208D4"/>
    <w:rsid w:val="00C21F5E"/>
    <w:rsid w:val="00C23500"/>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291"/>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48F2"/>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B043E"/>
    <w:rsid w:val="00DB0CE9"/>
    <w:rsid w:val="00DB259B"/>
    <w:rsid w:val="00DB3425"/>
    <w:rsid w:val="00DB3611"/>
    <w:rsid w:val="00DB59A4"/>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37B"/>
    <w:rsid w:val="00E255A4"/>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1DCF"/>
    <w:rsid w:val="00E64E36"/>
    <w:rsid w:val="00E672DA"/>
    <w:rsid w:val="00E732EA"/>
    <w:rsid w:val="00E75706"/>
    <w:rsid w:val="00E81619"/>
    <w:rsid w:val="00E90794"/>
    <w:rsid w:val="00E9110F"/>
    <w:rsid w:val="00E96F41"/>
    <w:rsid w:val="00EA2CC1"/>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601A"/>
    <w:rsid w:val="00EE05C0"/>
    <w:rsid w:val="00EE5724"/>
    <w:rsid w:val="00EE63F2"/>
    <w:rsid w:val="00EF106C"/>
    <w:rsid w:val="00EF1D18"/>
    <w:rsid w:val="00EF1DEB"/>
    <w:rsid w:val="00EF3D31"/>
    <w:rsid w:val="00EF4A04"/>
    <w:rsid w:val="00EF4BB8"/>
    <w:rsid w:val="00EF5596"/>
    <w:rsid w:val="00EF5BE7"/>
    <w:rsid w:val="00F004F5"/>
    <w:rsid w:val="00F00C6D"/>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1CD9"/>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DC80-F6D1-47F3-83E6-9CD666A7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6572</Words>
  <Characters>37461</Characters>
  <Application>Microsoft Office Word</Application>
  <DocSecurity>0</DocSecurity>
  <Lines>312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43946</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76</cp:revision>
  <cp:lastPrinted>2017-02-09T13:57:00Z</cp:lastPrinted>
  <dcterms:created xsi:type="dcterms:W3CDTF">2017-02-02T12:01:00Z</dcterms:created>
  <dcterms:modified xsi:type="dcterms:W3CDTF">2018-02-07T07:19:00Z</dcterms:modified>
</cp:coreProperties>
</file>