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321C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527644">
        <w:t>RAJONO SAVIVALDYBĖS TARYBOS 2017</w:t>
      </w:r>
      <w:r w:rsidR="006174AA">
        <w:t xml:space="preserve"> M. </w:t>
      </w:r>
      <w:r w:rsidR="00527644">
        <w:t>RUGPJŪČIO 24 D. SPRENDIMO NR. T-156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 w:rsidR="0068178A">
        <w:rPr>
          <w:sz w:val="24"/>
          <w:lang w:val="lt-LT"/>
        </w:rPr>
        <w:t>lapkričio</w:t>
      </w:r>
      <w:r w:rsidR="00C20227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7F27CE" w:rsidP="004A22D5">
      <w:pPr>
        <w:ind w:firstLine="720"/>
        <w:jc w:val="both"/>
        <w:rPr>
          <w:sz w:val="24"/>
          <w:lang w:val="lt-LT"/>
        </w:rPr>
      </w:pPr>
      <w:proofErr w:type="spellStart"/>
      <w:r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finansuojamų</w:t>
      </w:r>
      <w:proofErr w:type="spellEnd"/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527644">
        <w:rPr>
          <w:sz w:val="24"/>
        </w:rPr>
        <w:t>rtinto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Savivaldybės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tarybos</w:t>
      </w:r>
      <w:proofErr w:type="spellEnd"/>
      <w:r w:rsidR="00527644">
        <w:rPr>
          <w:sz w:val="24"/>
        </w:rPr>
        <w:t xml:space="preserve"> 2017</w:t>
      </w:r>
      <w:r w:rsidR="006174AA">
        <w:rPr>
          <w:sz w:val="24"/>
        </w:rPr>
        <w:t xml:space="preserve"> m. </w:t>
      </w:r>
      <w:proofErr w:type="spellStart"/>
      <w:r w:rsidR="00527644">
        <w:rPr>
          <w:sz w:val="24"/>
        </w:rPr>
        <w:t>rugpjūčio</w:t>
      </w:r>
      <w:proofErr w:type="spellEnd"/>
      <w:r w:rsidR="00527644">
        <w:rPr>
          <w:sz w:val="24"/>
        </w:rPr>
        <w:t xml:space="preserve"> 24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527644">
        <w:rPr>
          <w:sz w:val="24"/>
        </w:rPr>
        <w:t>Nr</w:t>
      </w:r>
      <w:proofErr w:type="spellEnd"/>
      <w:r w:rsidR="00527644">
        <w:rPr>
          <w:sz w:val="24"/>
        </w:rPr>
        <w:t>. T-156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68178A">
        <w:rPr>
          <w:sz w:val="24"/>
          <w:lang w:val="lt-LT"/>
        </w:rPr>
        <w:t>44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68178A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68178A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Visuomenės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sveikatos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biuras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68178A" w:rsidP="00C446CE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13,75</w:t>
            </w:r>
            <w:r w:rsidR="00D57BE9">
              <w:rPr>
                <w:rFonts w:eastAsia="SimSun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4C6AE6" w:rsidRDefault="004C6AE6">
      <w:pPr>
        <w:rPr>
          <w:sz w:val="24"/>
          <w:lang w:val="lt-LT"/>
        </w:rPr>
      </w:pPr>
    </w:p>
    <w:p w:rsidR="0068178A" w:rsidRDefault="0068178A">
      <w:pPr>
        <w:rPr>
          <w:sz w:val="24"/>
          <w:lang w:val="lt-LT"/>
        </w:rPr>
      </w:pPr>
    </w:p>
    <w:p w:rsidR="0068178A" w:rsidRDefault="0068178A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A32199" w:rsidRPr="0068178A" w:rsidRDefault="00D57BE9">
      <w:pPr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68178A">
        <w:rPr>
          <w:sz w:val="24"/>
          <w:lang w:val="lt-LT"/>
        </w:rPr>
        <w:t>11-09</w:t>
      </w:r>
    </w:p>
    <w:p w:rsidR="002E37C4" w:rsidRDefault="002E37C4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963782" w:rsidRDefault="00B07407" w:rsidP="0096378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 xml:space="preserve">„DĖL PANEVĖŽIO </w:t>
      </w:r>
      <w:r w:rsidR="00527644">
        <w:rPr>
          <w:b/>
        </w:rPr>
        <w:t>RAJONO SAVIVALDYBĖS TARYBOS 2017</w:t>
      </w:r>
      <w:r w:rsidR="003B374A" w:rsidRPr="00963782">
        <w:rPr>
          <w:b/>
        </w:rPr>
        <w:t xml:space="preserve"> M. </w:t>
      </w:r>
      <w:r w:rsidR="00527644">
        <w:rPr>
          <w:b/>
        </w:rPr>
        <w:t>RUGPJŪČIO 24 D. SPRENDIMO NR. T-156</w:t>
      </w:r>
      <w:r w:rsidRPr="00963782">
        <w:rPr>
          <w:b/>
        </w:rPr>
        <w:t xml:space="preserve"> „DĖL DIDŽIAUSIO LEISTINO PAREIGYBIŲ, FINANSUOJAMŲ IŠ SAVIVALDYBĖS BIUDŽETO, SKAIČIAUS BIUDŽETINĖSE ĮSTAIGOSE NUSTATYMO“ PAKEITIMO“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68178A">
        <w:rPr>
          <w:sz w:val="24"/>
          <w:lang w:val="lt-LT"/>
        </w:rPr>
        <w:t>11-09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A32199" w:rsidRPr="00AC0D13" w:rsidRDefault="00B07407">
      <w:pPr>
        <w:jc w:val="both"/>
        <w:rPr>
          <w:bCs/>
          <w:sz w:val="24"/>
          <w:lang w:val="lt-LT"/>
        </w:rPr>
      </w:pPr>
      <w:r w:rsidRPr="00AC0D13">
        <w:rPr>
          <w:bCs/>
          <w:sz w:val="24"/>
          <w:lang w:val="lt-LT"/>
        </w:rPr>
        <w:tab/>
      </w:r>
      <w:r w:rsidR="0068178A">
        <w:rPr>
          <w:bCs/>
          <w:sz w:val="24"/>
          <w:lang w:val="lt-LT"/>
        </w:rPr>
        <w:t>Visuomenės sveikatos biuro 2017 m. lapkričio 6 d. raštas Nr. SD-133 „Dėl didžiausio leistino pareigybių skaičiaus sumažinimo“.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C19EA" w:rsidRDefault="00A66166">
      <w:pPr>
        <w:tabs>
          <w:tab w:val="left" w:pos="1080"/>
        </w:tabs>
        <w:ind w:firstLine="72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>
        <w:rPr>
          <w:sz w:val="24"/>
          <w:lang w:val="lt-LT"/>
        </w:rPr>
        <w:t>pakeisti</w:t>
      </w:r>
      <w:r w:rsidR="00133229">
        <w:rPr>
          <w:sz w:val="24"/>
          <w:lang w:val="lt-LT"/>
        </w:rPr>
        <w:t xml:space="preserve"> </w:t>
      </w:r>
      <w:r w:rsidR="0068178A">
        <w:rPr>
          <w:sz w:val="24"/>
          <w:lang w:val="lt-LT"/>
        </w:rPr>
        <w:t xml:space="preserve">Visuomenės sveikatos biuro </w:t>
      </w:r>
      <w:r w:rsidR="00B07407">
        <w:rPr>
          <w:sz w:val="24"/>
          <w:lang w:val="lt-LT"/>
        </w:rPr>
        <w:t xml:space="preserve">didžiausią leistiną </w:t>
      </w:r>
      <w:r>
        <w:rPr>
          <w:sz w:val="24"/>
          <w:lang w:val="lt-LT"/>
        </w:rPr>
        <w:t>pareigybių, finansuojamų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iš</w:t>
      </w:r>
      <w:r w:rsidR="00794F81">
        <w:rPr>
          <w:sz w:val="24"/>
          <w:lang w:val="lt-LT"/>
        </w:rPr>
        <w:t xml:space="preserve"> Savivaldybės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biudžeto, skaičių</w:t>
      </w:r>
      <w:r w:rsidR="00632C6F">
        <w:rPr>
          <w:sz w:val="24"/>
          <w:lang w:val="lt-LT"/>
        </w:rPr>
        <w:t>,</w:t>
      </w:r>
      <w:r w:rsidR="00133229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 xml:space="preserve">patvirtintą Savivaldybės </w:t>
      </w:r>
      <w:r w:rsidR="00527644">
        <w:rPr>
          <w:sz w:val="24"/>
          <w:lang w:val="lt-LT"/>
        </w:rPr>
        <w:t>tarybos 2017</w:t>
      </w:r>
      <w:r w:rsidR="00794F81">
        <w:rPr>
          <w:sz w:val="24"/>
          <w:lang w:val="lt-LT"/>
        </w:rPr>
        <w:t xml:space="preserve"> m. </w:t>
      </w:r>
      <w:r w:rsidR="00527644">
        <w:rPr>
          <w:sz w:val="24"/>
          <w:lang w:val="lt-LT"/>
        </w:rPr>
        <w:t>rugpjūčio 24</w:t>
      </w:r>
      <w:r w:rsidR="00794F81">
        <w:rPr>
          <w:sz w:val="24"/>
          <w:lang w:val="lt-LT"/>
        </w:rPr>
        <w:t xml:space="preserve"> d. sprendimu </w:t>
      </w:r>
      <w:r w:rsidR="0068178A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Nr.</w:t>
      </w:r>
      <w:r w:rsidR="00632C6F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T</w:t>
      </w:r>
      <w:r w:rsidR="00527644">
        <w:rPr>
          <w:sz w:val="24"/>
          <w:lang w:val="lt-LT"/>
        </w:rPr>
        <w:t>-156</w:t>
      </w:r>
      <w:r w:rsidR="00A32199">
        <w:rPr>
          <w:sz w:val="24"/>
          <w:lang w:val="lt-LT"/>
        </w:rPr>
        <w:t xml:space="preserve"> </w:t>
      </w:r>
      <w:r w:rsidR="00D2790D" w:rsidRPr="00475C80">
        <w:rPr>
          <w:sz w:val="24"/>
        </w:rPr>
        <w:t>„</w:t>
      </w:r>
      <w:proofErr w:type="spellStart"/>
      <w:r w:rsidR="00D2790D" w:rsidRPr="00475C80">
        <w:rPr>
          <w:sz w:val="24"/>
        </w:rPr>
        <w:t>Dėl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didžiausio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leistino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pareigybių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finansuojamų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iš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savivaldybės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biudžeto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skaičiaus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</w:t>
      </w:r>
      <w:r w:rsidR="00A32199">
        <w:rPr>
          <w:sz w:val="24"/>
        </w:rPr>
        <w:t>iudžetinėse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įstaigose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nustatymo</w:t>
      </w:r>
      <w:proofErr w:type="spellEnd"/>
      <w:r w:rsidR="009A631B">
        <w:rPr>
          <w:sz w:val="24"/>
        </w:rPr>
        <w:t>“</w:t>
      </w:r>
      <w:r w:rsidR="00632C6F">
        <w:rPr>
          <w:sz w:val="24"/>
          <w:lang w:val="lt-LT"/>
        </w:rPr>
        <w:t xml:space="preserve">, </w:t>
      </w:r>
      <w:r w:rsidR="0068178A">
        <w:rPr>
          <w:sz w:val="24"/>
          <w:lang w:val="lt-LT"/>
        </w:rPr>
        <w:t xml:space="preserve">sumažinant viena pareigybe, t. y. vietoje </w:t>
      </w:r>
      <w:r w:rsidR="0068178A">
        <w:rPr>
          <w:rFonts w:eastAsia="SimSun"/>
          <w:kern w:val="1"/>
          <w:sz w:val="24"/>
          <w:szCs w:val="24"/>
          <w:lang w:val="lt-LT"/>
        </w:rPr>
        <w:t>14,75</w:t>
      </w:r>
      <w:r w:rsidR="00D57BE9">
        <w:rPr>
          <w:rFonts w:eastAsia="SimSun" w:cs="Mangal"/>
          <w:kern w:val="1"/>
          <w:sz w:val="24"/>
          <w:szCs w:val="24"/>
          <w:lang w:val="lt-LT"/>
        </w:rPr>
        <w:t xml:space="preserve">  </w:t>
      </w:r>
      <w:r w:rsidR="001C19EA">
        <w:rPr>
          <w:sz w:val="24"/>
          <w:lang w:val="lt-LT"/>
        </w:rPr>
        <w:t>įrašyti</w:t>
      </w:r>
      <w:r w:rsidR="00D57BE9">
        <w:rPr>
          <w:sz w:val="24"/>
          <w:lang w:val="lt-LT"/>
        </w:rPr>
        <w:t xml:space="preserve"> </w:t>
      </w:r>
      <w:r w:rsidR="0068178A">
        <w:rPr>
          <w:rFonts w:eastAsia="SimSun"/>
          <w:kern w:val="1"/>
          <w:sz w:val="24"/>
          <w:szCs w:val="24"/>
          <w:lang w:val="lt-LT"/>
        </w:rPr>
        <w:t>13,75</w:t>
      </w:r>
      <w:r w:rsidR="00C446CE">
        <w:rPr>
          <w:rFonts w:eastAsia="SimSun" w:cs="Mangal"/>
          <w:kern w:val="1"/>
          <w:sz w:val="24"/>
          <w:szCs w:val="24"/>
          <w:lang w:val="lt-LT"/>
        </w:rPr>
        <w:t>.</w:t>
      </w:r>
    </w:p>
    <w:p w:rsidR="00E12374" w:rsidRPr="00E12374" w:rsidRDefault="00EF7131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Sumažinus pareigybių skaičių įstaiga planuoja panaikinti vaikų ir jaunimo sveikatos priežiūros specialisto pareigybę, kurios atliekamos funkcijos yra koordinuoti visuomenės sveikatos specialistų, vykdančių sveikatos priežiūrą mokyklose, veiklą.</w:t>
      </w:r>
      <w:r w:rsidR="008759AD">
        <w:rPr>
          <w:sz w:val="24"/>
          <w:szCs w:val="24"/>
          <w:lang w:val="lt-LT"/>
        </w:rPr>
        <w:t xml:space="preserve"> Tokia pareigybė biure yra viena.</w:t>
      </w:r>
      <w:r>
        <w:rPr>
          <w:sz w:val="24"/>
          <w:szCs w:val="24"/>
          <w:lang w:val="lt-LT"/>
        </w:rPr>
        <w:t xml:space="preserve"> Panaikinus šią pareigybę specialistų veiklos koordinavimo funkciją atliks biuro direktorius, kitos funkcijos bus perduotos vykdyti biuro darbuotojams. </w:t>
      </w:r>
      <w:r w:rsidR="008759AD">
        <w:rPr>
          <w:sz w:val="24"/>
          <w:szCs w:val="24"/>
          <w:lang w:val="lt-LT"/>
        </w:rPr>
        <w:t xml:space="preserve">Šias pareigas einančiam darbuotojui bus pasiūlyta keisti darbo sutarties sąlygas ir užimti šiuo metu laisvą visuomenės sveikatos priežiūros specialisto pareigybę švietimo įstaigoje. </w:t>
      </w:r>
      <w:r>
        <w:rPr>
          <w:sz w:val="24"/>
          <w:szCs w:val="24"/>
          <w:lang w:val="lt-LT"/>
        </w:rPr>
        <w:t xml:space="preserve">Teikiamų paslaugų kokybė nenukentėtų, nes planuojamos naikinti pareigybės funkcijos yra kaip tarpinė funkcija tarp biuro direktoriaus ir </w:t>
      </w:r>
      <w:r w:rsidR="008759AD">
        <w:rPr>
          <w:sz w:val="24"/>
          <w:szCs w:val="24"/>
          <w:lang w:val="lt-LT"/>
        </w:rPr>
        <w:t xml:space="preserve">visuomenės sveikatos priežiūros specialistų. 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8759AD" w:rsidP="008759AD">
      <w:pPr>
        <w:tabs>
          <w:tab w:val="left" w:pos="1080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Atsisakius šios pareigybės pagerėtų komunikacija ir pagreitėtų sprendimų įgyvendinimas bei būtų taupomos darbo užmokesčio lėšos, kurias būtų galima naudoti skiriant pareiginės algos kintamąsias dalis gerai dirbantiems darbuotojams. 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8759AD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Atsisakius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darbuotojai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dirbti</w:t>
      </w:r>
      <w:proofErr w:type="spellEnd"/>
      <w:r>
        <w:rPr>
          <w:sz w:val="24"/>
        </w:rPr>
        <w:t xml:space="preserve"> </w:t>
      </w:r>
      <w:proofErr w:type="spellStart"/>
      <w:r w:rsidR="00321CC7">
        <w:rPr>
          <w:sz w:val="24"/>
        </w:rPr>
        <w:t>pakeistomis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darbo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sutarties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sąlygomis</w:t>
      </w:r>
      <w:proofErr w:type="spellEnd"/>
      <w:r w:rsidR="00321CC7">
        <w:rPr>
          <w:sz w:val="24"/>
        </w:rPr>
        <w:t xml:space="preserve">, bus </w:t>
      </w:r>
      <w:proofErr w:type="spellStart"/>
      <w:r w:rsidR="00321CC7">
        <w:rPr>
          <w:sz w:val="24"/>
        </w:rPr>
        <w:t>atleidžiama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pagal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Lietuvos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Respublikos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darbo</w:t>
      </w:r>
      <w:proofErr w:type="spellEnd"/>
      <w:r w:rsidR="00321CC7">
        <w:rPr>
          <w:sz w:val="24"/>
        </w:rPr>
        <w:t xml:space="preserve"> </w:t>
      </w:r>
      <w:proofErr w:type="spellStart"/>
      <w:r w:rsidR="00321CC7">
        <w:rPr>
          <w:sz w:val="24"/>
        </w:rPr>
        <w:t>kodekso</w:t>
      </w:r>
      <w:proofErr w:type="spellEnd"/>
      <w:r w:rsidR="00321CC7">
        <w:rPr>
          <w:sz w:val="24"/>
        </w:rPr>
        <w:t xml:space="preserve"> 57 </w:t>
      </w:r>
      <w:proofErr w:type="spellStart"/>
      <w:r w:rsidR="00321CC7">
        <w:rPr>
          <w:sz w:val="24"/>
        </w:rPr>
        <w:t>straipsnį</w:t>
      </w:r>
      <w:proofErr w:type="spellEnd"/>
      <w:r w:rsidR="00321CC7">
        <w:rPr>
          <w:sz w:val="24"/>
        </w:rPr>
        <w:t>.</w:t>
      </w:r>
      <w:bookmarkStart w:id="0" w:name="_GoBack"/>
      <w:bookmarkEnd w:id="0"/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536BAA" w:rsidRPr="00485A91" w:rsidRDefault="00B07407" w:rsidP="00485A9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</w:t>
      </w:r>
      <w:r w:rsidR="00C626E5">
        <w:rPr>
          <w:b/>
          <w:sz w:val="24"/>
        </w:rPr>
        <w:t>alingi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sprendimo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įgyvendinimui</w:t>
      </w:r>
      <w:proofErr w:type="spellEnd"/>
      <w:r w:rsidR="00C626E5">
        <w:rPr>
          <w:b/>
          <w:sz w:val="24"/>
        </w:rPr>
        <w:t>.</w:t>
      </w:r>
    </w:p>
    <w:p w:rsidR="002141B6" w:rsidRDefault="00C179A1" w:rsidP="0008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8759AD">
        <w:rPr>
          <w:sz w:val="24"/>
          <w:lang w:val="lt-LT"/>
        </w:rPr>
        <w:t>Finansavimas sprendimo projektui nereikalingas.</w:t>
      </w:r>
      <w:r w:rsidR="00085EB2">
        <w:rPr>
          <w:sz w:val="24"/>
          <w:lang w:val="lt-LT"/>
        </w:rPr>
        <w:t xml:space="preserve"> </w:t>
      </w:r>
    </w:p>
    <w:p w:rsidR="00E95902" w:rsidRDefault="0007096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7729B7" w:rsidRDefault="007729B7">
      <w:pPr>
        <w:jc w:val="both"/>
        <w:rPr>
          <w:sz w:val="24"/>
          <w:lang w:val="lt-LT"/>
        </w:rPr>
      </w:pPr>
    </w:p>
    <w:p w:rsidR="00085EB2" w:rsidRDefault="00085EB2">
      <w:pPr>
        <w:jc w:val="both"/>
        <w:rPr>
          <w:sz w:val="24"/>
          <w:lang w:val="lt-LT"/>
        </w:rPr>
      </w:pPr>
    </w:p>
    <w:p w:rsidR="00085EB2" w:rsidRPr="00A428D6" w:rsidRDefault="00085EB2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C19EA"/>
    <w:rsid w:val="001C2743"/>
    <w:rsid w:val="002035BF"/>
    <w:rsid w:val="002141B6"/>
    <w:rsid w:val="00241D89"/>
    <w:rsid w:val="002D6482"/>
    <w:rsid w:val="002E37C4"/>
    <w:rsid w:val="00321CC7"/>
    <w:rsid w:val="003819D6"/>
    <w:rsid w:val="00390898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8178A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759AD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72940"/>
    <w:rsid w:val="00C83668"/>
    <w:rsid w:val="00C94752"/>
    <w:rsid w:val="00CE7BD6"/>
    <w:rsid w:val="00D2790D"/>
    <w:rsid w:val="00D57BE9"/>
    <w:rsid w:val="00DF6F12"/>
    <w:rsid w:val="00E03A12"/>
    <w:rsid w:val="00E12374"/>
    <w:rsid w:val="00E4183E"/>
    <w:rsid w:val="00E95902"/>
    <w:rsid w:val="00EA3223"/>
    <w:rsid w:val="00ED3389"/>
    <w:rsid w:val="00ED3E66"/>
    <w:rsid w:val="00EF7131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2017-11-09T06:06:00Z</cp:lastPrinted>
  <dcterms:created xsi:type="dcterms:W3CDTF">2017-11-09T06:08:00Z</dcterms:created>
  <dcterms:modified xsi:type="dcterms:W3CDTF">2017-11-09T06:08:00Z</dcterms:modified>
</cp:coreProperties>
</file>