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33F38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07407"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4E66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B07407" w:rsidRDefault="00B07407">
      <w:pPr>
        <w:pStyle w:val="Antrats"/>
        <w:jc w:val="center"/>
      </w:pPr>
    </w:p>
    <w:p w:rsidR="008B09AC" w:rsidRPr="00260A83" w:rsidRDefault="00B07407" w:rsidP="008B09AC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PANEVĖ</w:t>
      </w:r>
      <w:r w:rsidR="008B09AC" w:rsidRPr="00260A83">
        <w:rPr>
          <w:b/>
          <w:sz w:val="28"/>
          <w:szCs w:val="28"/>
        </w:rPr>
        <w:t>ŽIO RAJONO SAVIVALDYBĖS TARYBA</w:t>
      </w:r>
    </w:p>
    <w:p w:rsidR="008B09AC" w:rsidRPr="00260A83" w:rsidRDefault="008B09AC" w:rsidP="008B09AC">
      <w:pPr>
        <w:pStyle w:val="Antrats"/>
        <w:jc w:val="center"/>
        <w:rPr>
          <w:b/>
          <w:sz w:val="28"/>
          <w:szCs w:val="28"/>
        </w:rPr>
      </w:pPr>
    </w:p>
    <w:p w:rsidR="00FE5D34" w:rsidRPr="00260A83" w:rsidRDefault="00FE5D34" w:rsidP="008B09AC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SPRENDIMAS</w:t>
      </w:r>
    </w:p>
    <w:p w:rsidR="008B09AC" w:rsidRPr="00FE5D34" w:rsidRDefault="002B0516" w:rsidP="00FE5D34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SAVIVALDYBĖS TARYBOS 2017 M. VASARIO 23 D. SPRENDIMO NR. T-34 „</w:t>
      </w:r>
      <w:r w:rsidR="008B09AC" w:rsidRPr="00FE5D34">
        <w:rPr>
          <w:b/>
          <w:sz w:val="24"/>
          <w:szCs w:val="24"/>
        </w:rPr>
        <w:t xml:space="preserve">DĖL </w:t>
      </w:r>
      <w:r w:rsidR="00826703">
        <w:rPr>
          <w:b/>
          <w:sz w:val="24"/>
          <w:szCs w:val="24"/>
        </w:rPr>
        <w:t>PANEVĖŽIO RAJONO SAVIVALDYBĖS BIUDŽETINIŲ ĮSTAIGŲ VADOVŲ DARBO APMOKĖJIMO SISTEMOS</w:t>
      </w:r>
      <w:r w:rsidR="003547EE">
        <w:rPr>
          <w:b/>
          <w:sz w:val="24"/>
          <w:szCs w:val="24"/>
        </w:rPr>
        <w:t xml:space="preserve"> PATVIRTINIMO</w:t>
      </w:r>
      <w:r>
        <w:rPr>
          <w:b/>
          <w:sz w:val="24"/>
          <w:szCs w:val="24"/>
        </w:rPr>
        <w:t>“ PAKEITIMO</w:t>
      </w:r>
    </w:p>
    <w:p w:rsidR="008B09AC" w:rsidRDefault="008B09AC" w:rsidP="008B09AC">
      <w:pPr>
        <w:jc w:val="center"/>
        <w:rPr>
          <w:rFonts w:ascii="TimesLT" w:hAnsi="TimesLT"/>
          <w:sz w:val="24"/>
        </w:rPr>
      </w:pPr>
    </w:p>
    <w:p w:rsidR="008B09AC" w:rsidRDefault="00826703" w:rsidP="008B09AC">
      <w:pPr>
        <w:jc w:val="center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2017</w:t>
      </w:r>
      <w:r w:rsidR="00FE5D34">
        <w:rPr>
          <w:rFonts w:ascii="TimesLT" w:hAnsi="TimesLT"/>
          <w:sz w:val="24"/>
        </w:rPr>
        <w:t xml:space="preserve"> m. </w:t>
      </w:r>
      <w:r w:rsidR="00C170B7">
        <w:rPr>
          <w:rFonts w:ascii="TimesLT" w:hAnsi="TimesLT"/>
          <w:sz w:val="24"/>
        </w:rPr>
        <w:t>gruodžio 21</w:t>
      </w:r>
      <w:r w:rsidR="00FE5D34">
        <w:rPr>
          <w:rFonts w:ascii="TimesLT" w:hAnsi="TimesLT"/>
          <w:sz w:val="24"/>
        </w:rPr>
        <w:t xml:space="preserve"> d.  Nr. T-</w:t>
      </w:r>
    </w:p>
    <w:p w:rsidR="00FE5D34" w:rsidRDefault="00FE5D34" w:rsidP="008B09AC">
      <w:pPr>
        <w:jc w:val="center"/>
        <w:rPr>
          <w:rFonts w:ascii="TimesLT" w:hAnsi="TimesLT"/>
          <w:sz w:val="24"/>
        </w:rPr>
      </w:pPr>
      <w:r>
        <w:rPr>
          <w:rFonts w:ascii="TimesLT" w:hAnsi="TimesLT"/>
          <w:sz w:val="24"/>
        </w:rPr>
        <w:t>Panevėžys</w:t>
      </w:r>
    </w:p>
    <w:p w:rsidR="008B09AC" w:rsidRDefault="008B09AC" w:rsidP="008B09AC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826703" w:rsidRDefault="008B09AC" w:rsidP="00826703">
      <w:pPr>
        <w:jc w:val="both"/>
        <w:rPr>
          <w:color w:val="000000"/>
          <w:sz w:val="24"/>
          <w:lang w:val="lt-LT"/>
        </w:rPr>
      </w:pPr>
      <w:r>
        <w:rPr>
          <w:sz w:val="24"/>
        </w:rPr>
        <w:tab/>
      </w:r>
      <w:r>
        <w:rPr>
          <w:sz w:val="24"/>
          <w:szCs w:val="24"/>
        </w:rPr>
        <w:t>Vadovaudamasi Lietuvos Respublikos vietos savivaldos į</w:t>
      </w:r>
      <w:r w:rsidR="002B0516">
        <w:rPr>
          <w:sz w:val="24"/>
          <w:szCs w:val="24"/>
        </w:rPr>
        <w:t>statymo 18</w:t>
      </w:r>
      <w:r w:rsidR="002D6359">
        <w:rPr>
          <w:sz w:val="24"/>
          <w:szCs w:val="24"/>
        </w:rPr>
        <w:t xml:space="preserve"> straipsnio </w:t>
      </w:r>
      <w:r w:rsidR="002B0516">
        <w:rPr>
          <w:sz w:val="24"/>
          <w:szCs w:val="24"/>
        </w:rPr>
        <w:t>1</w:t>
      </w:r>
      <w:r w:rsidR="002D6359">
        <w:rPr>
          <w:sz w:val="24"/>
          <w:szCs w:val="24"/>
        </w:rPr>
        <w:t xml:space="preserve"> dalimi</w:t>
      </w:r>
      <w:r w:rsidR="00826703">
        <w:rPr>
          <w:sz w:val="24"/>
          <w:szCs w:val="24"/>
        </w:rPr>
        <w:t xml:space="preserve"> </w:t>
      </w:r>
      <w:r w:rsidR="00826703">
        <w:rPr>
          <w:color w:val="000000"/>
          <w:sz w:val="24"/>
          <w:lang w:val="lt-LT"/>
        </w:rPr>
        <w:t>ir Lietuvos Respublikos valstybės ir savivaldybių įsta</w:t>
      </w:r>
      <w:r w:rsidR="00322D8D">
        <w:rPr>
          <w:color w:val="000000"/>
          <w:sz w:val="24"/>
          <w:lang w:val="lt-LT"/>
        </w:rPr>
        <w:t xml:space="preserve">igų darbuotojų darbo apmokėjimo įstatymo              </w:t>
      </w:r>
      <w:r w:rsidR="002B0516">
        <w:rPr>
          <w:color w:val="000000"/>
          <w:sz w:val="24"/>
          <w:lang w:val="lt-LT"/>
        </w:rPr>
        <w:t xml:space="preserve">Nr. XIII-198 </w:t>
      </w:r>
      <w:r w:rsidR="00C170B7">
        <w:rPr>
          <w:color w:val="000000"/>
          <w:sz w:val="24"/>
          <w:lang w:val="lt-LT"/>
        </w:rPr>
        <w:t>2, 3, 4 ir 5</w:t>
      </w:r>
      <w:r w:rsidR="002B0516">
        <w:rPr>
          <w:color w:val="000000"/>
          <w:sz w:val="24"/>
          <w:lang w:val="lt-LT"/>
        </w:rPr>
        <w:t xml:space="preserve"> </w:t>
      </w:r>
      <w:r w:rsidR="00C170B7">
        <w:rPr>
          <w:color w:val="000000"/>
          <w:sz w:val="24"/>
          <w:lang w:val="lt-LT"/>
        </w:rPr>
        <w:t>priedų</w:t>
      </w:r>
      <w:r w:rsidR="002B0516">
        <w:rPr>
          <w:color w:val="000000"/>
          <w:sz w:val="24"/>
          <w:lang w:val="lt-LT"/>
        </w:rPr>
        <w:t xml:space="preserve"> pakeitimo įstatymu</w:t>
      </w:r>
      <w:r w:rsidR="00FE5D34">
        <w:rPr>
          <w:sz w:val="24"/>
          <w:szCs w:val="24"/>
        </w:rPr>
        <w:t>, S</w:t>
      </w:r>
      <w:r>
        <w:rPr>
          <w:sz w:val="24"/>
          <w:szCs w:val="24"/>
        </w:rPr>
        <w:t>avivaldybės</w:t>
      </w:r>
      <w:r w:rsidR="002D6359">
        <w:rPr>
          <w:sz w:val="24"/>
          <w:szCs w:val="24"/>
        </w:rPr>
        <w:t xml:space="preserve"> </w:t>
      </w:r>
      <w:r>
        <w:rPr>
          <w:sz w:val="24"/>
          <w:szCs w:val="24"/>
        </w:rPr>
        <w:t>taryba</w:t>
      </w:r>
      <w:r w:rsidR="003547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22D8D">
        <w:rPr>
          <w:spacing w:val="40"/>
          <w:sz w:val="24"/>
          <w:szCs w:val="24"/>
        </w:rPr>
        <w:t>n u s p r e n d ž i a</w:t>
      </w:r>
      <w:r w:rsidR="003547EE">
        <w:rPr>
          <w:spacing w:val="4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8B09AC" w:rsidRDefault="00322D8D" w:rsidP="00B35CF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C170B7">
        <w:rPr>
          <w:sz w:val="24"/>
          <w:lang w:val="lt-LT"/>
        </w:rPr>
        <w:t xml:space="preserve">1. </w:t>
      </w:r>
      <w:r w:rsidR="002B0516">
        <w:rPr>
          <w:sz w:val="24"/>
          <w:lang w:val="lt-LT"/>
        </w:rPr>
        <w:t>Pakeisti</w:t>
      </w:r>
      <w:r w:rsidR="00826703">
        <w:rPr>
          <w:sz w:val="24"/>
          <w:lang w:val="lt-LT"/>
        </w:rPr>
        <w:t xml:space="preserve"> Panevėžio rajono savivaldybės biudžetinių įstaigų vadovų darbo </w:t>
      </w:r>
      <w:r w:rsidR="00C170B7">
        <w:rPr>
          <w:sz w:val="24"/>
          <w:lang w:val="lt-LT"/>
        </w:rPr>
        <w:t>apmokėjimo sistemos, patvirtintos</w:t>
      </w:r>
      <w:r w:rsidR="002B0516">
        <w:rPr>
          <w:sz w:val="24"/>
          <w:lang w:val="lt-LT"/>
        </w:rPr>
        <w:t xml:space="preserve"> Savivaldybės tarybos 2017 m. vasario 23 d. sprendimu Nr. T-34 „Dėl Panevėžio rajono savivaldybės biudžetinių įstaigų vadovų darbo apmokėjimo sistemos patvirtinimo“</w:t>
      </w:r>
      <w:r w:rsidR="003E7A1F">
        <w:rPr>
          <w:sz w:val="24"/>
          <w:lang w:val="lt-LT"/>
        </w:rPr>
        <w:t>,</w:t>
      </w:r>
      <w:r w:rsidR="00C170B7">
        <w:rPr>
          <w:sz w:val="24"/>
          <w:lang w:val="lt-LT"/>
        </w:rPr>
        <w:t xml:space="preserve"> priedo „Mokyklų vadovų pareiginės algos pastovioji dalis“ 5 punktą ir jį išdėstyti taip</w:t>
      </w:r>
      <w:r w:rsidR="002B0516">
        <w:rPr>
          <w:sz w:val="24"/>
          <w:lang w:val="lt-LT"/>
        </w:rPr>
        <w:t>:</w:t>
      </w:r>
    </w:p>
    <w:p w:rsidR="00C170B7" w:rsidRDefault="004B2E5E" w:rsidP="008874B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sz w:val="24"/>
          <w:lang w:val="lt-LT"/>
        </w:rPr>
        <w:tab/>
      </w:r>
      <w:r w:rsidR="00C170B7">
        <w:rPr>
          <w:sz w:val="24"/>
          <w:lang w:val="lt-LT"/>
        </w:rPr>
        <w:t>„</w:t>
      </w:r>
      <w:r w:rsidR="00C170B7" w:rsidRPr="00826703">
        <w:rPr>
          <w:rFonts w:eastAsiaTheme="minorHAnsi"/>
          <w:sz w:val="24"/>
          <w:lang w:val="lt-LT" w:eastAsia="lt-LT" w:bidi="ar-SA"/>
        </w:rPr>
        <w:t>5. Įstaigų, nenurodytų šio priedo I skyriuje, vadovų, priskiriamų prie pedagoginių darbuotojų, pareiginės algos pastoviosios dalies koeficientai:</w:t>
      </w:r>
    </w:p>
    <w:p w:rsidR="008874B9" w:rsidRPr="008874B9" w:rsidRDefault="008874B9" w:rsidP="008874B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268"/>
        <w:gridCol w:w="2607"/>
      </w:tblGrid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Pareigybė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Turintiems iki </w:t>
            </w:r>
          </w:p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10 metų pedagoginio darbo stažą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nuo 10 iki 15 metų pedagoginio darbo stažą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15 ir daugiau metų pedagoginio darbo stažą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nesuteiktos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4,4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–7,24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–8,0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suteiktos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6,36–9,59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6,68–10,67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7,01–11,81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5,6–8,98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5,87–9,97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6,18–11,09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4,89–7,88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5,13–8,76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5,42–9,74</w:t>
            </w:r>
          </w:p>
        </w:tc>
      </w:tr>
      <w:tr w:rsidR="00C170B7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70B7" w:rsidRPr="00826703" w:rsidRDefault="00C170B7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C170B7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C170B7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4,4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–9,55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–10,64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170B7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</w:t>
            </w:r>
            <w:r w:rsidR="00C170B7"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–11,81</w:t>
            </w:r>
          </w:p>
        </w:tc>
      </w:tr>
    </w:tbl>
    <w:p w:rsidR="00C170B7" w:rsidRPr="00826703" w:rsidRDefault="00C170B7" w:rsidP="00C170B7">
      <w:pPr>
        <w:suppressAutoHyphens w:val="0"/>
        <w:spacing w:line="360" w:lineRule="auto"/>
        <w:rPr>
          <w:rFonts w:eastAsiaTheme="minorHAnsi"/>
          <w:sz w:val="24"/>
          <w:szCs w:val="24"/>
          <w:lang w:val="lt-LT" w:eastAsia="en-US" w:bidi="ar-SA"/>
        </w:rPr>
      </w:pPr>
    </w:p>
    <w:p w:rsidR="008874B9" w:rsidRDefault="00651879" w:rsidP="00B35CF0">
      <w:pPr>
        <w:jc w:val="both"/>
        <w:rPr>
          <w:rFonts w:eastAsiaTheme="minorHAnsi"/>
          <w:sz w:val="24"/>
          <w:lang w:val="lt-LT" w:eastAsia="en-US" w:bidi="ar-SA"/>
        </w:rPr>
      </w:pPr>
      <w:r w:rsidRPr="00826703">
        <w:rPr>
          <w:rFonts w:eastAsiaTheme="minorHAnsi"/>
          <w:sz w:val="24"/>
          <w:lang w:val="lt-LT" w:eastAsia="en-US" w:bidi="ar-SA"/>
        </w:rPr>
        <w:t xml:space="preserve"> </w:t>
      </w:r>
      <w:r w:rsidR="00C170B7">
        <w:rPr>
          <w:rFonts w:eastAsiaTheme="minorHAnsi"/>
          <w:sz w:val="24"/>
          <w:lang w:val="lt-LT" w:eastAsia="en-US" w:bidi="ar-SA"/>
        </w:rPr>
        <w:tab/>
        <w:t xml:space="preserve">2. </w:t>
      </w:r>
      <w:r w:rsidR="008874B9">
        <w:rPr>
          <w:rFonts w:eastAsiaTheme="minorHAnsi"/>
          <w:sz w:val="24"/>
          <w:lang w:val="lt-LT" w:eastAsia="en-US" w:bidi="ar-SA"/>
        </w:rPr>
        <w:t>Sprendimas įsigalioja 2018 m. sausio 1 d.</w:t>
      </w:r>
    </w:p>
    <w:p w:rsidR="008874B9" w:rsidRPr="008874B9" w:rsidRDefault="008874B9" w:rsidP="00B35CF0">
      <w:pPr>
        <w:jc w:val="both"/>
        <w:rPr>
          <w:rFonts w:eastAsiaTheme="minorHAnsi"/>
          <w:sz w:val="24"/>
          <w:lang w:val="lt-LT" w:eastAsia="en-US" w:bidi="ar-SA"/>
        </w:rPr>
      </w:pPr>
    </w:p>
    <w:p w:rsidR="008B09AC" w:rsidRDefault="008B09AC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Sprendimas gali būti skundžiamas Lietuvos Respublikos administracinių bylų teisenos įstatymo nustatyta tvarka.</w:t>
      </w:r>
    </w:p>
    <w:p w:rsidR="00FD0425" w:rsidRDefault="00FD0425" w:rsidP="008B09AC">
      <w:pPr>
        <w:ind w:right="-35"/>
        <w:jc w:val="both"/>
        <w:rPr>
          <w:sz w:val="24"/>
          <w:szCs w:val="24"/>
        </w:rPr>
      </w:pPr>
    </w:p>
    <w:p w:rsidR="008874B9" w:rsidRDefault="008874B9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>Stasė Venslavičienė</w:t>
      </w:r>
    </w:p>
    <w:p w:rsidR="008B09AC" w:rsidRDefault="008874B9" w:rsidP="008B09AC">
      <w:pPr>
        <w:ind w:right="-35"/>
        <w:jc w:val="both"/>
        <w:rPr>
          <w:sz w:val="24"/>
          <w:szCs w:val="24"/>
        </w:rPr>
      </w:pPr>
      <w:r>
        <w:rPr>
          <w:sz w:val="24"/>
          <w:szCs w:val="24"/>
        </w:rPr>
        <w:t>2017-12-05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485"/>
        <w:gridCol w:w="4983"/>
      </w:tblGrid>
      <w:tr w:rsidR="008B09AC" w:rsidTr="00826703">
        <w:tc>
          <w:tcPr>
            <w:tcW w:w="4485" w:type="dxa"/>
          </w:tcPr>
          <w:p w:rsidR="008B09AC" w:rsidRDefault="008B09AC" w:rsidP="003547EE">
            <w:pPr>
              <w:pStyle w:val="Betarp"/>
            </w:pPr>
          </w:p>
        </w:tc>
        <w:tc>
          <w:tcPr>
            <w:tcW w:w="4983" w:type="dxa"/>
          </w:tcPr>
          <w:p w:rsidR="008B09AC" w:rsidRDefault="008B09AC">
            <w:pPr>
              <w:ind w:left="2895" w:right="-35" w:hanging="2895"/>
              <w:jc w:val="right"/>
              <w:rPr>
                <w:sz w:val="24"/>
                <w:szCs w:val="24"/>
              </w:rPr>
            </w:pPr>
          </w:p>
        </w:tc>
      </w:tr>
      <w:tr w:rsidR="00FD0425" w:rsidTr="00392950">
        <w:trPr>
          <w:trHeight w:val="1135"/>
        </w:trPr>
        <w:tc>
          <w:tcPr>
            <w:tcW w:w="4485" w:type="dxa"/>
          </w:tcPr>
          <w:p w:rsidR="00F75F28" w:rsidRDefault="00F75F28">
            <w:pPr>
              <w:ind w:right="-35"/>
              <w:jc w:val="both"/>
              <w:rPr>
                <w:sz w:val="24"/>
                <w:szCs w:val="24"/>
              </w:rPr>
            </w:pPr>
          </w:p>
          <w:p w:rsidR="00392950" w:rsidRDefault="00392950">
            <w:pPr>
              <w:ind w:right="-35"/>
              <w:jc w:val="both"/>
              <w:rPr>
                <w:sz w:val="24"/>
                <w:szCs w:val="24"/>
              </w:rPr>
            </w:pPr>
          </w:p>
          <w:p w:rsidR="00392950" w:rsidRDefault="00392950">
            <w:pPr>
              <w:ind w:right="-35"/>
              <w:jc w:val="both"/>
              <w:rPr>
                <w:sz w:val="24"/>
                <w:szCs w:val="24"/>
              </w:rPr>
            </w:pPr>
          </w:p>
          <w:p w:rsidR="00392950" w:rsidRDefault="00392950">
            <w:pPr>
              <w:ind w:right="-35"/>
              <w:jc w:val="both"/>
              <w:rPr>
                <w:sz w:val="24"/>
                <w:szCs w:val="24"/>
              </w:rPr>
            </w:pPr>
          </w:p>
          <w:p w:rsidR="00392950" w:rsidRDefault="00392950">
            <w:pPr>
              <w:ind w:right="-35"/>
              <w:jc w:val="both"/>
              <w:rPr>
                <w:sz w:val="24"/>
                <w:szCs w:val="24"/>
              </w:rPr>
            </w:pPr>
          </w:p>
        </w:tc>
        <w:tc>
          <w:tcPr>
            <w:tcW w:w="4983" w:type="dxa"/>
          </w:tcPr>
          <w:p w:rsidR="00B35CF0" w:rsidRDefault="00B35CF0">
            <w:pPr>
              <w:ind w:left="2895" w:right="-35" w:hanging="2895"/>
              <w:jc w:val="right"/>
              <w:rPr>
                <w:sz w:val="24"/>
                <w:szCs w:val="24"/>
              </w:rPr>
            </w:pPr>
          </w:p>
        </w:tc>
      </w:tr>
    </w:tbl>
    <w:p w:rsidR="00BC46E0" w:rsidRPr="00392950" w:rsidRDefault="004B0509" w:rsidP="00392950">
      <w:pPr>
        <w:suppressAutoHyphens w:val="0"/>
        <w:jc w:val="center"/>
        <w:rPr>
          <w:rFonts w:eastAsiaTheme="minorHAnsi"/>
          <w:sz w:val="24"/>
          <w:lang w:val="lt-LT" w:eastAsia="en-US" w:bidi="ar-SA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 w:rsidP="00392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6737E7" w:rsidRPr="006737E7" w:rsidRDefault="006737E7" w:rsidP="006737E7">
      <w:pPr>
        <w:rPr>
          <w:lang w:val="lt-LT"/>
        </w:rPr>
      </w:pPr>
    </w:p>
    <w:p w:rsidR="006737E7" w:rsidRPr="007729B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 w:rsidR="007729B7">
        <w:rPr>
          <w:sz w:val="24"/>
          <w:szCs w:val="24"/>
          <w:lang w:val="lt-LT"/>
        </w:rPr>
        <w:t>žio rajono savivaldybės tarybai</w:t>
      </w:r>
    </w:p>
    <w:p w:rsidR="006737E7" w:rsidRPr="006737E7" w:rsidRDefault="006737E7" w:rsidP="006737E7">
      <w:pPr>
        <w:rPr>
          <w:lang w:val="lt-LT"/>
        </w:rPr>
      </w:pPr>
    </w:p>
    <w:p w:rsidR="00B07407" w:rsidRPr="00A74FB9" w:rsidRDefault="00B07407" w:rsidP="00A74FB9">
      <w:pPr>
        <w:pStyle w:val="Antrats"/>
        <w:jc w:val="center"/>
        <w:rPr>
          <w:b/>
          <w:sz w:val="24"/>
          <w:szCs w:val="24"/>
        </w:rPr>
      </w:pPr>
      <w:r w:rsidRPr="00A74FB9">
        <w:rPr>
          <w:b/>
          <w:sz w:val="24"/>
          <w:szCs w:val="24"/>
        </w:rPr>
        <w:t>AIŠ</w:t>
      </w:r>
      <w:r w:rsidR="00A74FB9">
        <w:rPr>
          <w:b/>
          <w:sz w:val="24"/>
          <w:szCs w:val="24"/>
        </w:rPr>
        <w:t xml:space="preserve">KINAMASIS RAŠTAS DĖL SPRENDIMO </w:t>
      </w:r>
      <w:r w:rsidR="00392950">
        <w:rPr>
          <w:b/>
          <w:sz w:val="24"/>
          <w:szCs w:val="24"/>
        </w:rPr>
        <w:t xml:space="preserve">„DĖL SAVIVALDYBĖS TARYBOS 2017 M. VASARIO 23 D. SPRENDIMO NR. T-34 </w:t>
      </w:r>
      <w:r w:rsidR="00A74FB9">
        <w:rPr>
          <w:b/>
          <w:sz w:val="24"/>
          <w:szCs w:val="24"/>
        </w:rPr>
        <w:t>„</w:t>
      </w:r>
      <w:r w:rsidR="00A74FB9" w:rsidRPr="00FE5D34">
        <w:rPr>
          <w:b/>
          <w:sz w:val="24"/>
          <w:szCs w:val="24"/>
        </w:rPr>
        <w:t xml:space="preserve">DĖL </w:t>
      </w:r>
      <w:r w:rsidR="00826703">
        <w:rPr>
          <w:b/>
          <w:sz w:val="24"/>
          <w:szCs w:val="24"/>
        </w:rPr>
        <w:t>PANEVĖŽIO R</w:t>
      </w:r>
      <w:r w:rsidR="007B4699">
        <w:rPr>
          <w:b/>
          <w:sz w:val="24"/>
          <w:szCs w:val="24"/>
        </w:rPr>
        <w:t>A</w:t>
      </w:r>
      <w:r w:rsidR="00826703">
        <w:rPr>
          <w:b/>
          <w:sz w:val="24"/>
          <w:szCs w:val="24"/>
        </w:rPr>
        <w:t>JONO SAVIVALDYBĖS BIUDŽETINIŲ ĮSTAIGŲ VADOVŲ DARBO APMOKĖJIMO</w:t>
      </w:r>
      <w:r w:rsidR="00A74FB9">
        <w:rPr>
          <w:b/>
          <w:sz w:val="24"/>
          <w:szCs w:val="24"/>
        </w:rPr>
        <w:t xml:space="preserve"> </w:t>
      </w:r>
      <w:r w:rsidR="00FA21B2">
        <w:rPr>
          <w:b/>
          <w:sz w:val="24"/>
          <w:szCs w:val="24"/>
        </w:rPr>
        <w:t>SI</w:t>
      </w:r>
      <w:r w:rsidR="00826703">
        <w:rPr>
          <w:b/>
          <w:sz w:val="24"/>
          <w:szCs w:val="24"/>
        </w:rPr>
        <w:t>STEMOS PATVIRTINIMO</w:t>
      </w:r>
      <w:r w:rsidR="00A74FB9">
        <w:rPr>
          <w:b/>
          <w:sz w:val="24"/>
          <w:szCs w:val="24"/>
        </w:rPr>
        <w:t>“</w:t>
      </w:r>
      <w:r w:rsidRPr="00A74FB9">
        <w:rPr>
          <w:b/>
          <w:sz w:val="24"/>
          <w:szCs w:val="24"/>
        </w:rPr>
        <w:t xml:space="preserve"> </w:t>
      </w:r>
      <w:r w:rsidR="00392950">
        <w:rPr>
          <w:b/>
          <w:sz w:val="24"/>
          <w:szCs w:val="24"/>
        </w:rPr>
        <w:t xml:space="preserve">PAKEITIMO“ </w:t>
      </w:r>
      <w:r w:rsidRPr="00A74FB9">
        <w:rPr>
          <w:b/>
          <w:sz w:val="24"/>
          <w:szCs w:val="24"/>
        </w:rPr>
        <w:t>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CC224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</w:t>
      </w:r>
      <w:r w:rsidR="008874B9">
        <w:rPr>
          <w:sz w:val="24"/>
          <w:lang w:val="lt-LT"/>
        </w:rPr>
        <w:t>12-05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392950" w:rsidRPr="006C543C" w:rsidRDefault="00B07407" w:rsidP="00392950">
      <w:pPr>
        <w:jc w:val="both"/>
        <w:rPr>
          <w:b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E7604E">
        <w:rPr>
          <w:sz w:val="24"/>
          <w:szCs w:val="24"/>
          <w:lang w:val="lt-LT"/>
        </w:rPr>
        <w:t>Lietuvos Respublikos valstybės ir savivaldybių įstaigų darbu</w:t>
      </w:r>
      <w:r w:rsidR="00FA21B2">
        <w:rPr>
          <w:sz w:val="24"/>
          <w:szCs w:val="24"/>
          <w:lang w:val="lt-LT"/>
        </w:rPr>
        <w:t>otojų dar</w:t>
      </w:r>
      <w:r w:rsidR="00392950">
        <w:rPr>
          <w:sz w:val="24"/>
          <w:szCs w:val="24"/>
          <w:lang w:val="lt-LT"/>
        </w:rPr>
        <w:t xml:space="preserve">bo apmokėjimo įstatymo Nr. XIII-198 </w:t>
      </w:r>
      <w:r w:rsidR="008874B9">
        <w:rPr>
          <w:sz w:val="24"/>
          <w:szCs w:val="24"/>
          <w:lang w:val="lt-LT"/>
        </w:rPr>
        <w:t>2, 3, 4 ir 5 priedų</w:t>
      </w:r>
      <w:r w:rsidR="00392950">
        <w:rPr>
          <w:sz w:val="24"/>
          <w:szCs w:val="24"/>
          <w:lang w:val="lt-LT"/>
        </w:rPr>
        <w:t xml:space="preserve"> pakeitimo įstatymas.</w:t>
      </w:r>
    </w:p>
    <w:p w:rsidR="00B07407" w:rsidRPr="006C543C" w:rsidRDefault="009A637F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</w:t>
      </w:r>
      <w:r w:rsidR="00B07407" w:rsidRPr="006C543C">
        <w:rPr>
          <w:b/>
          <w:sz w:val="24"/>
          <w:lang w:val="lt-LT"/>
        </w:rPr>
        <w:t xml:space="preserve"> projekto esmė ir tikslai.</w:t>
      </w:r>
      <w:r w:rsidR="00B07407" w:rsidRPr="006C543C">
        <w:rPr>
          <w:sz w:val="24"/>
          <w:lang w:val="lt-LT"/>
        </w:rPr>
        <w:t xml:space="preserve"> </w:t>
      </w:r>
    </w:p>
    <w:p w:rsidR="00391A54" w:rsidRDefault="00FA13C9" w:rsidP="009A637F">
      <w:pPr>
        <w:pStyle w:val="Betarp"/>
        <w:jc w:val="both"/>
        <w:rPr>
          <w:rStyle w:val="Grietas"/>
          <w:b w:val="0"/>
          <w:sz w:val="24"/>
          <w:szCs w:val="24"/>
          <w:lang w:val="lt-LT" w:eastAsia="en-US" w:bidi="ar-SA"/>
        </w:rPr>
      </w:pPr>
      <w:r w:rsidRPr="009A637F">
        <w:rPr>
          <w:sz w:val="24"/>
          <w:szCs w:val="24"/>
        </w:rPr>
        <w:tab/>
      </w:r>
      <w:r w:rsidR="00E42B79">
        <w:rPr>
          <w:sz w:val="24"/>
          <w:szCs w:val="24"/>
        </w:rPr>
        <w:t>Nuo 2018 m</w:t>
      </w:r>
      <w:r w:rsidR="008D5D90">
        <w:rPr>
          <w:sz w:val="24"/>
          <w:szCs w:val="24"/>
        </w:rPr>
        <w:t xml:space="preserve">. sausio 1 d. nustačius minimaliąją mėnesinę algą (toliau – MMA) 400 eurų, valstybės ir savivaldybių įstaigų darbuotojų pareiginės algos pastoviosios </w:t>
      </w:r>
      <w:r w:rsidR="00391A54">
        <w:rPr>
          <w:sz w:val="24"/>
          <w:szCs w:val="24"/>
        </w:rPr>
        <w:t>da</w:t>
      </w:r>
      <w:r w:rsidR="008D5D90">
        <w:rPr>
          <w:sz w:val="24"/>
          <w:szCs w:val="24"/>
        </w:rPr>
        <w:t>lies koeficientai negali būti mažesni nei MMA ir turi atitikti Lietuvos Respublikos darbo kodekso nuostatas, pagal kurias minimalusis darbo užmokestis yra mažiausias leidžiamas atlygis tik už nekvalifikuotą darbą.</w:t>
      </w:r>
      <w:r w:rsidR="009A637F">
        <w:rPr>
          <w:rStyle w:val="Grietas"/>
          <w:b w:val="0"/>
          <w:sz w:val="24"/>
          <w:szCs w:val="24"/>
          <w:lang w:val="lt-LT" w:eastAsia="en-US" w:bidi="ar-SA"/>
        </w:rPr>
        <w:tab/>
      </w:r>
    </w:p>
    <w:p w:rsidR="00391A54" w:rsidRDefault="00391A54" w:rsidP="009A637F">
      <w:pPr>
        <w:pStyle w:val="Betarp"/>
        <w:jc w:val="both"/>
        <w:rPr>
          <w:rStyle w:val="Grietas"/>
          <w:b w:val="0"/>
          <w:sz w:val="24"/>
          <w:szCs w:val="24"/>
          <w:lang w:val="lt-LT" w:eastAsia="en-US" w:bidi="ar-SA"/>
        </w:rPr>
      </w:pPr>
      <w:r>
        <w:rPr>
          <w:rStyle w:val="Grietas"/>
          <w:b w:val="0"/>
          <w:sz w:val="24"/>
          <w:szCs w:val="24"/>
          <w:lang w:val="lt-LT" w:eastAsia="en-US" w:bidi="ar-SA"/>
        </w:rPr>
        <w:tab/>
        <w:t xml:space="preserve">Todėl </w:t>
      </w:r>
      <w:r>
        <w:rPr>
          <w:color w:val="000000"/>
          <w:sz w:val="24"/>
          <w:lang w:val="lt-LT"/>
        </w:rPr>
        <w:t>Lietuvos Respublikos valstybės ir savivaldybių įstaigų darbuotojų darbo apmokėjimo įstatymo Nr. XIII-198 2, 3, 4 ir 5 priedų pakeitimo įstatymu nuo 2018 m. sausio 1 d. vidutiniškai</w:t>
      </w:r>
      <w:r w:rsidR="00F9606F">
        <w:rPr>
          <w:color w:val="000000"/>
          <w:sz w:val="24"/>
          <w:lang w:val="lt-LT"/>
        </w:rPr>
        <w:t xml:space="preserve">      </w:t>
      </w:r>
      <w:r>
        <w:rPr>
          <w:color w:val="000000"/>
          <w:sz w:val="24"/>
          <w:lang w:val="lt-LT"/>
        </w:rPr>
        <w:t xml:space="preserve"> 20 eurų padidinami minimalieji pareiginės algos pastoviosios dalies koeficientai, kurie yra mažesni, nei patvirtinta nauja MMA. </w:t>
      </w:r>
    </w:p>
    <w:p w:rsidR="00F9606F" w:rsidRDefault="00391A54" w:rsidP="0018167B">
      <w:pPr>
        <w:pStyle w:val="Betarp"/>
        <w:jc w:val="both"/>
        <w:rPr>
          <w:sz w:val="24"/>
          <w:lang w:val="lt-LT"/>
        </w:rPr>
      </w:pPr>
      <w:r>
        <w:rPr>
          <w:rStyle w:val="Grietas"/>
          <w:b w:val="0"/>
          <w:sz w:val="24"/>
          <w:szCs w:val="24"/>
          <w:lang w:val="lt-LT" w:eastAsia="en-US" w:bidi="ar-SA"/>
        </w:rPr>
        <w:tab/>
        <w:t xml:space="preserve">Atsižvelgiant į tai, </w:t>
      </w:r>
      <w:r w:rsidR="0018167B">
        <w:rPr>
          <w:rStyle w:val="Grietas"/>
          <w:b w:val="0"/>
          <w:sz w:val="24"/>
          <w:szCs w:val="24"/>
          <w:lang w:val="lt-LT" w:eastAsia="en-US" w:bidi="ar-SA"/>
        </w:rPr>
        <w:t>š</w:t>
      </w:r>
      <w:r>
        <w:rPr>
          <w:rStyle w:val="Grietas"/>
          <w:b w:val="0"/>
          <w:sz w:val="24"/>
          <w:szCs w:val="24"/>
          <w:lang w:val="lt-LT" w:eastAsia="en-US" w:bidi="ar-SA"/>
        </w:rPr>
        <w:t xml:space="preserve">iuo sprendimo projektu siūloma </w:t>
      </w:r>
      <w:r w:rsidR="0018167B">
        <w:rPr>
          <w:sz w:val="24"/>
          <w:lang w:val="lt-LT"/>
        </w:rPr>
        <w:t>pakeisti Panevėžio rajono savivaldybės biudžetinių įstaigų vadovų darbo apmokėjimo sistemos, patvirtintos Savivaldybės tarybos 2017 m. vasario 23 d. sprendimu Nr. T-34 „Dėl Panevėžio rajono savivaldybės biudžetinių įstaigų vadovų darbo ap</w:t>
      </w:r>
      <w:r w:rsidR="003E7A1F">
        <w:rPr>
          <w:sz w:val="24"/>
          <w:lang w:val="lt-LT"/>
        </w:rPr>
        <w:t xml:space="preserve">mokėjimo sistemos patvirtinimo“, </w:t>
      </w:r>
      <w:bookmarkStart w:id="0" w:name="_GoBack"/>
      <w:bookmarkEnd w:id="0"/>
      <w:r w:rsidR="0018167B">
        <w:rPr>
          <w:sz w:val="24"/>
          <w:lang w:val="lt-LT"/>
        </w:rPr>
        <w:t xml:space="preserve">priedo „Mokyklų vadovų pareiginės algos pastovioji dalis“ 5 punktą. Šiame punkte yra nurodomi Švietimo centro, Pedagoginės psichologinės tarnybos vadovų pareiginės algos pastoviosios dalies koeficientų intervalai. </w:t>
      </w:r>
    </w:p>
    <w:p w:rsidR="008874B9" w:rsidRPr="0018167B" w:rsidRDefault="00F9606F" w:rsidP="0018167B">
      <w:pPr>
        <w:pStyle w:val="Betarp"/>
        <w:jc w:val="both"/>
        <w:rPr>
          <w:bCs/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ab/>
      </w:r>
      <w:r w:rsidR="008874B9">
        <w:rPr>
          <w:rFonts w:eastAsiaTheme="minorHAnsi"/>
          <w:sz w:val="24"/>
          <w:lang w:val="lt-LT" w:eastAsia="lt-LT" w:bidi="ar-SA"/>
        </w:rPr>
        <w:t xml:space="preserve">5 </w:t>
      </w:r>
      <w:r w:rsidR="00164865">
        <w:rPr>
          <w:rFonts w:eastAsiaTheme="minorHAnsi"/>
          <w:sz w:val="24"/>
          <w:lang w:val="lt-LT" w:eastAsia="lt-LT" w:bidi="ar-SA"/>
        </w:rPr>
        <w:t>punkto lyginamasis variantas</w:t>
      </w:r>
      <w:r>
        <w:rPr>
          <w:rFonts w:eastAsiaTheme="minorHAnsi"/>
          <w:sz w:val="24"/>
          <w:lang w:val="lt-LT" w:eastAsia="lt-LT" w:bidi="ar-SA"/>
        </w:rPr>
        <w:t>:</w:t>
      </w:r>
    </w:p>
    <w:p w:rsidR="008874B9" w:rsidRPr="00826703" w:rsidRDefault="008874B9" w:rsidP="008874B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lt-LT" w:bidi="ar-SA"/>
        </w:rPr>
        <w:tab/>
      </w:r>
      <w:r w:rsidRPr="00826703">
        <w:rPr>
          <w:rFonts w:eastAsiaTheme="minorHAnsi"/>
          <w:sz w:val="24"/>
          <w:lang w:val="lt-LT" w:eastAsia="lt-LT" w:bidi="ar-SA"/>
        </w:rPr>
        <w:t>5. Įstaigų, nenurodytų šio priedo I skyriuje, vadovų, priskiriamų prie pedagoginių darbuotojų, pareiginės algos pastoviosios dalies koeficientai:</w:t>
      </w:r>
    </w:p>
    <w:p w:rsidR="008874B9" w:rsidRPr="00826703" w:rsidRDefault="008874B9" w:rsidP="008874B9">
      <w:pPr>
        <w:widowControl w:val="0"/>
        <w:spacing w:line="360" w:lineRule="auto"/>
        <w:jc w:val="both"/>
        <w:textAlignment w:val="baseline"/>
        <w:rPr>
          <w:rFonts w:eastAsiaTheme="minorHAnsi"/>
          <w:color w:val="000000"/>
          <w:sz w:val="24"/>
          <w:szCs w:val="24"/>
          <w:lang w:val="lt-LT" w:eastAsia="lt-LT" w:bidi="ar-SA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2268"/>
        <w:gridCol w:w="2607"/>
      </w:tblGrid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Pareigybė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 xml:space="preserve">Turintiems iki </w:t>
            </w:r>
          </w:p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10 metų pedagoginio darbo stažą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nuo 10 iki 15 metų pedagoginio darbo stažą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  <w:t>Turintiems 15 ir daugiau metų pedagoginio darbo stažą</w:t>
            </w:r>
          </w:p>
        </w:tc>
      </w:tr>
      <w:tr w:rsidR="008874B9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nesuteiktos vadybinės kvalifikacinės kategorijos</w:t>
            </w: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</w:pPr>
            <w:r w:rsidRPr="00164865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3,87–</w:t>
            </w:r>
            <w:r w:rsidRPr="00AC01B3">
              <w:rPr>
                <w:rFonts w:eastAsiaTheme="minorHAnsi"/>
                <w:sz w:val="24"/>
                <w:szCs w:val="24"/>
                <w:lang w:val="lt-LT" w:eastAsia="en-US" w:bidi="ar-SA"/>
              </w:rPr>
              <w:t>6,49</w:t>
            </w:r>
          </w:p>
          <w:p w:rsidR="00164865" w:rsidRPr="00AC01B3" w:rsidRDefault="00164865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z w:val="24"/>
                <w:szCs w:val="24"/>
                <w:lang w:val="lt-LT" w:eastAsia="en-US" w:bidi="ar-SA"/>
              </w:rPr>
              <w:t>4,4</w:t>
            </w:r>
            <w:r w:rsidR="00AC01B3" w:rsidRPr="00AC01B3">
              <w:rPr>
                <w:rFonts w:eastAsiaTheme="minorHAnsi"/>
                <w:sz w:val="24"/>
                <w:szCs w:val="24"/>
                <w:lang w:val="lt-LT" w:eastAsia="en-US" w:bidi="ar-SA"/>
              </w:rPr>
              <w:t>–6,49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4,1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–7,24</w:t>
            </w:r>
          </w:p>
          <w:p w:rsidR="00AC01B3" w:rsidRPr="00826703" w:rsidRDefault="00AC01B3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4,5–7,24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4,3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–8,0</w:t>
            </w:r>
          </w:p>
          <w:p w:rsidR="00AC01B3" w:rsidRPr="00826703" w:rsidRDefault="00AC01B3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4,6–8,0</w:t>
            </w:r>
          </w:p>
        </w:tc>
      </w:tr>
      <w:tr w:rsidR="008874B9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suteiktos vadybinės kvalifikacinės kategorijos</w:t>
            </w: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lastRenderedPageBreak/>
              <w:t>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6,36–9,59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6,68–10,67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7,01–11,81</w:t>
            </w: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5,6–8,98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5,87–9,97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6,18–11,09</w:t>
            </w: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III kategorija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4,89–7,88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5,13–8,76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5,42–9,74</w:t>
            </w:r>
          </w:p>
        </w:tc>
      </w:tr>
      <w:tr w:rsidR="008874B9" w:rsidRPr="00826703" w:rsidTr="00467642">
        <w:trPr>
          <w:trHeight w:val="555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874B9" w:rsidRPr="00826703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bCs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8874B9" w:rsidRPr="00826703" w:rsidTr="00467642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Pr="00826703" w:rsidRDefault="008874B9" w:rsidP="00467642">
            <w:pPr>
              <w:widowControl w:val="0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  <w:r w:rsidRPr="00826703"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  <w:t>vadovai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3,65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–9,55</w:t>
            </w:r>
          </w:p>
          <w:p w:rsidR="00AC01B3" w:rsidRPr="00826703" w:rsidRDefault="00AC01B3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4,4–9,55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3,84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–10,64</w:t>
            </w:r>
          </w:p>
          <w:p w:rsidR="00AC01B3" w:rsidRPr="00826703" w:rsidRDefault="00AC01B3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4,5–10,64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874B9" w:rsidRDefault="008874B9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AC01B3">
              <w:rPr>
                <w:rFonts w:eastAsiaTheme="minorHAnsi"/>
                <w:strike/>
                <w:sz w:val="24"/>
                <w:szCs w:val="24"/>
                <w:lang w:val="lt-LT" w:eastAsia="en-US" w:bidi="ar-SA"/>
              </w:rPr>
              <w:t>4,03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–11,81</w:t>
            </w:r>
          </w:p>
          <w:p w:rsidR="00AC01B3" w:rsidRPr="00826703" w:rsidRDefault="00AC01B3" w:rsidP="00467642">
            <w:pPr>
              <w:widowControl w:val="0"/>
              <w:jc w:val="center"/>
              <w:textAlignment w:val="baseline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>4,6–11,81</w:t>
            </w:r>
          </w:p>
        </w:tc>
      </w:tr>
    </w:tbl>
    <w:p w:rsidR="008874B9" w:rsidRPr="00826703" w:rsidRDefault="008874B9" w:rsidP="008874B9">
      <w:pPr>
        <w:suppressAutoHyphens w:val="0"/>
        <w:spacing w:line="360" w:lineRule="auto"/>
        <w:rPr>
          <w:rFonts w:eastAsiaTheme="minorHAnsi"/>
          <w:sz w:val="24"/>
          <w:szCs w:val="24"/>
          <w:lang w:val="lt-LT" w:eastAsia="en-US" w:bidi="ar-SA"/>
        </w:rPr>
      </w:pPr>
    </w:p>
    <w:p w:rsidR="00BE2EDF" w:rsidRPr="00E9303E" w:rsidRDefault="00BE2EDF" w:rsidP="00E7604E">
      <w:pPr>
        <w:jc w:val="both"/>
        <w:rPr>
          <w:sz w:val="24"/>
          <w:szCs w:val="24"/>
          <w:lang w:val="lt-LT"/>
        </w:rPr>
      </w:pPr>
    </w:p>
    <w:p w:rsidR="0022512F" w:rsidRPr="00E9303E" w:rsidRDefault="00607067" w:rsidP="0022512F">
      <w:pPr>
        <w:jc w:val="both"/>
        <w:rPr>
          <w:b/>
          <w:sz w:val="24"/>
          <w:lang w:val="lt-LT"/>
        </w:rPr>
      </w:pPr>
      <w:r w:rsidRPr="00E9303E">
        <w:rPr>
          <w:sz w:val="24"/>
          <w:lang w:val="lt-LT"/>
        </w:rPr>
        <w:tab/>
      </w:r>
      <w:r w:rsidRPr="00E9303E">
        <w:rPr>
          <w:b/>
          <w:sz w:val="24"/>
          <w:lang w:val="lt-LT"/>
        </w:rPr>
        <w:t>3</w:t>
      </w:r>
      <w:r w:rsidR="0022512F" w:rsidRPr="00E9303E">
        <w:rPr>
          <w:b/>
          <w:bCs/>
          <w:sz w:val="24"/>
          <w:szCs w:val="24"/>
          <w:lang w:val="lt-LT"/>
        </w:rPr>
        <w:t>. K</w:t>
      </w:r>
      <w:r w:rsidR="0022512F" w:rsidRPr="00E9303E">
        <w:rPr>
          <w:b/>
          <w:sz w:val="24"/>
          <w:lang w:val="lt-LT"/>
        </w:rPr>
        <w:t>okių pozityvių rezultatų laukiama.</w:t>
      </w:r>
    </w:p>
    <w:p w:rsidR="00072770" w:rsidRDefault="0022512F" w:rsidP="0022512F">
      <w:pPr>
        <w:jc w:val="both"/>
        <w:rPr>
          <w:sz w:val="24"/>
          <w:lang w:val="lt-LT"/>
        </w:rPr>
      </w:pPr>
      <w:r w:rsidRPr="00E9303E">
        <w:rPr>
          <w:b/>
          <w:sz w:val="24"/>
          <w:lang w:val="lt-LT"/>
        </w:rPr>
        <w:tab/>
      </w:r>
      <w:r w:rsidR="00607067" w:rsidRPr="00E9303E">
        <w:rPr>
          <w:sz w:val="24"/>
          <w:lang w:val="lt-LT"/>
        </w:rPr>
        <w:t>Vykdomi teisės aktai</w:t>
      </w:r>
      <w:r w:rsidR="00072770">
        <w:rPr>
          <w:sz w:val="24"/>
          <w:lang w:val="lt-LT"/>
        </w:rPr>
        <w:t>.</w:t>
      </w:r>
    </w:p>
    <w:p w:rsidR="0022512F" w:rsidRPr="00E9303E" w:rsidRDefault="0022512F" w:rsidP="0022512F">
      <w:pPr>
        <w:jc w:val="both"/>
        <w:rPr>
          <w:b/>
          <w:sz w:val="24"/>
          <w:lang w:val="lt-LT"/>
        </w:rPr>
      </w:pPr>
      <w:r w:rsidRPr="00E9303E">
        <w:rPr>
          <w:sz w:val="24"/>
          <w:lang w:val="lt-LT"/>
        </w:rPr>
        <w:tab/>
      </w:r>
      <w:r w:rsidRPr="00E9303E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22512F" w:rsidRPr="00E9303E" w:rsidRDefault="0022512F" w:rsidP="0022512F">
      <w:pPr>
        <w:ind w:firstLine="720"/>
        <w:jc w:val="both"/>
        <w:rPr>
          <w:sz w:val="24"/>
          <w:lang w:val="lt-LT"/>
        </w:rPr>
      </w:pPr>
      <w:r w:rsidRPr="00E9303E">
        <w:rPr>
          <w:sz w:val="24"/>
          <w:lang w:val="lt-LT"/>
        </w:rPr>
        <w:t>Neigiamų pasekmių nenumatyta.</w:t>
      </w:r>
    </w:p>
    <w:p w:rsidR="0022512F" w:rsidRDefault="0022512F" w:rsidP="0022512F">
      <w:pPr>
        <w:jc w:val="both"/>
        <w:rPr>
          <w:b/>
          <w:bCs/>
          <w:sz w:val="24"/>
          <w:lang w:val="lt-LT"/>
        </w:rPr>
      </w:pPr>
      <w:r w:rsidRPr="00E9303E">
        <w:rPr>
          <w:sz w:val="24"/>
          <w:lang w:val="lt-LT"/>
        </w:rPr>
        <w:tab/>
      </w:r>
      <w:r w:rsidRPr="00E9303E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480897" w:rsidRPr="00480897" w:rsidRDefault="00480897" w:rsidP="0022512F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Pr="00480897">
        <w:rPr>
          <w:bCs/>
          <w:sz w:val="24"/>
          <w:lang w:val="lt-LT"/>
        </w:rPr>
        <w:t>Teisės aktų keisti nereikės.</w:t>
      </w:r>
    </w:p>
    <w:p w:rsidR="0022512F" w:rsidRPr="00E9303E" w:rsidRDefault="0022512F" w:rsidP="0022512F">
      <w:pPr>
        <w:jc w:val="both"/>
        <w:rPr>
          <w:b/>
          <w:sz w:val="24"/>
          <w:lang w:val="lt-LT"/>
        </w:rPr>
      </w:pPr>
      <w:r w:rsidRPr="00E9303E">
        <w:rPr>
          <w:sz w:val="24"/>
          <w:lang w:val="lt-LT"/>
        </w:rPr>
        <w:tab/>
      </w:r>
      <w:r w:rsidRPr="00E9303E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2512F" w:rsidRPr="00072770" w:rsidRDefault="0022512F" w:rsidP="0022512F">
      <w:pPr>
        <w:jc w:val="both"/>
        <w:rPr>
          <w:sz w:val="24"/>
          <w:lang w:val="lt-LT"/>
        </w:rPr>
      </w:pPr>
      <w:r w:rsidRPr="00E9303E">
        <w:rPr>
          <w:b/>
          <w:sz w:val="24"/>
          <w:lang w:val="lt-LT"/>
        </w:rPr>
        <w:tab/>
      </w:r>
      <w:r w:rsidR="00480897">
        <w:rPr>
          <w:color w:val="000000"/>
          <w:sz w:val="24"/>
          <w:lang w:val="lt-LT"/>
        </w:rPr>
        <w:t>Padidinti minimalieji pareiginės algos pastoviosios dalies koeficientai</w:t>
      </w:r>
      <w:r w:rsidR="00480897">
        <w:rPr>
          <w:sz w:val="24"/>
          <w:lang w:val="lt-LT"/>
        </w:rPr>
        <w:t xml:space="preserve"> </w:t>
      </w:r>
      <w:r w:rsidR="00F9606F">
        <w:rPr>
          <w:sz w:val="24"/>
          <w:lang w:val="lt-LT"/>
        </w:rPr>
        <w:t>gali turėti įtakos n</w:t>
      </w:r>
      <w:r w:rsidR="00480897">
        <w:rPr>
          <w:sz w:val="24"/>
          <w:lang w:val="lt-LT"/>
        </w:rPr>
        <w:t xml:space="preserve">ustatant Švietimo centro, Pedagoginės psichologinės tarnybos vadovų pareiginės algos pastoviosios dalies </w:t>
      </w:r>
      <w:r w:rsidR="00F9606F">
        <w:rPr>
          <w:sz w:val="24"/>
          <w:lang w:val="lt-LT"/>
        </w:rPr>
        <w:t>koeficientų intervalų vidurkį (nustatant koeficientų vidurkį darbo užmokestis didėtų 38 eurais).</w:t>
      </w:r>
    </w:p>
    <w:p w:rsidR="00197CE9" w:rsidRPr="00E9303E" w:rsidRDefault="00197CE9" w:rsidP="0022512F">
      <w:pPr>
        <w:pStyle w:val="Betarp"/>
        <w:jc w:val="both"/>
        <w:rPr>
          <w:sz w:val="24"/>
          <w:lang w:val="lt-LT"/>
        </w:rPr>
      </w:pPr>
    </w:p>
    <w:p w:rsidR="007729B7" w:rsidRPr="00E9303E" w:rsidRDefault="007729B7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 w:rsidRPr="00E9303E">
        <w:rPr>
          <w:sz w:val="24"/>
          <w:lang w:val="lt-LT"/>
        </w:rPr>
        <w:t>Vedėja</w:t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 w:rsidRPr="00E9303E">
        <w:rPr>
          <w:sz w:val="24"/>
          <w:lang w:val="lt-LT"/>
        </w:rPr>
        <w:tab/>
      </w:r>
      <w:r>
        <w:rPr>
          <w:sz w:val="24"/>
          <w:lang w:val="lt-LT"/>
        </w:rPr>
        <w:t xml:space="preserve">                  Stasė Venslavičienė</w:t>
      </w:r>
    </w:p>
    <w:p w:rsidR="0018167B" w:rsidRDefault="0018167B">
      <w:pPr>
        <w:rPr>
          <w:sz w:val="24"/>
          <w:lang w:val="lt-LT"/>
        </w:rPr>
      </w:pPr>
    </w:p>
    <w:p w:rsidR="0018167B" w:rsidRDefault="0018167B">
      <w:pPr>
        <w:rPr>
          <w:sz w:val="24"/>
          <w:lang w:val="lt-LT"/>
        </w:rPr>
      </w:pPr>
    </w:p>
    <w:p w:rsidR="0018167B" w:rsidRPr="009A637F" w:rsidRDefault="0018167B" w:rsidP="00F9606F">
      <w:pPr>
        <w:rPr>
          <w:rStyle w:val="Grietas"/>
          <w:b w:val="0"/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8167B" w:rsidRPr="00A428D6" w:rsidRDefault="0018167B">
      <w:pPr>
        <w:rPr>
          <w:sz w:val="24"/>
          <w:lang w:val="lt-LT"/>
        </w:rPr>
      </w:pPr>
    </w:p>
    <w:sectPr w:rsidR="0018167B" w:rsidRPr="00A428D6" w:rsidSect="0039295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97" w:rsidRDefault="004E6697" w:rsidP="00502FBE">
      <w:r>
        <w:separator/>
      </w:r>
    </w:p>
  </w:endnote>
  <w:endnote w:type="continuationSeparator" w:id="0">
    <w:p w:rsidR="004E6697" w:rsidRDefault="004E6697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97" w:rsidRDefault="004E6697" w:rsidP="00502FBE">
      <w:r>
        <w:separator/>
      </w:r>
    </w:p>
  </w:footnote>
  <w:footnote w:type="continuationSeparator" w:id="0">
    <w:p w:rsidR="004E6697" w:rsidRDefault="004E6697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4946"/>
    <w:rsid w:val="000458E5"/>
    <w:rsid w:val="000474EA"/>
    <w:rsid w:val="00055558"/>
    <w:rsid w:val="00057F88"/>
    <w:rsid w:val="0006345D"/>
    <w:rsid w:val="0007096E"/>
    <w:rsid w:val="00072770"/>
    <w:rsid w:val="00090F20"/>
    <w:rsid w:val="00094E8D"/>
    <w:rsid w:val="000A74AF"/>
    <w:rsid w:val="000C3191"/>
    <w:rsid w:val="000C44C3"/>
    <w:rsid w:val="00105690"/>
    <w:rsid w:val="00107A6D"/>
    <w:rsid w:val="00126DB8"/>
    <w:rsid w:val="00133229"/>
    <w:rsid w:val="001424E8"/>
    <w:rsid w:val="00145B7F"/>
    <w:rsid w:val="00163996"/>
    <w:rsid w:val="00164463"/>
    <w:rsid w:val="00164865"/>
    <w:rsid w:val="001750BA"/>
    <w:rsid w:val="0018167B"/>
    <w:rsid w:val="00197CE9"/>
    <w:rsid w:val="001C2743"/>
    <w:rsid w:val="001D6E4D"/>
    <w:rsid w:val="001E63ED"/>
    <w:rsid w:val="002035BF"/>
    <w:rsid w:val="00212EA1"/>
    <w:rsid w:val="0022512F"/>
    <w:rsid w:val="00241D89"/>
    <w:rsid w:val="002464DA"/>
    <w:rsid w:val="0025723B"/>
    <w:rsid w:val="00260A83"/>
    <w:rsid w:val="002823AE"/>
    <w:rsid w:val="00296A34"/>
    <w:rsid w:val="002B0516"/>
    <w:rsid w:val="002B2FFE"/>
    <w:rsid w:val="002C1C11"/>
    <w:rsid w:val="002C2326"/>
    <w:rsid w:val="002C3A1E"/>
    <w:rsid w:val="002D6359"/>
    <w:rsid w:val="00310515"/>
    <w:rsid w:val="00322D8D"/>
    <w:rsid w:val="00324185"/>
    <w:rsid w:val="0033626B"/>
    <w:rsid w:val="00342D6D"/>
    <w:rsid w:val="00353853"/>
    <w:rsid w:val="003547EE"/>
    <w:rsid w:val="0036614E"/>
    <w:rsid w:val="003758E7"/>
    <w:rsid w:val="003774D3"/>
    <w:rsid w:val="003913F2"/>
    <w:rsid w:val="00391A54"/>
    <w:rsid w:val="00392950"/>
    <w:rsid w:val="003A79BB"/>
    <w:rsid w:val="003B2355"/>
    <w:rsid w:val="003B374A"/>
    <w:rsid w:val="003E7A1F"/>
    <w:rsid w:val="003E7AB0"/>
    <w:rsid w:val="003F392F"/>
    <w:rsid w:val="003F46A9"/>
    <w:rsid w:val="004038DF"/>
    <w:rsid w:val="0040667F"/>
    <w:rsid w:val="00414423"/>
    <w:rsid w:val="004156C0"/>
    <w:rsid w:val="00416AE4"/>
    <w:rsid w:val="00425BC1"/>
    <w:rsid w:val="00432CFA"/>
    <w:rsid w:val="004469AE"/>
    <w:rsid w:val="00447FB5"/>
    <w:rsid w:val="00462F79"/>
    <w:rsid w:val="00470F95"/>
    <w:rsid w:val="00475C80"/>
    <w:rsid w:val="00480897"/>
    <w:rsid w:val="004A0E54"/>
    <w:rsid w:val="004A22D5"/>
    <w:rsid w:val="004B0509"/>
    <w:rsid w:val="004B2E5E"/>
    <w:rsid w:val="004C695C"/>
    <w:rsid w:val="004D1C37"/>
    <w:rsid w:val="004E3CBD"/>
    <w:rsid w:val="004E6697"/>
    <w:rsid w:val="004F46B2"/>
    <w:rsid w:val="004F69F6"/>
    <w:rsid w:val="00501768"/>
    <w:rsid w:val="00502FBE"/>
    <w:rsid w:val="0051045D"/>
    <w:rsid w:val="00520BA8"/>
    <w:rsid w:val="00533A7C"/>
    <w:rsid w:val="0053782D"/>
    <w:rsid w:val="00562A43"/>
    <w:rsid w:val="00577A29"/>
    <w:rsid w:val="005853C4"/>
    <w:rsid w:val="005B452C"/>
    <w:rsid w:val="005E3F16"/>
    <w:rsid w:val="005F5E04"/>
    <w:rsid w:val="00607067"/>
    <w:rsid w:val="0061682A"/>
    <w:rsid w:val="006272A3"/>
    <w:rsid w:val="00632C6F"/>
    <w:rsid w:val="00651879"/>
    <w:rsid w:val="006573E7"/>
    <w:rsid w:val="006737E7"/>
    <w:rsid w:val="00696C7E"/>
    <w:rsid w:val="006B7870"/>
    <w:rsid w:val="006C543C"/>
    <w:rsid w:val="006D05C1"/>
    <w:rsid w:val="006F1EE4"/>
    <w:rsid w:val="00707854"/>
    <w:rsid w:val="00711BAE"/>
    <w:rsid w:val="00723F4B"/>
    <w:rsid w:val="0073058F"/>
    <w:rsid w:val="0075141B"/>
    <w:rsid w:val="007729B7"/>
    <w:rsid w:val="007842A0"/>
    <w:rsid w:val="00794F81"/>
    <w:rsid w:val="007B4699"/>
    <w:rsid w:val="007B6765"/>
    <w:rsid w:val="007C1D97"/>
    <w:rsid w:val="007C37D9"/>
    <w:rsid w:val="007C7A29"/>
    <w:rsid w:val="007D3250"/>
    <w:rsid w:val="007F27CE"/>
    <w:rsid w:val="007F42B1"/>
    <w:rsid w:val="008142EE"/>
    <w:rsid w:val="00815B74"/>
    <w:rsid w:val="00825ACD"/>
    <w:rsid w:val="00826703"/>
    <w:rsid w:val="00832911"/>
    <w:rsid w:val="00842DE6"/>
    <w:rsid w:val="008710EE"/>
    <w:rsid w:val="008874B9"/>
    <w:rsid w:val="008B09AC"/>
    <w:rsid w:val="008D5D90"/>
    <w:rsid w:val="008E0314"/>
    <w:rsid w:val="008E2068"/>
    <w:rsid w:val="008F4158"/>
    <w:rsid w:val="00902E0F"/>
    <w:rsid w:val="00907BE4"/>
    <w:rsid w:val="00915AAC"/>
    <w:rsid w:val="00922476"/>
    <w:rsid w:val="009314DB"/>
    <w:rsid w:val="00952A00"/>
    <w:rsid w:val="00954544"/>
    <w:rsid w:val="009563D0"/>
    <w:rsid w:val="00963782"/>
    <w:rsid w:val="009A637F"/>
    <w:rsid w:val="009B05E9"/>
    <w:rsid w:val="009C0A86"/>
    <w:rsid w:val="009E6E47"/>
    <w:rsid w:val="009E7588"/>
    <w:rsid w:val="009F2555"/>
    <w:rsid w:val="009F73BC"/>
    <w:rsid w:val="00A31E33"/>
    <w:rsid w:val="00A428D6"/>
    <w:rsid w:val="00A45370"/>
    <w:rsid w:val="00A51B17"/>
    <w:rsid w:val="00A53180"/>
    <w:rsid w:val="00A62C53"/>
    <w:rsid w:val="00A66166"/>
    <w:rsid w:val="00A7083B"/>
    <w:rsid w:val="00A74DDE"/>
    <w:rsid w:val="00A74FB9"/>
    <w:rsid w:val="00A91E8D"/>
    <w:rsid w:val="00A938B4"/>
    <w:rsid w:val="00AC01B3"/>
    <w:rsid w:val="00AF3BDE"/>
    <w:rsid w:val="00B07407"/>
    <w:rsid w:val="00B14BE3"/>
    <w:rsid w:val="00B33F38"/>
    <w:rsid w:val="00B35CF0"/>
    <w:rsid w:val="00B42DFC"/>
    <w:rsid w:val="00B5383A"/>
    <w:rsid w:val="00B60FAD"/>
    <w:rsid w:val="00B826A2"/>
    <w:rsid w:val="00BA110A"/>
    <w:rsid w:val="00BA1200"/>
    <w:rsid w:val="00BA2CBD"/>
    <w:rsid w:val="00BA47B7"/>
    <w:rsid w:val="00BB631A"/>
    <w:rsid w:val="00BB77F5"/>
    <w:rsid w:val="00BC378F"/>
    <w:rsid w:val="00BC46BD"/>
    <w:rsid w:val="00BC46E0"/>
    <w:rsid w:val="00BC49A5"/>
    <w:rsid w:val="00BD4D43"/>
    <w:rsid w:val="00BD4ECB"/>
    <w:rsid w:val="00BE2EDF"/>
    <w:rsid w:val="00C025C9"/>
    <w:rsid w:val="00C16C3F"/>
    <w:rsid w:val="00C170B7"/>
    <w:rsid w:val="00C21D3E"/>
    <w:rsid w:val="00C400F5"/>
    <w:rsid w:val="00C443F6"/>
    <w:rsid w:val="00C546E2"/>
    <w:rsid w:val="00C626E5"/>
    <w:rsid w:val="00C72940"/>
    <w:rsid w:val="00C77333"/>
    <w:rsid w:val="00C83668"/>
    <w:rsid w:val="00C85260"/>
    <w:rsid w:val="00C94752"/>
    <w:rsid w:val="00CC2249"/>
    <w:rsid w:val="00CD0E08"/>
    <w:rsid w:val="00CD3A4D"/>
    <w:rsid w:val="00CE7BD6"/>
    <w:rsid w:val="00CF30AB"/>
    <w:rsid w:val="00D04DF0"/>
    <w:rsid w:val="00D22F15"/>
    <w:rsid w:val="00D60665"/>
    <w:rsid w:val="00D70076"/>
    <w:rsid w:val="00D7729A"/>
    <w:rsid w:val="00D972F5"/>
    <w:rsid w:val="00DA69D7"/>
    <w:rsid w:val="00DB2A4A"/>
    <w:rsid w:val="00DC1A0F"/>
    <w:rsid w:val="00DC7D7F"/>
    <w:rsid w:val="00DF0453"/>
    <w:rsid w:val="00E020E0"/>
    <w:rsid w:val="00E02872"/>
    <w:rsid w:val="00E20513"/>
    <w:rsid w:val="00E335B6"/>
    <w:rsid w:val="00E34D86"/>
    <w:rsid w:val="00E411C6"/>
    <w:rsid w:val="00E4183E"/>
    <w:rsid w:val="00E42B79"/>
    <w:rsid w:val="00E60E66"/>
    <w:rsid w:val="00E61FDD"/>
    <w:rsid w:val="00E73048"/>
    <w:rsid w:val="00E7604E"/>
    <w:rsid w:val="00E85D80"/>
    <w:rsid w:val="00E9303E"/>
    <w:rsid w:val="00E95902"/>
    <w:rsid w:val="00ED1AD2"/>
    <w:rsid w:val="00EF6C47"/>
    <w:rsid w:val="00EF7D24"/>
    <w:rsid w:val="00F11D8E"/>
    <w:rsid w:val="00F51F78"/>
    <w:rsid w:val="00F664B7"/>
    <w:rsid w:val="00F73737"/>
    <w:rsid w:val="00F75F28"/>
    <w:rsid w:val="00F854E5"/>
    <w:rsid w:val="00F9606F"/>
    <w:rsid w:val="00F97255"/>
    <w:rsid w:val="00FA13C9"/>
    <w:rsid w:val="00FA21B2"/>
    <w:rsid w:val="00FA2990"/>
    <w:rsid w:val="00FA31AB"/>
    <w:rsid w:val="00FB12AD"/>
    <w:rsid w:val="00FD0425"/>
    <w:rsid w:val="00FE5D34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23B4-0C82-4DFE-ACD2-11207719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3603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2017-12-06T06:37:00Z</cp:lastPrinted>
  <dcterms:created xsi:type="dcterms:W3CDTF">2017-12-04T14:21:00Z</dcterms:created>
  <dcterms:modified xsi:type="dcterms:W3CDTF">2017-12-06T07:38:00Z</dcterms:modified>
</cp:coreProperties>
</file>