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Pr="00BC4BF8" w:rsidRDefault="00FE2095" w:rsidP="00FE2095">
      <w:pPr>
        <w:jc w:val="center"/>
        <w:rPr>
          <w:b/>
          <w:sz w:val="24"/>
          <w:szCs w:val="24"/>
        </w:rPr>
      </w:pPr>
      <w:r w:rsidRPr="00BC4BF8">
        <w:rPr>
          <w:b/>
          <w:sz w:val="24"/>
          <w:szCs w:val="24"/>
        </w:rPr>
        <w:t xml:space="preserve">DĖL PANEVĖŽIO RAJONO SAVIVALDYBĖS </w:t>
      </w:r>
      <w:r w:rsidR="00C36D9C">
        <w:rPr>
          <w:b/>
          <w:sz w:val="24"/>
          <w:szCs w:val="24"/>
        </w:rPr>
        <w:t xml:space="preserve">TARYBOS </w:t>
      </w:r>
      <w:r w:rsidRPr="00BC4BF8">
        <w:rPr>
          <w:b/>
          <w:sz w:val="24"/>
          <w:szCs w:val="24"/>
        </w:rPr>
        <w:t>201</w:t>
      </w:r>
      <w:r w:rsidR="006D163F">
        <w:rPr>
          <w:b/>
          <w:sz w:val="24"/>
          <w:szCs w:val="24"/>
        </w:rPr>
        <w:t>7</w:t>
      </w:r>
      <w:r w:rsidR="00F419CC">
        <w:rPr>
          <w:b/>
          <w:sz w:val="24"/>
          <w:szCs w:val="24"/>
        </w:rPr>
        <w:t xml:space="preserve"> </w:t>
      </w:r>
      <w:r w:rsidR="00C36D9C">
        <w:rPr>
          <w:b/>
          <w:sz w:val="24"/>
          <w:szCs w:val="24"/>
        </w:rPr>
        <w:t xml:space="preserve">M. VASARIO 23 D. SPRENDIMO </w:t>
      </w:r>
      <w:r w:rsidR="00F419CC">
        <w:rPr>
          <w:b/>
          <w:sz w:val="24"/>
          <w:szCs w:val="24"/>
        </w:rPr>
        <w:t>NR. T-23 „DĖL PANEVĖŽIO RAJONO SAVIVALDYBĖS 2017</w:t>
      </w:r>
      <w:r w:rsidRPr="00BC4BF8">
        <w:rPr>
          <w:b/>
          <w:sz w:val="24"/>
          <w:szCs w:val="24"/>
        </w:rPr>
        <w:t xml:space="preserve"> METŲ BIUDŽETO PATVIRTINIMO</w:t>
      </w:r>
      <w:r w:rsidR="00F419CC">
        <w:rPr>
          <w:b/>
          <w:sz w:val="24"/>
          <w:szCs w:val="24"/>
        </w:rPr>
        <w:t>“ PAKEITIMO</w:t>
      </w:r>
    </w:p>
    <w:p w:rsidR="00FE2095" w:rsidRPr="00BC4BF8" w:rsidRDefault="00FE2095" w:rsidP="00FE2095">
      <w:pPr>
        <w:rPr>
          <w:sz w:val="24"/>
          <w:szCs w:val="24"/>
        </w:rPr>
      </w:pP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6D163F">
        <w:rPr>
          <w:sz w:val="24"/>
          <w:szCs w:val="24"/>
        </w:rPr>
        <w:t>7</w:t>
      </w:r>
      <w:r w:rsidRPr="00BC4BF8">
        <w:rPr>
          <w:sz w:val="24"/>
          <w:szCs w:val="24"/>
        </w:rPr>
        <w:t xml:space="preserve"> m. </w:t>
      </w:r>
      <w:r w:rsidR="00636AE0">
        <w:rPr>
          <w:sz w:val="24"/>
          <w:szCs w:val="24"/>
        </w:rPr>
        <w:t>birželio 22</w:t>
      </w:r>
      <w:r w:rsidRPr="00BC4BF8">
        <w:rPr>
          <w:sz w:val="24"/>
          <w:szCs w:val="24"/>
        </w:rPr>
        <w:t xml:space="preserve"> d. Nr.</w:t>
      </w:r>
      <w:r w:rsidR="007B608E">
        <w:rPr>
          <w:sz w:val="24"/>
          <w:szCs w:val="24"/>
        </w:rPr>
        <w:t xml:space="preserve"> T-</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1B7E85" w:rsidRPr="00BB1156" w:rsidRDefault="001B7E85" w:rsidP="001B7E85">
      <w:pPr>
        <w:ind w:firstLine="720"/>
        <w:jc w:val="both"/>
        <w:rPr>
          <w:sz w:val="24"/>
          <w:szCs w:val="24"/>
        </w:rPr>
      </w:pPr>
    </w:p>
    <w:p w:rsidR="00FE2095" w:rsidRPr="00BB1156" w:rsidRDefault="001B7E85" w:rsidP="002A60E9">
      <w:pPr>
        <w:ind w:firstLine="720"/>
        <w:jc w:val="both"/>
        <w:rPr>
          <w:sz w:val="24"/>
          <w:szCs w:val="24"/>
        </w:rPr>
      </w:pPr>
      <w:r w:rsidRPr="00BB1156">
        <w:rPr>
          <w:sz w:val="24"/>
          <w:szCs w:val="24"/>
        </w:rPr>
        <w:t xml:space="preserve">Vadovaudamasi Lietuvos Respublikos vietos savivaldos įstatymo 16 straipsnio 2 dalies </w:t>
      </w:r>
      <w:r w:rsidRPr="00BB1156">
        <w:rPr>
          <w:sz w:val="24"/>
          <w:szCs w:val="24"/>
        </w:rPr>
        <w:br/>
        <w:t>15 punktu</w:t>
      </w:r>
      <w:r w:rsidR="00FE2095" w:rsidRPr="00BB1156">
        <w:rPr>
          <w:i/>
          <w:sz w:val="24"/>
          <w:szCs w:val="24"/>
        </w:rPr>
        <w:t>,</w:t>
      </w:r>
      <w:r w:rsidR="00FE2095" w:rsidRPr="00BB1156">
        <w:rPr>
          <w:sz w:val="24"/>
          <w:szCs w:val="24"/>
        </w:rPr>
        <w:t xml:space="preserve"> Savivaldybės taryba n u s p r e n d ž i a:</w:t>
      </w:r>
    </w:p>
    <w:p w:rsidR="001B7E85" w:rsidRPr="00BB1156" w:rsidRDefault="001B7E85" w:rsidP="002A60E9">
      <w:pPr>
        <w:ind w:firstLine="720"/>
        <w:jc w:val="both"/>
        <w:rPr>
          <w:sz w:val="24"/>
          <w:szCs w:val="24"/>
        </w:rPr>
      </w:pPr>
      <w:r w:rsidRPr="00BB1156">
        <w:rPr>
          <w:sz w:val="24"/>
          <w:szCs w:val="24"/>
        </w:rPr>
        <w:t>1. Pakeisti Panevėžio rajono savivaldybės tarybos 2017 m. vasario</w:t>
      </w:r>
      <w:r w:rsidR="00C36D9C" w:rsidRPr="00BB1156">
        <w:rPr>
          <w:sz w:val="24"/>
          <w:szCs w:val="24"/>
        </w:rPr>
        <w:t xml:space="preserve"> 23 d. sprendimą Nr. T-23 „</w:t>
      </w:r>
      <w:r w:rsidRPr="00BB1156">
        <w:rPr>
          <w:sz w:val="24"/>
          <w:szCs w:val="24"/>
        </w:rPr>
        <w:t>Dėl Panevėžio rajono savivaldybės 2017 metų biudžeto patvirtinimo“:</w:t>
      </w:r>
    </w:p>
    <w:p w:rsidR="0003675C" w:rsidRPr="00BB1156" w:rsidRDefault="001B7E85" w:rsidP="00D93A36">
      <w:pPr>
        <w:pStyle w:val="Sraopastraipa"/>
        <w:suppressAutoHyphens/>
        <w:spacing w:after="0" w:line="240" w:lineRule="auto"/>
        <w:ind w:left="0" w:firstLine="720"/>
        <w:jc w:val="both"/>
        <w:rPr>
          <w:rFonts w:ascii="Times New Roman" w:hAnsi="Times New Roman"/>
          <w:sz w:val="24"/>
          <w:szCs w:val="24"/>
        </w:rPr>
      </w:pPr>
      <w:r w:rsidRPr="00BB1156">
        <w:rPr>
          <w:rFonts w:ascii="Times New Roman" w:hAnsi="Times New Roman"/>
          <w:sz w:val="24"/>
          <w:szCs w:val="24"/>
        </w:rPr>
        <w:t>1.1. pa</w:t>
      </w:r>
      <w:r w:rsidR="00C36D9C" w:rsidRPr="00BB1156">
        <w:rPr>
          <w:rFonts w:ascii="Times New Roman" w:hAnsi="Times New Roman"/>
          <w:sz w:val="24"/>
          <w:szCs w:val="24"/>
        </w:rPr>
        <w:t>keisti 1.1</w:t>
      </w:r>
      <w:r w:rsidRPr="00BB1156">
        <w:rPr>
          <w:rFonts w:ascii="Times New Roman" w:hAnsi="Times New Roman"/>
          <w:sz w:val="24"/>
          <w:szCs w:val="24"/>
        </w:rPr>
        <w:t xml:space="preserve"> papunktį ir jį išdėstyti taip:</w:t>
      </w:r>
    </w:p>
    <w:p w:rsidR="00FE2095" w:rsidRPr="00BB1156" w:rsidRDefault="00C36D9C" w:rsidP="00D93A36">
      <w:pPr>
        <w:pStyle w:val="Sraopastraipa"/>
        <w:suppressAutoHyphens/>
        <w:spacing w:after="0" w:line="240" w:lineRule="auto"/>
        <w:ind w:left="0" w:firstLine="720"/>
        <w:jc w:val="both"/>
        <w:rPr>
          <w:rFonts w:ascii="Times New Roman" w:hAnsi="Times New Roman"/>
          <w:sz w:val="24"/>
          <w:szCs w:val="24"/>
        </w:rPr>
      </w:pPr>
      <w:r w:rsidRPr="00BB1156">
        <w:rPr>
          <w:rFonts w:ascii="Times New Roman" w:hAnsi="Times New Roman"/>
          <w:sz w:val="24"/>
          <w:szCs w:val="24"/>
        </w:rPr>
        <w:t>„</w:t>
      </w:r>
      <w:r w:rsidR="0003675C" w:rsidRPr="00BB1156">
        <w:rPr>
          <w:rFonts w:ascii="Times New Roman" w:hAnsi="Times New Roman"/>
          <w:sz w:val="24"/>
          <w:szCs w:val="24"/>
        </w:rPr>
        <w:t>1.1.</w:t>
      </w:r>
      <w:r w:rsidR="001B7E85" w:rsidRPr="00BB1156">
        <w:rPr>
          <w:rFonts w:ascii="Times New Roman" w:hAnsi="Times New Roman"/>
          <w:sz w:val="24"/>
          <w:szCs w:val="24"/>
        </w:rPr>
        <w:t xml:space="preserve"> </w:t>
      </w:r>
      <w:r w:rsidR="00A054F8" w:rsidRPr="00BB1156">
        <w:rPr>
          <w:rFonts w:ascii="Times New Roman" w:hAnsi="Times New Roman"/>
          <w:sz w:val="24"/>
          <w:szCs w:val="24"/>
        </w:rPr>
        <w:t>2</w:t>
      </w:r>
      <w:r w:rsidR="00272940" w:rsidRPr="00BB1156">
        <w:rPr>
          <w:rFonts w:ascii="Times New Roman" w:hAnsi="Times New Roman"/>
          <w:sz w:val="24"/>
          <w:szCs w:val="24"/>
        </w:rPr>
        <w:t>9 1</w:t>
      </w:r>
      <w:r w:rsidR="00347139">
        <w:rPr>
          <w:rFonts w:ascii="Times New Roman" w:hAnsi="Times New Roman"/>
          <w:sz w:val="24"/>
          <w:szCs w:val="24"/>
        </w:rPr>
        <w:t>2</w:t>
      </w:r>
      <w:r w:rsidR="00966A34">
        <w:rPr>
          <w:rFonts w:ascii="Times New Roman" w:hAnsi="Times New Roman"/>
          <w:sz w:val="24"/>
          <w:szCs w:val="24"/>
        </w:rPr>
        <w:t>6,7</w:t>
      </w:r>
      <w:r w:rsidR="00A054F8" w:rsidRPr="00BB1156">
        <w:rPr>
          <w:rFonts w:ascii="Times New Roman" w:hAnsi="Times New Roman"/>
          <w:sz w:val="24"/>
          <w:szCs w:val="24"/>
        </w:rPr>
        <w:t xml:space="preserve"> </w:t>
      </w:r>
      <w:r w:rsidR="00212501" w:rsidRPr="00BB1156">
        <w:rPr>
          <w:rFonts w:ascii="Times New Roman" w:hAnsi="Times New Roman"/>
          <w:sz w:val="24"/>
          <w:szCs w:val="24"/>
        </w:rPr>
        <w:t>tūkst. eurų</w:t>
      </w:r>
      <w:r w:rsidR="00FE2095" w:rsidRPr="00BB1156">
        <w:rPr>
          <w:rFonts w:ascii="Times New Roman" w:hAnsi="Times New Roman"/>
          <w:sz w:val="24"/>
          <w:szCs w:val="24"/>
        </w:rPr>
        <w:t xml:space="preserve"> pajamų ir dotacijų, </w:t>
      </w:r>
      <w:r w:rsidR="00927ABE" w:rsidRPr="00BB1156">
        <w:rPr>
          <w:rFonts w:ascii="Times New Roman" w:hAnsi="Times New Roman"/>
          <w:sz w:val="24"/>
          <w:szCs w:val="24"/>
        </w:rPr>
        <w:t>2 2</w:t>
      </w:r>
      <w:r w:rsidR="00272940" w:rsidRPr="00BB1156">
        <w:rPr>
          <w:rFonts w:ascii="Times New Roman" w:hAnsi="Times New Roman"/>
          <w:sz w:val="24"/>
          <w:szCs w:val="24"/>
        </w:rPr>
        <w:t>50,0</w:t>
      </w:r>
      <w:r w:rsidR="00212501" w:rsidRPr="00BB1156">
        <w:rPr>
          <w:rFonts w:ascii="Times New Roman" w:hAnsi="Times New Roman"/>
          <w:sz w:val="24"/>
          <w:szCs w:val="24"/>
        </w:rPr>
        <w:t xml:space="preserve"> tūkst.</w:t>
      </w:r>
      <w:r w:rsidR="00557014" w:rsidRPr="00BB1156">
        <w:rPr>
          <w:rFonts w:ascii="Times New Roman" w:hAnsi="Times New Roman"/>
          <w:sz w:val="24"/>
          <w:szCs w:val="24"/>
        </w:rPr>
        <w:t xml:space="preserve"> </w:t>
      </w:r>
      <w:r w:rsidR="00212501" w:rsidRPr="00BB1156">
        <w:rPr>
          <w:rFonts w:ascii="Times New Roman" w:hAnsi="Times New Roman"/>
          <w:sz w:val="24"/>
          <w:szCs w:val="24"/>
        </w:rPr>
        <w:t>e</w:t>
      </w:r>
      <w:r w:rsidR="00557014" w:rsidRPr="00BB1156">
        <w:rPr>
          <w:rFonts w:ascii="Times New Roman" w:hAnsi="Times New Roman"/>
          <w:sz w:val="24"/>
          <w:szCs w:val="24"/>
        </w:rPr>
        <w:t>ur</w:t>
      </w:r>
      <w:r w:rsidR="00D93A36" w:rsidRPr="00BB1156">
        <w:rPr>
          <w:rFonts w:ascii="Times New Roman" w:hAnsi="Times New Roman"/>
          <w:sz w:val="24"/>
          <w:szCs w:val="24"/>
        </w:rPr>
        <w:t>ų lėšų iš</w:t>
      </w:r>
      <w:r w:rsidR="00212501" w:rsidRPr="00BB1156">
        <w:rPr>
          <w:rFonts w:ascii="Times New Roman" w:hAnsi="Times New Roman"/>
          <w:sz w:val="24"/>
          <w:szCs w:val="24"/>
        </w:rPr>
        <w:t xml:space="preserve"> kitų finansavimo šaltinių</w:t>
      </w:r>
      <w:r w:rsidRPr="00BB1156">
        <w:rPr>
          <w:rFonts w:ascii="Times New Roman" w:hAnsi="Times New Roman"/>
          <w:sz w:val="24"/>
          <w:szCs w:val="24"/>
        </w:rPr>
        <w:t>“</w:t>
      </w:r>
      <w:r w:rsidR="00FE2095" w:rsidRPr="00BB1156">
        <w:rPr>
          <w:rFonts w:ascii="Times New Roman" w:hAnsi="Times New Roman"/>
          <w:sz w:val="24"/>
          <w:szCs w:val="24"/>
        </w:rPr>
        <w:t xml:space="preserve"> (1 priedas);</w:t>
      </w:r>
    </w:p>
    <w:p w:rsidR="0003675C" w:rsidRPr="00BB1156" w:rsidRDefault="00383B1B"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BB1156">
        <w:rPr>
          <w:rFonts w:ascii="Times New Roman" w:hAnsi="Times New Roman"/>
          <w:sz w:val="24"/>
          <w:szCs w:val="24"/>
        </w:rPr>
        <w:t>1.</w:t>
      </w:r>
      <w:r w:rsidR="001B7E85" w:rsidRPr="00BB1156">
        <w:rPr>
          <w:rFonts w:ascii="Times New Roman" w:hAnsi="Times New Roman"/>
          <w:sz w:val="24"/>
          <w:szCs w:val="24"/>
        </w:rPr>
        <w:t>2</w:t>
      </w:r>
      <w:r w:rsidRPr="00BB1156">
        <w:rPr>
          <w:rFonts w:ascii="Times New Roman" w:hAnsi="Times New Roman"/>
          <w:sz w:val="24"/>
          <w:szCs w:val="24"/>
        </w:rPr>
        <w:t>.</w:t>
      </w:r>
      <w:r w:rsidR="004129AF" w:rsidRPr="00BB1156">
        <w:rPr>
          <w:rFonts w:ascii="Times New Roman" w:hAnsi="Times New Roman"/>
          <w:sz w:val="24"/>
          <w:szCs w:val="24"/>
        </w:rPr>
        <w:t xml:space="preserve"> </w:t>
      </w:r>
      <w:r w:rsidR="00C36D9C" w:rsidRPr="00BB1156">
        <w:rPr>
          <w:rFonts w:ascii="Times New Roman" w:hAnsi="Times New Roman"/>
          <w:sz w:val="24"/>
          <w:szCs w:val="24"/>
        </w:rPr>
        <w:t>pakeisti 1.3</w:t>
      </w:r>
      <w:r w:rsidR="001B7E85" w:rsidRPr="00BB1156">
        <w:rPr>
          <w:rFonts w:ascii="Times New Roman" w:hAnsi="Times New Roman"/>
          <w:sz w:val="24"/>
          <w:szCs w:val="24"/>
        </w:rPr>
        <w:t xml:space="preserve"> papunktį ir jį išdėstyti taip</w:t>
      </w:r>
      <w:r w:rsidR="0003675C" w:rsidRPr="00BB1156">
        <w:rPr>
          <w:rFonts w:ascii="Times New Roman" w:hAnsi="Times New Roman"/>
          <w:sz w:val="24"/>
          <w:szCs w:val="24"/>
        </w:rPr>
        <w:t>:</w:t>
      </w:r>
    </w:p>
    <w:p w:rsidR="00C40BA1" w:rsidRPr="00BB1156" w:rsidRDefault="00C36D9C"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BB1156">
        <w:rPr>
          <w:rFonts w:ascii="Times New Roman" w:hAnsi="Times New Roman"/>
          <w:sz w:val="24"/>
          <w:szCs w:val="24"/>
        </w:rPr>
        <w:t>„1.3.</w:t>
      </w:r>
      <w:r w:rsidR="0003675C" w:rsidRPr="00BB1156">
        <w:rPr>
          <w:rFonts w:ascii="Times New Roman" w:hAnsi="Times New Roman"/>
          <w:sz w:val="24"/>
          <w:szCs w:val="24"/>
        </w:rPr>
        <w:t xml:space="preserve"> </w:t>
      </w:r>
      <w:r w:rsidR="002A5EC3" w:rsidRPr="00BB1156">
        <w:rPr>
          <w:rFonts w:ascii="Times New Roman" w:hAnsi="Times New Roman"/>
          <w:sz w:val="24"/>
          <w:szCs w:val="24"/>
        </w:rPr>
        <w:t>2</w:t>
      </w:r>
      <w:r w:rsidR="00272940" w:rsidRPr="00BB1156">
        <w:rPr>
          <w:rFonts w:ascii="Times New Roman" w:hAnsi="Times New Roman"/>
          <w:sz w:val="24"/>
          <w:szCs w:val="24"/>
        </w:rPr>
        <w:t>9 1</w:t>
      </w:r>
      <w:r w:rsidR="00347139">
        <w:rPr>
          <w:rFonts w:ascii="Times New Roman" w:hAnsi="Times New Roman"/>
          <w:sz w:val="24"/>
          <w:szCs w:val="24"/>
        </w:rPr>
        <w:t>2</w:t>
      </w:r>
      <w:r w:rsidR="00966A34">
        <w:rPr>
          <w:rFonts w:ascii="Times New Roman" w:hAnsi="Times New Roman"/>
          <w:sz w:val="24"/>
          <w:szCs w:val="24"/>
        </w:rPr>
        <w:t>6,7</w:t>
      </w:r>
      <w:r w:rsidR="002019FC" w:rsidRPr="00BB1156">
        <w:rPr>
          <w:rFonts w:ascii="Times New Roman" w:hAnsi="Times New Roman"/>
          <w:sz w:val="24"/>
          <w:szCs w:val="24"/>
        </w:rPr>
        <w:t xml:space="preserve"> tūkst.</w:t>
      </w:r>
      <w:r w:rsidR="002A5EC3" w:rsidRPr="00BB1156">
        <w:rPr>
          <w:rFonts w:ascii="Times New Roman" w:hAnsi="Times New Roman"/>
          <w:sz w:val="24"/>
          <w:szCs w:val="24"/>
        </w:rPr>
        <w:t xml:space="preserve"> eur</w:t>
      </w:r>
      <w:r w:rsidR="002019FC" w:rsidRPr="00BB1156">
        <w:rPr>
          <w:rFonts w:ascii="Times New Roman" w:hAnsi="Times New Roman"/>
          <w:sz w:val="24"/>
          <w:szCs w:val="24"/>
        </w:rPr>
        <w:t>ų</w:t>
      </w:r>
      <w:r w:rsidR="00FE2095" w:rsidRPr="00BB1156">
        <w:rPr>
          <w:rFonts w:ascii="Times New Roman" w:hAnsi="Times New Roman"/>
          <w:sz w:val="24"/>
          <w:szCs w:val="24"/>
        </w:rPr>
        <w:t xml:space="preserve"> asignavimų programoms finansuoti, paskirstytus pagal lėšų šaltinius ir asignavimų valdytojus – </w:t>
      </w:r>
      <w:r w:rsidR="002A5EC3" w:rsidRPr="00BB1156">
        <w:rPr>
          <w:rFonts w:ascii="Times New Roman" w:hAnsi="Times New Roman"/>
          <w:sz w:val="24"/>
          <w:szCs w:val="24"/>
        </w:rPr>
        <w:t>2</w:t>
      </w:r>
      <w:r w:rsidR="0014415C" w:rsidRPr="00BB1156">
        <w:rPr>
          <w:rFonts w:ascii="Times New Roman" w:hAnsi="Times New Roman"/>
          <w:sz w:val="24"/>
          <w:szCs w:val="24"/>
        </w:rPr>
        <w:t>6 0</w:t>
      </w:r>
      <w:r w:rsidR="00F43DD2">
        <w:rPr>
          <w:rFonts w:ascii="Times New Roman" w:hAnsi="Times New Roman"/>
          <w:sz w:val="24"/>
          <w:szCs w:val="24"/>
        </w:rPr>
        <w:t>45,1</w:t>
      </w:r>
      <w:r w:rsidR="00105D42" w:rsidRPr="00BB1156">
        <w:rPr>
          <w:rFonts w:ascii="Times New Roman" w:hAnsi="Times New Roman"/>
          <w:sz w:val="24"/>
          <w:szCs w:val="24"/>
        </w:rPr>
        <w:t xml:space="preserve"> tūkst.</w:t>
      </w:r>
      <w:r w:rsidR="002A5EC3" w:rsidRPr="00BB1156">
        <w:rPr>
          <w:rFonts w:ascii="Times New Roman" w:hAnsi="Times New Roman"/>
          <w:sz w:val="24"/>
          <w:szCs w:val="24"/>
        </w:rPr>
        <w:t xml:space="preserve"> eurų </w:t>
      </w:r>
      <w:r w:rsidR="00FE2095" w:rsidRPr="00BB1156">
        <w:rPr>
          <w:rFonts w:ascii="Times New Roman" w:hAnsi="Times New Roman"/>
          <w:sz w:val="24"/>
          <w:szCs w:val="24"/>
        </w:rPr>
        <w:t>išlaidoms, iš jų:</w:t>
      </w:r>
      <w:r w:rsidR="00813932" w:rsidRPr="00BB1156">
        <w:rPr>
          <w:rFonts w:ascii="Times New Roman" w:hAnsi="Times New Roman"/>
          <w:sz w:val="24"/>
          <w:szCs w:val="24"/>
        </w:rPr>
        <w:t xml:space="preserve"> </w:t>
      </w:r>
      <w:r w:rsidR="00602CA8" w:rsidRPr="00BB1156">
        <w:rPr>
          <w:rFonts w:ascii="Times New Roman" w:hAnsi="Times New Roman"/>
          <w:sz w:val="24"/>
          <w:szCs w:val="24"/>
        </w:rPr>
        <w:t>1</w:t>
      </w:r>
      <w:r w:rsidR="00105D42" w:rsidRPr="00BB1156">
        <w:rPr>
          <w:rFonts w:ascii="Times New Roman" w:hAnsi="Times New Roman"/>
          <w:sz w:val="24"/>
          <w:szCs w:val="24"/>
        </w:rPr>
        <w:t xml:space="preserve">2 </w:t>
      </w:r>
      <w:r w:rsidR="0014415C" w:rsidRPr="00BB1156">
        <w:rPr>
          <w:rFonts w:ascii="Times New Roman" w:hAnsi="Times New Roman"/>
          <w:sz w:val="24"/>
          <w:szCs w:val="24"/>
        </w:rPr>
        <w:t>9</w:t>
      </w:r>
      <w:r w:rsidR="00F43DD2">
        <w:rPr>
          <w:rFonts w:ascii="Times New Roman" w:hAnsi="Times New Roman"/>
          <w:sz w:val="24"/>
          <w:szCs w:val="24"/>
        </w:rPr>
        <w:t>66,7</w:t>
      </w:r>
      <w:r w:rsidR="00DD4FA0">
        <w:rPr>
          <w:rFonts w:ascii="Times New Roman" w:hAnsi="Times New Roman"/>
          <w:sz w:val="24"/>
          <w:szCs w:val="24"/>
        </w:rPr>
        <w:t>0</w:t>
      </w:r>
      <w:r w:rsidR="00105D42" w:rsidRPr="00BB1156">
        <w:rPr>
          <w:rFonts w:ascii="Times New Roman" w:hAnsi="Times New Roman"/>
          <w:sz w:val="24"/>
          <w:szCs w:val="24"/>
        </w:rPr>
        <w:t xml:space="preserve"> tūkst. </w:t>
      </w:r>
      <w:r w:rsidR="00602CA8" w:rsidRPr="00BB1156">
        <w:rPr>
          <w:rFonts w:ascii="Times New Roman" w:hAnsi="Times New Roman"/>
          <w:sz w:val="24"/>
          <w:szCs w:val="24"/>
        </w:rPr>
        <w:t>eurų</w:t>
      </w:r>
      <w:r w:rsidR="00FE2095" w:rsidRPr="00BB1156">
        <w:rPr>
          <w:rFonts w:ascii="Times New Roman" w:hAnsi="Times New Roman"/>
          <w:sz w:val="24"/>
          <w:szCs w:val="24"/>
        </w:rPr>
        <w:t xml:space="preserve"> darbo užmokesčiui</w:t>
      </w:r>
      <w:r w:rsidR="00383B1B" w:rsidRPr="00BB1156">
        <w:rPr>
          <w:rFonts w:ascii="Times New Roman" w:hAnsi="Times New Roman"/>
          <w:sz w:val="24"/>
          <w:szCs w:val="24"/>
        </w:rPr>
        <w:t xml:space="preserve"> </w:t>
      </w:r>
      <w:r w:rsidR="00FE2095" w:rsidRPr="00BB1156">
        <w:rPr>
          <w:rFonts w:ascii="Times New Roman" w:hAnsi="Times New Roman"/>
          <w:sz w:val="24"/>
          <w:szCs w:val="24"/>
        </w:rPr>
        <w:t xml:space="preserve">ir </w:t>
      </w:r>
      <w:r w:rsidR="0014415C" w:rsidRPr="00BB1156">
        <w:rPr>
          <w:rFonts w:ascii="Times New Roman" w:hAnsi="Times New Roman"/>
          <w:sz w:val="24"/>
          <w:szCs w:val="24"/>
        </w:rPr>
        <w:t>3 081,6</w:t>
      </w:r>
      <w:r w:rsidR="00105D42" w:rsidRPr="00BB1156">
        <w:rPr>
          <w:rFonts w:ascii="Times New Roman" w:hAnsi="Times New Roman"/>
          <w:sz w:val="24"/>
          <w:szCs w:val="24"/>
        </w:rPr>
        <w:t xml:space="preserve"> tūkst.</w:t>
      </w:r>
      <w:r w:rsidR="00602CA8" w:rsidRPr="00BB1156">
        <w:rPr>
          <w:rFonts w:ascii="Times New Roman" w:hAnsi="Times New Roman"/>
          <w:sz w:val="24"/>
          <w:szCs w:val="24"/>
        </w:rPr>
        <w:t xml:space="preserve"> eur</w:t>
      </w:r>
      <w:r w:rsidR="00105D42" w:rsidRPr="00BB1156">
        <w:rPr>
          <w:rFonts w:ascii="Times New Roman" w:hAnsi="Times New Roman"/>
          <w:sz w:val="24"/>
          <w:szCs w:val="24"/>
        </w:rPr>
        <w:t>ų</w:t>
      </w:r>
      <w:r w:rsidR="00602CA8" w:rsidRPr="00BB1156">
        <w:rPr>
          <w:rFonts w:ascii="Times New Roman" w:hAnsi="Times New Roman"/>
          <w:sz w:val="24"/>
          <w:szCs w:val="24"/>
        </w:rPr>
        <w:t xml:space="preserve"> </w:t>
      </w:r>
      <w:r w:rsidR="00FE2095" w:rsidRPr="00BB1156">
        <w:rPr>
          <w:rFonts w:ascii="Times New Roman" w:hAnsi="Times New Roman"/>
          <w:sz w:val="24"/>
          <w:szCs w:val="24"/>
        </w:rPr>
        <w:t>turtui įsigyti</w:t>
      </w:r>
      <w:r w:rsidRPr="00BB1156">
        <w:rPr>
          <w:rFonts w:ascii="Times New Roman" w:hAnsi="Times New Roman"/>
          <w:sz w:val="24"/>
          <w:szCs w:val="24"/>
        </w:rPr>
        <w:t>“</w:t>
      </w:r>
      <w:r w:rsidR="00FE2095" w:rsidRPr="00BB1156">
        <w:rPr>
          <w:rFonts w:ascii="Times New Roman" w:hAnsi="Times New Roman"/>
          <w:sz w:val="24"/>
          <w:szCs w:val="24"/>
        </w:rPr>
        <w:t xml:space="preserve"> (3 priedas);</w:t>
      </w:r>
    </w:p>
    <w:p w:rsidR="00FA2818" w:rsidRPr="00BB1156" w:rsidRDefault="00D83B4B" w:rsidP="00FA2818">
      <w:pPr>
        <w:pStyle w:val="Sraopastraipa"/>
        <w:tabs>
          <w:tab w:val="left" w:pos="1134"/>
        </w:tabs>
        <w:suppressAutoHyphens/>
        <w:spacing w:after="0" w:line="240" w:lineRule="auto"/>
        <w:ind w:left="0" w:firstLine="769"/>
        <w:jc w:val="both"/>
        <w:rPr>
          <w:rFonts w:ascii="Times New Roman" w:hAnsi="Times New Roman"/>
          <w:sz w:val="24"/>
          <w:szCs w:val="24"/>
        </w:rPr>
      </w:pPr>
      <w:r w:rsidRPr="00BB1156">
        <w:rPr>
          <w:rFonts w:ascii="Times New Roman" w:hAnsi="Times New Roman"/>
          <w:sz w:val="24"/>
          <w:szCs w:val="24"/>
        </w:rPr>
        <w:t>1.3</w:t>
      </w:r>
      <w:r w:rsidR="00DB6678">
        <w:rPr>
          <w:rFonts w:ascii="Times New Roman" w:hAnsi="Times New Roman"/>
          <w:sz w:val="24"/>
          <w:szCs w:val="24"/>
        </w:rPr>
        <w:t>.</w:t>
      </w:r>
      <w:r w:rsidRPr="00BB1156">
        <w:rPr>
          <w:rFonts w:ascii="Times New Roman" w:hAnsi="Times New Roman"/>
          <w:sz w:val="24"/>
          <w:szCs w:val="24"/>
        </w:rPr>
        <w:t xml:space="preserve"> pakeisti 1.4 papunktį</w:t>
      </w:r>
      <w:r w:rsidR="00FA2818" w:rsidRPr="00BB1156">
        <w:rPr>
          <w:rFonts w:ascii="Times New Roman" w:hAnsi="Times New Roman"/>
          <w:sz w:val="24"/>
          <w:szCs w:val="24"/>
        </w:rPr>
        <w:t xml:space="preserve"> ir jį išdėstyti taip:</w:t>
      </w:r>
    </w:p>
    <w:p w:rsidR="00FA2818" w:rsidRPr="00BB1156" w:rsidRDefault="00DB6678" w:rsidP="00FA2818">
      <w:pPr>
        <w:pStyle w:val="Sraopastraipa"/>
        <w:tabs>
          <w:tab w:val="left" w:pos="1134"/>
        </w:tabs>
        <w:suppressAutoHyphens/>
        <w:spacing w:after="0" w:line="240" w:lineRule="auto"/>
        <w:ind w:left="0" w:firstLine="769"/>
        <w:jc w:val="both"/>
        <w:rPr>
          <w:rFonts w:ascii="Times New Roman" w:eastAsia="Times New Roman" w:hAnsi="Times New Roman"/>
          <w:sz w:val="24"/>
          <w:szCs w:val="24"/>
        </w:rPr>
      </w:pPr>
      <w:r>
        <w:rPr>
          <w:rFonts w:ascii="Times New Roman" w:hAnsi="Times New Roman"/>
          <w:sz w:val="24"/>
          <w:szCs w:val="24"/>
        </w:rPr>
        <w:t>„1.4.</w:t>
      </w:r>
      <w:r w:rsidR="00FA2818" w:rsidRPr="00BB1156">
        <w:rPr>
          <w:rFonts w:ascii="Times New Roman" w:eastAsia="Times New Roman" w:hAnsi="Times New Roman"/>
          <w:sz w:val="24"/>
          <w:szCs w:val="24"/>
        </w:rPr>
        <w:t xml:space="preserve"> 6 312,5 tūkst. eurų mokinio krepšelio lėšų paskirstymą</w:t>
      </w:r>
      <w:r>
        <w:rPr>
          <w:rFonts w:ascii="Times New Roman" w:eastAsia="Times New Roman" w:hAnsi="Times New Roman"/>
          <w:sz w:val="24"/>
          <w:szCs w:val="24"/>
        </w:rPr>
        <w:t>“</w:t>
      </w:r>
      <w:r w:rsidR="00FA2818" w:rsidRPr="00BB1156">
        <w:rPr>
          <w:rFonts w:ascii="Times New Roman" w:eastAsia="Times New Roman" w:hAnsi="Times New Roman"/>
          <w:sz w:val="24"/>
          <w:szCs w:val="24"/>
        </w:rPr>
        <w:t xml:space="preserve"> (4 priedas);</w:t>
      </w:r>
    </w:p>
    <w:p w:rsidR="0003675C" w:rsidRPr="00BB1156" w:rsidRDefault="00C40BA1"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BB1156">
        <w:rPr>
          <w:rFonts w:ascii="Times New Roman" w:hAnsi="Times New Roman"/>
          <w:sz w:val="24"/>
          <w:szCs w:val="24"/>
        </w:rPr>
        <w:t>1.</w:t>
      </w:r>
      <w:r w:rsidR="00FA2818" w:rsidRPr="00BB1156">
        <w:rPr>
          <w:rFonts w:ascii="Times New Roman" w:hAnsi="Times New Roman"/>
          <w:sz w:val="24"/>
          <w:szCs w:val="24"/>
        </w:rPr>
        <w:t>4</w:t>
      </w:r>
      <w:r w:rsidRPr="00BB1156">
        <w:rPr>
          <w:rFonts w:ascii="Times New Roman" w:hAnsi="Times New Roman"/>
          <w:sz w:val="24"/>
          <w:szCs w:val="24"/>
        </w:rPr>
        <w:t xml:space="preserve">. </w:t>
      </w:r>
      <w:r w:rsidR="00C36D9C" w:rsidRPr="00BB1156">
        <w:rPr>
          <w:rFonts w:ascii="Times New Roman" w:hAnsi="Times New Roman"/>
          <w:sz w:val="24"/>
          <w:szCs w:val="24"/>
        </w:rPr>
        <w:t>pakeisti 1.5</w:t>
      </w:r>
      <w:r w:rsidR="0003675C" w:rsidRPr="00BB1156">
        <w:rPr>
          <w:rFonts w:ascii="Times New Roman" w:hAnsi="Times New Roman"/>
          <w:sz w:val="24"/>
          <w:szCs w:val="24"/>
        </w:rPr>
        <w:t xml:space="preserve"> papunktį ir jį išdėstyti taip:</w:t>
      </w:r>
    </w:p>
    <w:p w:rsidR="00C40BA1" w:rsidRPr="00BB1156" w:rsidRDefault="0003675C" w:rsidP="00C40BA1">
      <w:pPr>
        <w:pStyle w:val="Sraopastraipa"/>
        <w:tabs>
          <w:tab w:val="left" w:pos="1134"/>
        </w:tabs>
        <w:suppressAutoHyphens/>
        <w:spacing w:after="0" w:line="240" w:lineRule="auto"/>
        <w:ind w:left="0" w:firstLine="769"/>
        <w:jc w:val="both"/>
        <w:rPr>
          <w:rFonts w:ascii="Times New Roman" w:hAnsi="Times New Roman"/>
          <w:sz w:val="24"/>
          <w:szCs w:val="24"/>
        </w:rPr>
      </w:pPr>
      <w:r w:rsidRPr="00BB1156">
        <w:rPr>
          <w:rFonts w:ascii="Times New Roman" w:hAnsi="Times New Roman"/>
          <w:sz w:val="24"/>
          <w:szCs w:val="24"/>
        </w:rPr>
        <w:t xml:space="preserve">„1.5. </w:t>
      </w:r>
      <w:r w:rsidR="0085748A" w:rsidRPr="00BB1156">
        <w:rPr>
          <w:rFonts w:ascii="Times New Roman" w:hAnsi="Times New Roman"/>
          <w:sz w:val="24"/>
          <w:szCs w:val="24"/>
        </w:rPr>
        <w:t>2 2</w:t>
      </w:r>
      <w:r w:rsidR="00272940" w:rsidRPr="00BB1156">
        <w:rPr>
          <w:rFonts w:ascii="Times New Roman" w:hAnsi="Times New Roman"/>
          <w:sz w:val="24"/>
          <w:szCs w:val="24"/>
        </w:rPr>
        <w:t>50,0</w:t>
      </w:r>
      <w:r w:rsidR="00C40BA1" w:rsidRPr="00BB1156">
        <w:rPr>
          <w:rFonts w:ascii="Times New Roman" w:hAnsi="Times New Roman"/>
          <w:sz w:val="24"/>
          <w:szCs w:val="24"/>
        </w:rPr>
        <w:t xml:space="preserve"> tūkst. eurų kitų finansavimo šaltinių paskirstymą, iš jų: </w:t>
      </w:r>
      <w:r w:rsidR="004C605E" w:rsidRPr="00BB1156">
        <w:rPr>
          <w:rFonts w:ascii="Times New Roman" w:hAnsi="Times New Roman"/>
          <w:sz w:val="24"/>
          <w:szCs w:val="24"/>
        </w:rPr>
        <w:t>32</w:t>
      </w:r>
      <w:r w:rsidR="0071585A" w:rsidRPr="00BB1156">
        <w:rPr>
          <w:rFonts w:ascii="Times New Roman" w:hAnsi="Times New Roman"/>
          <w:sz w:val="24"/>
          <w:szCs w:val="24"/>
        </w:rPr>
        <w:t>6,4</w:t>
      </w:r>
      <w:r w:rsidR="00C40BA1" w:rsidRPr="00BB1156">
        <w:rPr>
          <w:rFonts w:ascii="Times New Roman" w:hAnsi="Times New Roman"/>
          <w:sz w:val="24"/>
          <w:szCs w:val="24"/>
        </w:rPr>
        <w:t xml:space="preserve"> tūkst. eurų </w:t>
      </w:r>
      <w:r w:rsidR="004C605E" w:rsidRPr="00BB1156">
        <w:rPr>
          <w:rFonts w:ascii="Times New Roman" w:hAnsi="Times New Roman"/>
          <w:sz w:val="24"/>
          <w:szCs w:val="24"/>
        </w:rPr>
        <w:t>trumpalaikiams įsi</w:t>
      </w:r>
      <w:r w:rsidR="00DA1BAE" w:rsidRPr="00BB1156">
        <w:rPr>
          <w:rFonts w:ascii="Times New Roman" w:hAnsi="Times New Roman"/>
          <w:sz w:val="24"/>
          <w:szCs w:val="24"/>
        </w:rPr>
        <w:t>pareigojimams</w:t>
      </w:r>
      <w:r w:rsidR="00C40BA1" w:rsidRPr="00BB1156">
        <w:rPr>
          <w:rFonts w:ascii="Times New Roman" w:hAnsi="Times New Roman"/>
          <w:sz w:val="24"/>
          <w:szCs w:val="24"/>
        </w:rPr>
        <w:t xml:space="preserve"> </w:t>
      </w:r>
      <w:r w:rsidR="0071585A" w:rsidRPr="00BB1156">
        <w:rPr>
          <w:rFonts w:ascii="Times New Roman" w:hAnsi="Times New Roman"/>
          <w:sz w:val="24"/>
          <w:szCs w:val="24"/>
        </w:rPr>
        <w:t>dengti</w:t>
      </w:r>
      <w:r w:rsidR="00C36D9C" w:rsidRPr="00BB1156">
        <w:rPr>
          <w:rFonts w:ascii="Times New Roman" w:hAnsi="Times New Roman"/>
          <w:sz w:val="24"/>
          <w:szCs w:val="24"/>
        </w:rPr>
        <w:t>“</w:t>
      </w:r>
      <w:r w:rsidR="0071585A" w:rsidRPr="00BB1156">
        <w:rPr>
          <w:rFonts w:ascii="Times New Roman" w:hAnsi="Times New Roman"/>
          <w:sz w:val="24"/>
          <w:szCs w:val="24"/>
        </w:rPr>
        <w:t xml:space="preserve"> </w:t>
      </w:r>
      <w:r w:rsidR="00C40BA1" w:rsidRPr="00BB1156">
        <w:rPr>
          <w:rFonts w:ascii="Times New Roman" w:hAnsi="Times New Roman"/>
          <w:sz w:val="24"/>
          <w:szCs w:val="24"/>
        </w:rPr>
        <w:t>(5 priedas)</w:t>
      </w:r>
      <w:r w:rsidR="00DB6678">
        <w:rPr>
          <w:rFonts w:ascii="Times New Roman" w:hAnsi="Times New Roman"/>
          <w:sz w:val="24"/>
          <w:szCs w:val="24"/>
        </w:rPr>
        <w:t>.</w:t>
      </w:r>
    </w:p>
    <w:p w:rsidR="007B608E" w:rsidRPr="00BB1156" w:rsidRDefault="007B608E" w:rsidP="007B608E">
      <w:pPr>
        <w:pStyle w:val="Sraopastraipa"/>
        <w:tabs>
          <w:tab w:val="left" w:pos="851"/>
        </w:tabs>
        <w:ind w:left="0"/>
        <w:jc w:val="both"/>
        <w:rPr>
          <w:rFonts w:ascii="Times New Roman" w:hAnsi="Times New Roman"/>
          <w:sz w:val="24"/>
          <w:szCs w:val="24"/>
        </w:rPr>
      </w:pPr>
    </w:p>
    <w:p w:rsidR="0003675C" w:rsidRPr="00BB1156" w:rsidRDefault="0003675C" w:rsidP="007B608E">
      <w:pPr>
        <w:pStyle w:val="Sraopastraipa"/>
        <w:tabs>
          <w:tab w:val="left" w:pos="851"/>
        </w:tabs>
        <w:ind w:left="0"/>
        <w:jc w:val="both"/>
        <w:rPr>
          <w:rFonts w:ascii="Times New Roman" w:hAnsi="Times New Roman"/>
          <w:sz w:val="24"/>
          <w:szCs w:val="24"/>
        </w:rPr>
      </w:pPr>
    </w:p>
    <w:p w:rsidR="0003675C" w:rsidRPr="00BB1156"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841670" w:rsidRDefault="00841670" w:rsidP="007B608E">
      <w:pPr>
        <w:pStyle w:val="Sraopastraipa"/>
        <w:tabs>
          <w:tab w:val="left" w:pos="851"/>
        </w:tabs>
        <w:ind w:left="0"/>
        <w:jc w:val="both"/>
        <w:rPr>
          <w:rFonts w:ascii="Times New Roman" w:hAnsi="Times New Roman"/>
          <w:sz w:val="24"/>
          <w:szCs w:val="24"/>
        </w:rPr>
      </w:pPr>
    </w:p>
    <w:p w:rsidR="00841670" w:rsidRDefault="00841670" w:rsidP="007B608E">
      <w:pPr>
        <w:pStyle w:val="Sraopastraipa"/>
        <w:tabs>
          <w:tab w:val="left" w:pos="851"/>
        </w:tabs>
        <w:ind w:left="0"/>
        <w:jc w:val="both"/>
        <w:rPr>
          <w:rFonts w:ascii="Times New Roman" w:hAnsi="Times New Roman"/>
          <w:sz w:val="24"/>
          <w:szCs w:val="24"/>
        </w:rPr>
      </w:pPr>
    </w:p>
    <w:p w:rsidR="00841670" w:rsidRDefault="00841670" w:rsidP="007B608E">
      <w:pPr>
        <w:pStyle w:val="Sraopastraipa"/>
        <w:tabs>
          <w:tab w:val="left" w:pos="851"/>
        </w:tabs>
        <w:ind w:left="0"/>
        <w:jc w:val="both"/>
        <w:rPr>
          <w:rFonts w:ascii="Times New Roman" w:hAnsi="Times New Roman"/>
          <w:sz w:val="24"/>
          <w:szCs w:val="24"/>
        </w:rPr>
      </w:pPr>
    </w:p>
    <w:p w:rsidR="00AC55A7" w:rsidRPr="00BC4BF8" w:rsidRDefault="00AC55A7" w:rsidP="007B608E">
      <w:pPr>
        <w:pStyle w:val="Sraopastraipa"/>
        <w:tabs>
          <w:tab w:val="left" w:pos="851"/>
        </w:tabs>
        <w:ind w:left="0"/>
        <w:jc w:val="both"/>
        <w:rPr>
          <w:rFonts w:ascii="Times New Roman" w:hAnsi="Times New Roman"/>
          <w:sz w:val="24"/>
          <w:szCs w:val="24"/>
        </w:rPr>
      </w:pPr>
    </w:p>
    <w:p w:rsidR="00341EF5" w:rsidRDefault="00341EF5" w:rsidP="00341EF5">
      <w:pPr>
        <w:pStyle w:val="Pavadinimas"/>
      </w:pPr>
      <w:r>
        <w:lastRenderedPageBreak/>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D478E">
      <w:pPr>
        <w:rPr>
          <w:sz w:val="24"/>
        </w:rPr>
      </w:pPr>
    </w:p>
    <w:p w:rsidR="00341EF5" w:rsidRDefault="00341EF5" w:rsidP="00341EF5">
      <w:pPr>
        <w:pStyle w:val="Antrat1"/>
      </w:pPr>
      <w:r>
        <w:t>Panevėžio rajono savivaldybės tarybai</w:t>
      </w:r>
    </w:p>
    <w:p w:rsidR="00341EF5" w:rsidRDefault="00341EF5" w:rsidP="00341EF5">
      <w:pPr>
        <w:rPr>
          <w:sz w:val="24"/>
        </w:rPr>
      </w:pPr>
    </w:p>
    <w:p w:rsidR="00341EF5" w:rsidRPr="00AC55A7" w:rsidRDefault="00341EF5" w:rsidP="00AC55A7">
      <w:pPr>
        <w:jc w:val="center"/>
        <w:rPr>
          <w:b/>
          <w:sz w:val="24"/>
          <w:szCs w:val="24"/>
        </w:rPr>
      </w:pPr>
    </w:p>
    <w:p w:rsidR="00341EF5" w:rsidRPr="00AC55A7" w:rsidRDefault="00341EF5" w:rsidP="00AC55A7">
      <w:pPr>
        <w:pStyle w:val="Pagrindinistekstas"/>
        <w:jc w:val="center"/>
        <w:rPr>
          <w:b/>
          <w:sz w:val="24"/>
          <w:szCs w:val="24"/>
        </w:rPr>
      </w:pPr>
      <w:r w:rsidRPr="00AC55A7">
        <w:rPr>
          <w:b/>
          <w:sz w:val="24"/>
          <w:szCs w:val="24"/>
        </w:rPr>
        <w:t>AIŠKINAMASIS RAŠTAS DĖL SPRENDIMO „DĖL PA</w:t>
      </w:r>
      <w:r w:rsidR="00047BC7">
        <w:rPr>
          <w:b/>
          <w:sz w:val="24"/>
          <w:szCs w:val="24"/>
        </w:rPr>
        <w:t xml:space="preserve">NEVĖŽIO RAJONO SAVIVALDYBĖS </w:t>
      </w:r>
      <w:r w:rsidR="00C36D9C">
        <w:rPr>
          <w:b/>
          <w:sz w:val="24"/>
          <w:szCs w:val="24"/>
        </w:rPr>
        <w:t xml:space="preserve">TARYBOS </w:t>
      </w:r>
      <w:r w:rsidR="00047BC7">
        <w:rPr>
          <w:b/>
          <w:sz w:val="24"/>
          <w:szCs w:val="24"/>
        </w:rPr>
        <w:t>2017</w:t>
      </w:r>
      <w:r w:rsidR="00C8174D">
        <w:rPr>
          <w:b/>
          <w:sz w:val="24"/>
          <w:szCs w:val="24"/>
        </w:rPr>
        <w:t xml:space="preserve"> M. VASARIO 23 D. SPRENDIMO NR. T-23 „DĖL PANEVĖŽIO RAJONO SAVIVALDYBĖS 2017</w:t>
      </w:r>
      <w:r w:rsidRPr="00AC55A7">
        <w:rPr>
          <w:b/>
          <w:sz w:val="24"/>
          <w:szCs w:val="24"/>
        </w:rPr>
        <w:t xml:space="preserve"> METŲ BIUDŽETO PATVIRTINIMO“</w:t>
      </w:r>
      <w:r w:rsidR="00C8174D">
        <w:rPr>
          <w:b/>
          <w:sz w:val="24"/>
          <w:szCs w:val="24"/>
        </w:rPr>
        <w:t xml:space="preserve"> PAKEITIMO“</w:t>
      </w:r>
      <w:r w:rsidRPr="00AC55A7">
        <w:rPr>
          <w:b/>
          <w:sz w:val="24"/>
          <w:szCs w:val="24"/>
        </w:rPr>
        <w:t xml:space="preserve"> PROJEKTO</w:t>
      </w:r>
    </w:p>
    <w:p w:rsidR="00341EF5" w:rsidRDefault="00341EF5" w:rsidP="00341EF5">
      <w:pPr>
        <w:jc w:val="center"/>
        <w:rPr>
          <w:sz w:val="24"/>
        </w:rPr>
      </w:pPr>
    </w:p>
    <w:p w:rsidR="00341EF5" w:rsidRDefault="00341EF5" w:rsidP="00341EF5">
      <w:pPr>
        <w:jc w:val="center"/>
        <w:rPr>
          <w:sz w:val="24"/>
        </w:rPr>
      </w:pPr>
    </w:p>
    <w:p w:rsidR="00341EF5" w:rsidRDefault="00341EF5" w:rsidP="00341EF5">
      <w:pPr>
        <w:jc w:val="center"/>
        <w:rPr>
          <w:sz w:val="24"/>
        </w:rPr>
      </w:pPr>
      <w:r>
        <w:rPr>
          <w:sz w:val="24"/>
        </w:rPr>
        <w:t>201</w:t>
      </w:r>
      <w:r w:rsidR="009C390A">
        <w:rPr>
          <w:sz w:val="24"/>
        </w:rPr>
        <w:t>7</w:t>
      </w:r>
      <w:r>
        <w:rPr>
          <w:sz w:val="24"/>
        </w:rPr>
        <w:t xml:space="preserve"> m. </w:t>
      </w:r>
      <w:r w:rsidR="00F116F5">
        <w:rPr>
          <w:sz w:val="24"/>
        </w:rPr>
        <w:t>birželio 7</w:t>
      </w:r>
      <w:r>
        <w:rPr>
          <w:sz w:val="24"/>
        </w:rPr>
        <w:t xml:space="preserve"> d.</w:t>
      </w:r>
    </w:p>
    <w:p w:rsidR="00341EF5" w:rsidRDefault="00341EF5" w:rsidP="00341EF5">
      <w:pPr>
        <w:pStyle w:val="Antrat2"/>
      </w:pPr>
      <w:r>
        <w:t>Panevėžys</w:t>
      </w:r>
    </w:p>
    <w:p w:rsidR="00341EF5" w:rsidRDefault="00341EF5" w:rsidP="00341EF5">
      <w:pPr>
        <w:jc w:val="center"/>
        <w:rPr>
          <w:sz w:val="24"/>
        </w:rPr>
      </w:pPr>
    </w:p>
    <w:p w:rsidR="00341EF5" w:rsidRDefault="00DB6678" w:rsidP="00DB6678">
      <w:pPr>
        <w:suppressAutoHyphens w:val="0"/>
        <w:ind w:firstLine="720"/>
        <w:jc w:val="both"/>
        <w:rPr>
          <w:b/>
          <w:sz w:val="24"/>
        </w:rPr>
      </w:pPr>
      <w:r>
        <w:rPr>
          <w:b/>
          <w:sz w:val="24"/>
        </w:rPr>
        <w:t xml:space="preserve">1. </w:t>
      </w:r>
      <w:r w:rsidR="00341EF5">
        <w:rPr>
          <w:b/>
          <w:sz w:val="24"/>
        </w:rPr>
        <w:t>Projekto rengimą paskatinusios priežastys.</w:t>
      </w:r>
    </w:p>
    <w:p w:rsidR="00341EF5" w:rsidRDefault="00341EF5" w:rsidP="008A4FBE">
      <w:pPr>
        <w:ind w:firstLine="720"/>
        <w:jc w:val="both"/>
        <w:rPr>
          <w:sz w:val="24"/>
        </w:rPr>
      </w:pPr>
      <w:r>
        <w:rPr>
          <w:sz w:val="24"/>
        </w:rPr>
        <w:t>Lietuvos Respublikos vietos savivaldos ir Biudžeto sandaros įstatymuose savivaldybių tarybos įpareigojamos kasmet patvirtinti savivaldybių metinį biudžetą</w:t>
      </w:r>
      <w:r w:rsidR="005477ED">
        <w:rPr>
          <w:sz w:val="24"/>
        </w:rPr>
        <w:t xml:space="preserve"> ir esant reikalui jį tikslinti.</w:t>
      </w:r>
    </w:p>
    <w:p w:rsidR="005477ED" w:rsidRPr="005477ED" w:rsidRDefault="00DB6678" w:rsidP="00DB6678">
      <w:pPr>
        <w:suppressAutoHyphens w:val="0"/>
        <w:ind w:left="720"/>
        <w:jc w:val="both"/>
        <w:rPr>
          <w:sz w:val="24"/>
        </w:rPr>
      </w:pPr>
      <w:r>
        <w:rPr>
          <w:b/>
          <w:sz w:val="24"/>
        </w:rPr>
        <w:t xml:space="preserve">2. </w:t>
      </w:r>
      <w:r w:rsidR="00341EF5" w:rsidRPr="005477ED">
        <w:rPr>
          <w:b/>
          <w:sz w:val="24"/>
        </w:rPr>
        <w:t>Sprendimo projekto esmė ir tikslai.</w:t>
      </w:r>
    </w:p>
    <w:p w:rsidR="008960E6" w:rsidRPr="00DB6678" w:rsidRDefault="008A4FBE" w:rsidP="00DB6678">
      <w:pPr>
        <w:ind w:firstLine="720"/>
        <w:jc w:val="both"/>
        <w:rPr>
          <w:rStyle w:val="Grietas"/>
          <w:b w:val="0"/>
          <w:sz w:val="24"/>
          <w:szCs w:val="24"/>
        </w:rPr>
      </w:pPr>
      <w:r w:rsidRPr="00DB6678">
        <w:rPr>
          <w:rStyle w:val="Grietas"/>
          <w:b w:val="0"/>
          <w:sz w:val="24"/>
          <w:szCs w:val="24"/>
        </w:rPr>
        <w:t xml:space="preserve">Lietuvos Respublikos susisiekimo ministro 2017 m. gegužės 29 d. įsakymu Nr. 3-248 „Dėl vietinės reikšmės kelių (gatvių) tikslinio finansavimo 2017 metų sąrašo patvirtinimo“ Panevėžio rajono savivaldybei skirta 337,4 tūkst. eurų tikslinių </w:t>
      </w:r>
      <w:r w:rsidR="00DD7764" w:rsidRPr="00DB6678">
        <w:rPr>
          <w:rStyle w:val="Grietas"/>
          <w:b w:val="0"/>
          <w:sz w:val="24"/>
          <w:szCs w:val="24"/>
        </w:rPr>
        <w:t xml:space="preserve">finansavimo </w:t>
      </w:r>
      <w:r w:rsidRPr="00DB6678">
        <w:rPr>
          <w:rStyle w:val="Grietas"/>
          <w:b w:val="0"/>
          <w:sz w:val="24"/>
          <w:szCs w:val="24"/>
        </w:rPr>
        <w:t>lėšų</w:t>
      </w:r>
      <w:r w:rsidR="00F4117E" w:rsidRPr="00DB6678">
        <w:rPr>
          <w:rStyle w:val="Grietas"/>
          <w:b w:val="0"/>
          <w:sz w:val="24"/>
          <w:szCs w:val="24"/>
        </w:rPr>
        <w:t>, iš jų</w:t>
      </w:r>
      <w:r w:rsidRPr="00DB6678">
        <w:rPr>
          <w:rStyle w:val="Grietas"/>
          <w:b w:val="0"/>
          <w:sz w:val="24"/>
          <w:szCs w:val="24"/>
        </w:rPr>
        <w:t>:</w:t>
      </w:r>
    </w:p>
    <w:p w:rsidR="008A4FBE" w:rsidRPr="00DB6678" w:rsidRDefault="008A4FBE" w:rsidP="00DB6678">
      <w:pPr>
        <w:ind w:firstLine="720"/>
        <w:jc w:val="both"/>
        <w:rPr>
          <w:rStyle w:val="Grietas"/>
          <w:rFonts w:eastAsia="MS Mincho"/>
          <w:b w:val="0"/>
          <w:sz w:val="24"/>
          <w:szCs w:val="24"/>
          <w:rtl/>
          <w:lang w:eastAsia="ko-KR"/>
        </w:rPr>
      </w:pPr>
      <w:r w:rsidRPr="00DB6678">
        <w:rPr>
          <w:rStyle w:val="Grietas"/>
          <w:b w:val="0"/>
          <w:sz w:val="24"/>
          <w:szCs w:val="24"/>
        </w:rPr>
        <w:t>42,1 tūkst. eurų Naujamiesčio miestelio Ramiajai gatvei, kuri jungiasi su valstybinės reikšmės rajoniniais keliais Nr. 3007 Vaškai</w:t>
      </w:r>
      <w:r w:rsidR="00DB6678">
        <w:rPr>
          <w:rStyle w:val="Grietas"/>
          <w:b w:val="0"/>
          <w:sz w:val="24"/>
          <w:szCs w:val="24"/>
        </w:rPr>
        <w:t>–</w:t>
      </w:r>
      <w:proofErr w:type="spellStart"/>
      <w:r w:rsidR="00DB6678">
        <w:rPr>
          <w:rStyle w:val="Grietas"/>
          <w:b w:val="0"/>
          <w:sz w:val="24"/>
          <w:szCs w:val="24"/>
        </w:rPr>
        <w:t>Degesiai</w:t>
      </w:r>
      <w:proofErr w:type="spellEnd"/>
      <w:r w:rsidR="00DB6678">
        <w:rPr>
          <w:rStyle w:val="Grietas"/>
          <w:b w:val="0"/>
          <w:sz w:val="24"/>
          <w:szCs w:val="24"/>
        </w:rPr>
        <w:t xml:space="preserve"> ir Nr. 3415 </w:t>
      </w:r>
      <w:proofErr w:type="spellStart"/>
      <w:r w:rsidR="00DB6678">
        <w:rPr>
          <w:rStyle w:val="Grietas"/>
          <w:b w:val="0"/>
          <w:sz w:val="24"/>
          <w:szCs w:val="24"/>
        </w:rPr>
        <w:t>Sidabravas</w:t>
      </w:r>
      <w:proofErr w:type="spellEnd"/>
      <w:r w:rsidR="00DB6678">
        <w:rPr>
          <w:rStyle w:val="Grietas"/>
          <w:b w:val="0"/>
          <w:sz w:val="24"/>
          <w:szCs w:val="24"/>
        </w:rPr>
        <w:t>–</w:t>
      </w:r>
      <w:r w:rsidR="0018313F" w:rsidRPr="00DB6678">
        <w:rPr>
          <w:rStyle w:val="Grietas"/>
          <w:b w:val="0"/>
          <w:sz w:val="24"/>
          <w:szCs w:val="24"/>
        </w:rPr>
        <w:t>Biržel</w:t>
      </w:r>
      <w:r w:rsidR="00DB6678">
        <w:rPr>
          <w:rStyle w:val="Grietas"/>
          <w:b w:val="0"/>
          <w:sz w:val="24"/>
          <w:szCs w:val="24"/>
        </w:rPr>
        <w:t xml:space="preserve">ės–Naujamiestis, </w:t>
      </w:r>
      <w:proofErr w:type="spellStart"/>
      <w:r w:rsidR="00DB6678">
        <w:rPr>
          <w:rStyle w:val="Grietas"/>
          <w:b w:val="0"/>
          <w:sz w:val="24"/>
          <w:szCs w:val="24"/>
        </w:rPr>
        <w:t>kapitali</w:t>
      </w:r>
      <w:r w:rsidR="0018313F" w:rsidRPr="00DB6678">
        <w:rPr>
          <w:rStyle w:val="Grietas"/>
          <w:b w:val="0"/>
          <w:sz w:val="24"/>
          <w:szCs w:val="24"/>
        </w:rPr>
        <w:t>ai</w:t>
      </w:r>
      <w:proofErr w:type="spellEnd"/>
      <w:r w:rsidR="0018313F" w:rsidRPr="00DB6678">
        <w:rPr>
          <w:rStyle w:val="Grietas"/>
          <w:b w:val="0"/>
          <w:sz w:val="24"/>
          <w:szCs w:val="24"/>
        </w:rPr>
        <w:t xml:space="preserve"> rekonstruoti;</w:t>
      </w:r>
    </w:p>
    <w:p w:rsidR="008960E6" w:rsidRPr="00DB6678" w:rsidRDefault="00DD7764" w:rsidP="00DB6678">
      <w:pPr>
        <w:ind w:firstLine="720"/>
        <w:jc w:val="both"/>
        <w:rPr>
          <w:rStyle w:val="Grietas"/>
          <w:b w:val="0"/>
          <w:sz w:val="24"/>
          <w:szCs w:val="24"/>
        </w:rPr>
      </w:pPr>
      <w:r w:rsidRPr="00DB6678">
        <w:rPr>
          <w:rStyle w:val="Grietas"/>
          <w:b w:val="0"/>
          <w:sz w:val="24"/>
          <w:szCs w:val="24"/>
        </w:rPr>
        <w:t xml:space="preserve">83,3 tūkst. eurų </w:t>
      </w:r>
      <w:proofErr w:type="spellStart"/>
      <w:r w:rsidRPr="00DB6678">
        <w:rPr>
          <w:rStyle w:val="Grietas"/>
          <w:b w:val="0"/>
          <w:sz w:val="24"/>
          <w:szCs w:val="24"/>
        </w:rPr>
        <w:t>Velžio</w:t>
      </w:r>
      <w:proofErr w:type="spellEnd"/>
      <w:r w:rsidRPr="00DB6678">
        <w:rPr>
          <w:rStyle w:val="Grietas"/>
          <w:b w:val="0"/>
          <w:sz w:val="24"/>
          <w:szCs w:val="24"/>
        </w:rPr>
        <w:t xml:space="preserve"> seniūnijos </w:t>
      </w:r>
      <w:proofErr w:type="spellStart"/>
      <w:r w:rsidRPr="00DB6678">
        <w:rPr>
          <w:rStyle w:val="Grietas"/>
          <w:b w:val="0"/>
          <w:sz w:val="24"/>
          <w:szCs w:val="24"/>
        </w:rPr>
        <w:t>Liūdynės</w:t>
      </w:r>
      <w:proofErr w:type="spellEnd"/>
      <w:r w:rsidRPr="00DB6678">
        <w:rPr>
          <w:rStyle w:val="Grietas"/>
          <w:b w:val="0"/>
          <w:sz w:val="24"/>
          <w:szCs w:val="24"/>
        </w:rPr>
        <w:t xml:space="preserve"> kaimo Parko gatvei, kuri jungiasi su valstybinės reikšmės</w:t>
      </w:r>
      <w:r w:rsidR="00DB6678">
        <w:rPr>
          <w:rStyle w:val="Grietas"/>
          <w:b w:val="0"/>
          <w:sz w:val="24"/>
          <w:szCs w:val="24"/>
        </w:rPr>
        <w:t xml:space="preserve"> krašto keliu Nr. 121 Anykščiai–</w:t>
      </w:r>
      <w:proofErr w:type="spellStart"/>
      <w:r w:rsidR="00DB6678">
        <w:rPr>
          <w:rStyle w:val="Grietas"/>
          <w:b w:val="0"/>
          <w:sz w:val="24"/>
          <w:szCs w:val="24"/>
        </w:rPr>
        <w:t>Troškūnai</w:t>
      </w:r>
      <w:proofErr w:type="spellEnd"/>
      <w:r w:rsidR="00DB6678">
        <w:rPr>
          <w:rStyle w:val="Grietas"/>
          <w:b w:val="0"/>
          <w:sz w:val="24"/>
          <w:szCs w:val="24"/>
        </w:rPr>
        <w:t>–</w:t>
      </w:r>
      <w:r w:rsidRPr="00DB6678">
        <w:rPr>
          <w:rStyle w:val="Grietas"/>
          <w:b w:val="0"/>
          <w:sz w:val="24"/>
          <w:szCs w:val="24"/>
        </w:rPr>
        <w:t>Panevėžys, rekonstruoti;</w:t>
      </w:r>
    </w:p>
    <w:p w:rsidR="00DD7764" w:rsidRPr="00DB6678" w:rsidRDefault="00DD7764" w:rsidP="00DB6678">
      <w:pPr>
        <w:ind w:firstLine="720"/>
        <w:jc w:val="both"/>
        <w:rPr>
          <w:rStyle w:val="Grietas"/>
          <w:b w:val="0"/>
          <w:sz w:val="24"/>
          <w:szCs w:val="24"/>
        </w:rPr>
      </w:pPr>
      <w:r w:rsidRPr="00DB6678">
        <w:rPr>
          <w:rStyle w:val="Grietas"/>
          <w:b w:val="0"/>
          <w:sz w:val="24"/>
          <w:szCs w:val="24"/>
        </w:rPr>
        <w:t xml:space="preserve">137,7 tūkst. eurų Panevėžio seniūnijos </w:t>
      </w:r>
      <w:proofErr w:type="spellStart"/>
      <w:r w:rsidRPr="00DB6678">
        <w:rPr>
          <w:rStyle w:val="Grietas"/>
          <w:b w:val="0"/>
          <w:sz w:val="24"/>
          <w:szCs w:val="24"/>
        </w:rPr>
        <w:t>Bobkalnio</w:t>
      </w:r>
      <w:proofErr w:type="spellEnd"/>
      <w:r w:rsidRPr="00DB6678">
        <w:rPr>
          <w:rStyle w:val="Grietas"/>
          <w:b w:val="0"/>
          <w:sz w:val="24"/>
          <w:szCs w:val="24"/>
        </w:rPr>
        <w:t xml:space="preserve"> kaimo vietinės reikšmės keliui Nr</w:t>
      </w:r>
      <w:r w:rsidR="00DB6678">
        <w:rPr>
          <w:rStyle w:val="Grietas"/>
          <w:b w:val="0"/>
          <w:sz w:val="24"/>
          <w:szCs w:val="24"/>
        </w:rPr>
        <w:t>. PAN-116</w:t>
      </w:r>
      <w:r w:rsidRPr="00DB6678">
        <w:rPr>
          <w:rStyle w:val="Grietas"/>
          <w:b w:val="0"/>
          <w:sz w:val="24"/>
          <w:szCs w:val="24"/>
        </w:rPr>
        <w:t>, kuris jungiasi su valstybinės reikšmės</w:t>
      </w:r>
      <w:r w:rsidR="00DB6678">
        <w:rPr>
          <w:rStyle w:val="Grietas"/>
          <w:b w:val="0"/>
          <w:sz w:val="24"/>
          <w:szCs w:val="24"/>
        </w:rPr>
        <w:t xml:space="preserve"> krašto keliu Nr. 122 Daugpilis–Kupiškis–Panevėžys, </w:t>
      </w:r>
      <w:proofErr w:type="spellStart"/>
      <w:r w:rsidR="00DB6678">
        <w:rPr>
          <w:rStyle w:val="Grietas"/>
          <w:b w:val="0"/>
          <w:sz w:val="24"/>
          <w:szCs w:val="24"/>
        </w:rPr>
        <w:t>kapitali</w:t>
      </w:r>
      <w:r w:rsidRPr="00DB6678">
        <w:rPr>
          <w:rStyle w:val="Grietas"/>
          <w:b w:val="0"/>
          <w:sz w:val="24"/>
          <w:szCs w:val="24"/>
        </w:rPr>
        <w:t>ai</w:t>
      </w:r>
      <w:proofErr w:type="spellEnd"/>
      <w:r w:rsidRPr="00DB6678">
        <w:rPr>
          <w:rStyle w:val="Grietas"/>
          <w:b w:val="0"/>
          <w:sz w:val="24"/>
          <w:szCs w:val="24"/>
        </w:rPr>
        <w:t xml:space="preserve"> remontuoti;</w:t>
      </w:r>
    </w:p>
    <w:p w:rsidR="00DD7764" w:rsidRPr="00DB6678" w:rsidRDefault="00DD7764" w:rsidP="00DB6678">
      <w:pPr>
        <w:ind w:firstLine="720"/>
        <w:jc w:val="both"/>
        <w:rPr>
          <w:rStyle w:val="Grietas"/>
          <w:b w:val="0"/>
          <w:sz w:val="24"/>
          <w:szCs w:val="24"/>
        </w:rPr>
      </w:pPr>
      <w:r w:rsidRPr="00DB6678">
        <w:rPr>
          <w:rStyle w:val="Grietas"/>
          <w:b w:val="0"/>
          <w:sz w:val="24"/>
          <w:szCs w:val="24"/>
        </w:rPr>
        <w:t xml:space="preserve">74,3 tūkst. eurų </w:t>
      </w:r>
      <w:proofErr w:type="spellStart"/>
      <w:r w:rsidRPr="00DB6678">
        <w:rPr>
          <w:rStyle w:val="Grietas"/>
          <w:b w:val="0"/>
          <w:sz w:val="24"/>
          <w:szCs w:val="24"/>
        </w:rPr>
        <w:t>Velžio</w:t>
      </w:r>
      <w:proofErr w:type="spellEnd"/>
      <w:r w:rsidRPr="00DB6678">
        <w:rPr>
          <w:rStyle w:val="Grietas"/>
          <w:b w:val="0"/>
          <w:sz w:val="24"/>
          <w:szCs w:val="24"/>
        </w:rPr>
        <w:t xml:space="preserve"> seniūnijos </w:t>
      </w:r>
      <w:proofErr w:type="spellStart"/>
      <w:r w:rsidRPr="00DB6678">
        <w:rPr>
          <w:rStyle w:val="Grietas"/>
          <w:b w:val="0"/>
          <w:sz w:val="24"/>
          <w:szCs w:val="24"/>
        </w:rPr>
        <w:t>Liūdynės</w:t>
      </w:r>
      <w:proofErr w:type="spellEnd"/>
      <w:r w:rsidR="00DB6678">
        <w:rPr>
          <w:rStyle w:val="Grietas"/>
          <w:b w:val="0"/>
          <w:sz w:val="24"/>
          <w:szCs w:val="24"/>
        </w:rPr>
        <w:t xml:space="preserve"> kaimo Nevėžio gatvei </w:t>
      </w:r>
      <w:proofErr w:type="spellStart"/>
      <w:r w:rsidR="00DB6678">
        <w:rPr>
          <w:rStyle w:val="Grietas"/>
          <w:b w:val="0"/>
          <w:sz w:val="24"/>
          <w:szCs w:val="24"/>
        </w:rPr>
        <w:t>kapitali</w:t>
      </w:r>
      <w:r w:rsidRPr="00DB6678">
        <w:rPr>
          <w:rStyle w:val="Grietas"/>
          <w:b w:val="0"/>
          <w:sz w:val="24"/>
          <w:szCs w:val="24"/>
        </w:rPr>
        <w:t>ai</w:t>
      </w:r>
      <w:proofErr w:type="spellEnd"/>
      <w:r w:rsidRPr="00DB6678">
        <w:rPr>
          <w:rStyle w:val="Grietas"/>
          <w:b w:val="0"/>
          <w:sz w:val="24"/>
          <w:szCs w:val="24"/>
        </w:rPr>
        <w:t xml:space="preserve"> remontuoti.</w:t>
      </w:r>
    </w:p>
    <w:p w:rsidR="008960E6" w:rsidRDefault="002A00D7" w:rsidP="00DB6678">
      <w:pPr>
        <w:suppressAutoHyphens w:val="0"/>
        <w:ind w:firstLine="720"/>
        <w:jc w:val="both"/>
        <w:rPr>
          <w:sz w:val="24"/>
        </w:rPr>
      </w:pPr>
      <w:r w:rsidRPr="00DB6678">
        <w:rPr>
          <w:sz w:val="24"/>
        </w:rPr>
        <w:t xml:space="preserve">Priešgaisrinės apsaugos </w:t>
      </w:r>
      <w:r w:rsidR="00DB6678">
        <w:rPr>
          <w:sz w:val="24"/>
        </w:rPr>
        <w:t>ir gelbėjimo departamento prie V</w:t>
      </w:r>
      <w:r w:rsidRPr="00DB6678">
        <w:rPr>
          <w:sz w:val="24"/>
        </w:rPr>
        <w:t>idaus reikalų ministerijos direktoriaus</w:t>
      </w:r>
      <w:r>
        <w:rPr>
          <w:sz w:val="24"/>
        </w:rPr>
        <w:t xml:space="preserve"> 2017 m. gegužės 5 d. </w:t>
      </w:r>
      <w:r w:rsidR="00DB6678">
        <w:rPr>
          <w:sz w:val="24"/>
        </w:rPr>
        <w:t>įsakymu Nr. 1-117 „Dėl P</w:t>
      </w:r>
      <w:r>
        <w:rPr>
          <w:sz w:val="24"/>
        </w:rPr>
        <w:t xml:space="preserve">riešgaisrinės apsaugos </w:t>
      </w:r>
      <w:r w:rsidR="00DB6678">
        <w:rPr>
          <w:sz w:val="24"/>
        </w:rPr>
        <w:t>ir gelbėjimo departamento prie V</w:t>
      </w:r>
      <w:r>
        <w:rPr>
          <w:sz w:val="24"/>
        </w:rPr>
        <w:t>idaus reikalų ministerijos direktoriaus 2017 m. sausio 4 d. įsakymo Nr. 1-1 „Dėl Lietuvos Respublikos vidaus reikalų ministerijos kuruojamoms valstybinėms (valstybės perduotoms savivaldybėms) funkcijoms atlikti skiriamų Lietuvos Respublikos 2017 metų valstybės biudžeto specialiųjų tikslinių dotacijų savivaldybių biudžetams paskirstymo sąrašo patvirtinimo“ pakeitimo“</w:t>
      </w:r>
      <w:r w:rsidR="002E37A1">
        <w:rPr>
          <w:sz w:val="24"/>
        </w:rPr>
        <w:t xml:space="preserve"> Panevėžio rajono savivaldybei skirta 13,6 tūkst. eurų priešgaisrinės saugos funkcijai</w:t>
      </w:r>
      <w:r w:rsidR="00BB1156">
        <w:rPr>
          <w:sz w:val="24"/>
        </w:rPr>
        <w:t>.</w:t>
      </w:r>
      <w:r w:rsidR="002E37A1">
        <w:rPr>
          <w:sz w:val="24"/>
        </w:rPr>
        <w:t xml:space="preserve"> Šios lėšos skiriamos </w:t>
      </w:r>
      <w:r w:rsidR="00877BE4">
        <w:rPr>
          <w:sz w:val="24"/>
        </w:rPr>
        <w:t>P</w:t>
      </w:r>
      <w:r w:rsidR="002E37A1">
        <w:rPr>
          <w:sz w:val="24"/>
        </w:rPr>
        <w:t>riešgaisrinei tarnybai.</w:t>
      </w:r>
    </w:p>
    <w:p w:rsidR="00F2503F" w:rsidRPr="002A00D7" w:rsidRDefault="00F2503F" w:rsidP="00DB6678">
      <w:pPr>
        <w:suppressAutoHyphens w:val="0"/>
        <w:ind w:firstLine="720"/>
        <w:jc w:val="both"/>
        <w:rPr>
          <w:sz w:val="24"/>
        </w:rPr>
      </w:pPr>
      <w:r>
        <w:rPr>
          <w:sz w:val="24"/>
        </w:rPr>
        <w:t xml:space="preserve">Lietuvos vyriausiojo archyvaro 2017 m. gegužės 4 d. įsakymu Nr. VE-79 „Dėl Lietuvos Respublikos 2017 metų valstybės biudžeto asignavimų Lietuvos Respublikos valstybės ir savivaldybių įstaigų darbuotojų darbo apmokėjimo įstatymui laipsniškai įgyvendinti paskirstymo“ Panevėžio rajono savivaldybei skiriama 0,6 tūkst. eurų. Šios lėšos skiriamos </w:t>
      </w:r>
      <w:r w:rsidR="00877BE4">
        <w:rPr>
          <w:sz w:val="24"/>
        </w:rPr>
        <w:t>S</w:t>
      </w:r>
      <w:r>
        <w:rPr>
          <w:sz w:val="24"/>
        </w:rPr>
        <w:t>avivaldybės administracijai.</w:t>
      </w:r>
    </w:p>
    <w:p w:rsidR="008960E6" w:rsidRDefault="00E1580B" w:rsidP="00DB6678">
      <w:pPr>
        <w:suppressAutoHyphens w:val="0"/>
        <w:ind w:firstLine="720"/>
        <w:jc w:val="both"/>
        <w:rPr>
          <w:sz w:val="24"/>
        </w:rPr>
      </w:pPr>
      <w:r>
        <w:rPr>
          <w:sz w:val="24"/>
        </w:rPr>
        <w:t xml:space="preserve">Lietuvos Respublikos socialinės apsaugos ir darbo ministro 2017 m. gegužės 18 d. įsakymu </w:t>
      </w:r>
      <w:r w:rsidR="00DB6678">
        <w:rPr>
          <w:sz w:val="24"/>
        </w:rPr>
        <w:br/>
      </w:r>
      <w:r>
        <w:rPr>
          <w:sz w:val="24"/>
        </w:rPr>
        <w:t>Nr. A1-255 „Dėl Lietuvos Respublikos socialinės apsaugos ir darbo ministro 2016 m. gruodžio 30 d. įsakymo Nr. A1-701</w:t>
      </w:r>
      <w:r w:rsidR="00DB6678">
        <w:rPr>
          <w:sz w:val="24"/>
        </w:rPr>
        <w:t xml:space="preserve"> </w:t>
      </w:r>
      <w:r w:rsidR="0068257F">
        <w:rPr>
          <w:sz w:val="24"/>
        </w:rPr>
        <w:t xml:space="preserve">„Dėl valstybės biudžeto specialių tikslinių dotacijų savivaldybių biudžetams </w:t>
      </w:r>
      <w:r w:rsidR="00DB6678">
        <w:rPr>
          <w:sz w:val="24"/>
        </w:rPr>
        <w:br/>
      </w:r>
      <w:r w:rsidR="0068257F">
        <w:rPr>
          <w:sz w:val="24"/>
        </w:rPr>
        <w:t xml:space="preserve">2017 metais paskirstymo savivaldybių administracijoms patvirtinimo“ pakeitimo“ Panevėžio rajono savivaldybei socialinėms paslaugoms papildomai skiriama 7,0 tūkst. eurų. Šios lėšos skiriamos </w:t>
      </w:r>
      <w:r w:rsidR="00877BE4">
        <w:rPr>
          <w:sz w:val="24"/>
        </w:rPr>
        <w:t>S</w:t>
      </w:r>
      <w:r w:rsidR="0068257F">
        <w:rPr>
          <w:sz w:val="24"/>
        </w:rPr>
        <w:t>avivaldybės administracijai.</w:t>
      </w:r>
    </w:p>
    <w:p w:rsidR="00DA0AE4" w:rsidRDefault="00DA0AE4" w:rsidP="00DB6678">
      <w:pPr>
        <w:suppressAutoHyphens w:val="0"/>
        <w:ind w:firstLine="720"/>
        <w:jc w:val="both"/>
        <w:rPr>
          <w:sz w:val="24"/>
        </w:rPr>
      </w:pPr>
    </w:p>
    <w:tbl>
      <w:tblPr>
        <w:tblpPr w:leftFromText="180" w:rightFromText="180" w:horzAnchor="margin" w:tblpXSpec="center" w:tblpY="-315"/>
        <w:tblW w:w="9860" w:type="dxa"/>
        <w:tblLayout w:type="fixed"/>
        <w:tblCellMar>
          <w:left w:w="30" w:type="dxa"/>
          <w:right w:w="30" w:type="dxa"/>
        </w:tblCellMar>
        <w:tblLook w:val="0000" w:firstRow="0" w:lastRow="0" w:firstColumn="0" w:lastColumn="0" w:noHBand="0" w:noVBand="0"/>
      </w:tblPr>
      <w:tblGrid>
        <w:gridCol w:w="9639"/>
        <w:gridCol w:w="141"/>
        <w:gridCol w:w="80"/>
      </w:tblGrid>
      <w:tr w:rsidR="00722C82" w:rsidTr="00144907">
        <w:trPr>
          <w:trHeight w:val="477"/>
        </w:trPr>
        <w:tc>
          <w:tcPr>
            <w:tcW w:w="9639" w:type="dxa"/>
          </w:tcPr>
          <w:p w:rsidR="00B54958" w:rsidRDefault="00DB6678" w:rsidP="00144907">
            <w:pPr>
              <w:jc w:val="both"/>
              <w:rPr>
                <w:sz w:val="24"/>
              </w:rPr>
            </w:pPr>
            <w:r>
              <w:rPr>
                <w:sz w:val="24"/>
              </w:rPr>
              <w:lastRenderedPageBreak/>
              <w:t xml:space="preserve">           </w:t>
            </w:r>
            <w:r w:rsidR="00DA0AE4">
              <w:rPr>
                <w:sz w:val="24"/>
              </w:rPr>
              <w:t xml:space="preserve">Lietuvos Respublikos švietimo ir mokslo ministro 2017 m. birželio 2d. įsakymu Nr. V-444 „Dėl Lietuvos Respublikos 2017 metų valstybės biudžeto lėšų, skirtų išlaidoms, susijusioms su pedagoginių darbuotojų skaičiaus optimizavimu, apmokėti, paskirstymo patvirtinimo“ Panevėžio rajono savivaldybei skiriama 12,3 tūkst. eurų valstybės biudžeto lėšų. Šios lėšos </w:t>
            </w:r>
            <w:r w:rsidR="00B54958">
              <w:rPr>
                <w:sz w:val="24"/>
              </w:rPr>
              <w:t xml:space="preserve"> ir 6,1 tūkst. eurų savivaldybės</w:t>
            </w:r>
            <w:r w:rsidR="00CF0E19">
              <w:rPr>
                <w:sz w:val="24"/>
              </w:rPr>
              <w:t xml:space="preserve"> biudžeto </w:t>
            </w:r>
            <w:r w:rsidR="00B54958">
              <w:rPr>
                <w:sz w:val="24"/>
              </w:rPr>
              <w:t xml:space="preserve"> lėšos</w:t>
            </w:r>
            <w:r w:rsidR="00CF0E19">
              <w:rPr>
                <w:sz w:val="24"/>
              </w:rPr>
              <w:t>, susijusios su mokytojų skaičiaus optimizavimu,</w:t>
            </w:r>
            <w:r w:rsidR="00B54958">
              <w:rPr>
                <w:sz w:val="24"/>
              </w:rPr>
              <w:t xml:space="preserve"> paskirstomos taip</w:t>
            </w:r>
            <w:r w:rsidR="00DA0AE4">
              <w:rPr>
                <w:sz w:val="24"/>
              </w:rPr>
              <w:t>:</w:t>
            </w:r>
          </w:p>
          <w:tbl>
            <w:tblPr>
              <w:tblStyle w:val="Lentelstinklelis"/>
              <w:tblW w:w="9096" w:type="dxa"/>
              <w:tblLayout w:type="fixed"/>
              <w:tblLook w:val="04A0" w:firstRow="1" w:lastRow="0" w:firstColumn="1" w:lastColumn="0" w:noHBand="0" w:noVBand="1"/>
            </w:tblPr>
            <w:tblGrid>
              <w:gridCol w:w="3398"/>
              <w:gridCol w:w="1502"/>
              <w:gridCol w:w="1095"/>
              <w:gridCol w:w="1503"/>
              <w:gridCol w:w="1598"/>
            </w:tblGrid>
            <w:tr w:rsidR="00D053E3" w:rsidTr="00D053E3">
              <w:trPr>
                <w:trHeight w:val="750"/>
              </w:trPr>
              <w:tc>
                <w:tcPr>
                  <w:tcW w:w="3398" w:type="dxa"/>
                </w:tcPr>
                <w:p w:rsidR="00D053E3" w:rsidRDefault="00D053E3" w:rsidP="00F43DD2">
                  <w:pPr>
                    <w:framePr w:hSpace="180" w:wrap="around" w:hAnchor="margin" w:xAlign="center" w:y="-315"/>
                    <w:jc w:val="both"/>
                    <w:rPr>
                      <w:sz w:val="24"/>
                    </w:rPr>
                  </w:pPr>
                  <w:r>
                    <w:rPr>
                      <w:sz w:val="24"/>
                    </w:rPr>
                    <w:t>Įstaigos pavadinimas</w:t>
                  </w:r>
                </w:p>
              </w:tc>
              <w:tc>
                <w:tcPr>
                  <w:tcW w:w="1502" w:type="dxa"/>
                </w:tcPr>
                <w:p w:rsidR="00D053E3" w:rsidRDefault="00D053E3" w:rsidP="00F43DD2">
                  <w:pPr>
                    <w:framePr w:hSpace="180" w:wrap="around" w:hAnchor="margin" w:xAlign="center" w:y="-315"/>
                    <w:jc w:val="both"/>
                    <w:rPr>
                      <w:sz w:val="24"/>
                    </w:rPr>
                  </w:pPr>
                  <w:r>
                    <w:rPr>
                      <w:sz w:val="24"/>
                    </w:rPr>
                    <w:t>Finansavimo</w:t>
                  </w:r>
                </w:p>
                <w:p w:rsidR="00D053E3" w:rsidRDefault="00D053E3" w:rsidP="00F43DD2">
                  <w:pPr>
                    <w:framePr w:hSpace="180" w:wrap="around" w:hAnchor="margin" w:xAlign="center" w:y="-315"/>
                    <w:jc w:val="both"/>
                    <w:rPr>
                      <w:sz w:val="24"/>
                    </w:rPr>
                  </w:pPr>
                  <w:r>
                    <w:rPr>
                      <w:sz w:val="24"/>
                    </w:rPr>
                    <w:t>šaltinis</w:t>
                  </w:r>
                </w:p>
              </w:tc>
              <w:tc>
                <w:tcPr>
                  <w:tcW w:w="1095" w:type="dxa"/>
                  <w:tcBorders>
                    <w:right w:val="single" w:sz="4" w:space="0" w:color="auto"/>
                  </w:tcBorders>
                </w:tcPr>
                <w:p w:rsidR="00D053E3" w:rsidRDefault="00D053E3" w:rsidP="00F43DD2">
                  <w:pPr>
                    <w:framePr w:hSpace="180" w:wrap="around" w:hAnchor="margin" w:xAlign="center" w:y="-315"/>
                    <w:jc w:val="both"/>
                    <w:rPr>
                      <w:sz w:val="24"/>
                    </w:rPr>
                  </w:pPr>
                  <w:r>
                    <w:rPr>
                      <w:sz w:val="24"/>
                    </w:rPr>
                    <w:t>Iš viso</w:t>
                  </w:r>
                </w:p>
              </w:tc>
              <w:tc>
                <w:tcPr>
                  <w:tcW w:w="1503" w:type="dxa"/>
                  <w:tcBorders>
                    <w:top w:val="single" w:sz="4" w:space="0" w:color="auto"/>
                    <w:left w:val="single" w:sz="4" w:space="0" w:color="auto"/>
                    <w:bottom w:val="single" w:sz="4" w:space="0" w:color="auto"/>
                    <w:right w:val="nil"/>
                  </w:tcBorders>
                </w:tcPr>
                <w:p w:rsidR="00D053E3" w:rsidRDefault="00D053E3" w:rsidP="00F43DD2">
                  <w:pPr>
                    <w:framePr w:hSpace="180" w:wrap="around" w:hAnchor="margin" w:xAlign="center" w:y="-315"/>
                    <w:jc w:val="both"/>
                    <w:rPr>
                      <w:sz w:val="24"/>
                    </w:rPr>
                  </w:pPr>
                  <w:r>
                    <w:rPr>
                      <w:sz w:val="24"/>
                    </w:rPr>
                    <w:t xml:space="preserve">                Darbo</w:t>
                  </w:r>
                </w:p>
                <w:p w:rsidR="00D053E3" w:rsidRPr="00707C5F" w:rsidRDefault="00D053E3" w:rsidP="00F43DD2">
                  <w:pPr>
                    <w:framePr w:hSpace="180" w:wrap="around" w:hAnchor="margin" w:xAlign="center" w:y="-315"/>
                    <w:rPr>
                      <w:sz w:val="24"/>
                    </w:rPr>
                  </w:pPr>
                  <w:r>
                    <w:rPr>
                      <w:sz w:val="24"/>
                    </w:rPr>
                    <w:t>užmokesčiui</w:t>
                  </w:r>
                </w:p>
              </w:tc>
              <w:tc>
                <w:tcPr>
                  <w:tcW w:w="1598" w:type="dxa"/>
                  <w:tcBorders>
                    <w:top w:val="single" w:sz="4" w:space="0" w:color="auto"/>
                    <w:left w:val="nil"/>
                    <w:bottom w:val="single" w:sz="4" w:space="0" w:color="auto"/>
                    <w:right w:val="single" w:sz="4" w:space="0" w:color="auto"/>
                  </w:tcBorders>
                </w:tcPr>
                <w:p w:rsidR="00D053E3" w:rsidRDefault="00D053E3" w:rsidP="00F43DD2">
                  <w:pPr>
                    <w:framePr w:hSpace="180" w:wrap="around" w:hAnchor="margin" w:xAlign="center" w:y="-315"/>
                    <w:jc w:val="both"/>
                    <w:rPr>
                      <w:sz w:val="24"/>
                    </w:rPr>
                  </w:pPr>
                  <w:bookmarkStart w:id="0" w:name="_GoBack"/>
                  <w:bookmarkEnd w:id="0"/>
                  <w:r>
                    <w:rPr>
                      <w:sz w:val="24"/>
                    </w:rPr>
                    <w:t>Iš jų:</w:t>
                  </w:r>
                </w:p>
                <w:p w:rsidR="00D053E3" w:rsidRDefault="00D053E3" w:rsidP="00F43DD2">
                  <w:pPr>
                    <w:framePr w:hSpace="180" w:wrap="around" w:hAnchor="margin" w:xAlign="center" w:y="-315"/>
                    <w:jc w:val="both"/>
                    <w:rPr>
                      <w:sz w:val="24"/>
                    </w:rPr>
                  </w:pPr>
                  <w:proofErr w:type="spellStart"/>
                  <w:r>
                    <w:rPr>
                      <w:sz w:val="24"/>
                    </w:rPr>
                    <w:t>Soc</w:t>
                  </w:r>
                  <w:proofErr w:type="spellEnd"/>
                  <w:r>
                    <w:rPr>
                      <w:sz w:val="24"/>
                    </w:rPr>
                    <w:t>. Draudimo</w:t>
                  </w:r>
                </w:p>
                <w:p w:rsidR="00D053E3" w:rsidRDefault="00D053E3" w:rsidP="00F43DD2">
                  <w:pPr>
                    <w:framePr w:hSpace="180" w:wrap="around" w:hAnchor="margin" w:xAlign="center" w:y="-315"/>
                    <w:jc w:val="both"/>
                    <w:rPr>
                      <w:sz w:val="24"/>
                    </w:rPr>
                  </w:pPr>
                  <w:r>
                    <w:rPr>
                      <w:sz w:val="24"/>
                    </w:rPr>
                    <w:t>įnašams</w:t>
                  </w:r>
                </w:p>
                <w:p w:rsidR="00D053E3" w:rsidRDefault="00D053E3" w:rsidP="00F43DD2">
                  <w:pPr>
                    <w:framePr w:hSpace="180" w:wrap="around" w:hAnchor="margin" w:xAlign="center" w:y="-315"/>
                    <w:jc w:val="both"/>
                    <w:rPr>
                      <w:sz w:val="24"/>
                    </w:rPr>
                  </w:pPr>
                </w:p>
              </w:tc>
            </w:tr>
            <w:tr w:rsidR="00D053E3" w:rsidTr="00D053E3">
              <w:tc>
                <w:tcPr>
                  <w:tcW w:w="3398" w:type="dxa"/>
                </w:tcPr>
                <w:p w:rsidR="00D053E3" w:rsidRDefault="00D053E3" w:rsidP="00F43DD2">
                  <w:pPr>
                    <w:framePr w:hSpace="180" w:wrap="around" w:hAnchor="margin" w:xAlign="center" w:y="-315"/>
                    <w:jc w:val="both"/>
                    <w:rPr>
                      <w:sz w:val="24"/>
                    </w:rPr>
                  </w:pPr>
                  <w:r>
                    <w:rPr>
                      <w:sz w:val="24"/>
                    </w:rPr>
                    <w:t>Krekenavos Mykolo Antanaičio gimnazija</w:t>
                  </w:r>
                </w:p>
              </w:tc>
              <w:tc>
                <w:tcPr>
                  <w:tcW w:w="1502" w:type="dxa"/>
                </w:tcPr>
                <w:p w:rsidR="00D053E3" w:rsidRDefault="00D053E3" w:rsidP="00F43DD2">
                  <w:pPr>
                    <w:framePr w:hSpace="180" w:wrap="around" w:hAnchor="margin" w:xAlign="center" w:y="-315"/>
                    <w:jc w:val="both"/>
                    <w:rPr>
                      <w:sz w:val="24"/>
                    </w:rPr>
                  </w:pPr>
                  <w:r>
                    <w:rPr>
                      <w:sz w:val="24"/>
                    </w:rPr>
                    <w:t>4LRVB(T)</w:t>
                  </w:r>
                </w:p>
                <w:p w:rsidR="00D053E3" w:rsidRDefault="00D053E3" w:rsidP="00F43DD2">
                  <w:pPr>
                    <w:framePr w:hSpace="180" w:wrap="around" w:hAnchor="margin" w:xAlign="center" w:y="-315"/>
                    <w:jc w:val="both"/>
                    <w:rPr>
                      <w:sz w:val="24"/>
                    </w:rPr>
                  </w:pPr>
                  <w:r>
                    <w:rPr>
                      <w:sz w:val="24"/>
                    </w:rPr>
                    <w:t>5SB</w:t>
                  </w:r>
                </w:p>
              </w:tc>
              <w:tc>
                <w:tcPr>
                  <w:tcW w:w="1095" w:type="dxa"/>
                </w:tcPr>
                <w:p w:rsidR="00D053E3" w:rsidRDefault="00D053E3" w:rsidP="00F43DD2">
                  <w:pPr>
                    <w:framePr w:hSpace="180" w:wrap="around" w:hAnchor="margin" w:xAlign="center" w:y="-315"/>
                    <w:jc w:val="both"/>
                    <w:rPr>
                      <w:sz w:val="24"/>
                    </w:rPr>
                  </w:pPr>
                  <w:r>
                    <w:rPr>
                      <w:sz w:val="24"/>
                    </w:rPr>
                    <w:t>4,6</w:t>
                  </w:r>
                </w:p>
                <w:p w:rsidR="00D053E3" w:rsidRDefault="00D053E3" w:rsidP="00F43DD2">
                  <w:pPr>
                    <w:framePr w:hSpace="180" w:wrap="around" w:hAnchor="margin" w:xAlign="center" w:y="-315"/>
                    <w:jc w:val="both"/>
                    <w:rPr>
                      <w:sz w:val="24"/>
                    </w:rPr>
                  </w:pPr>
                  <w:r>
                    <w:rPr>
                      <w:sz w:val="24"/>
                    </w:rPr>
                    <w:t>2,3</w:t>
                  </w:r>
                </w:p>
              </w:tc>
              <w:tc>
                <w:tcPr>
                  <w:tcW w:w="1503" w:type="dxa"/>
                  <w:tcBorders>
                    <w:top w:val="single" w:sz="4" w:space="0" w:color="auto"/>
                  </w:tcBorders>
                </w:tcPr>
                <w:p w:rsidR="00D053E3" w:rsidRDefault="00D053E3" w:rsidP="00F43DD2">
                  <w:pPr>
                    <w:framePr w:hSpace="180" w:wrap="around" w:hAnchor="margin" w:xAlign="center" w:y="-315"/>
                    <w:jc w:val="both"/>
                    <w:rPr>
                      <w:sz w:val="24"/>
                    </w:rPr>
                  </w:pPr>
                  <w:r>
                    <w:rPr>
                      <w:sz w:val="24"/>
                    </w:rPr>
                    <w:t>3,5</w:t>
                  </w:r>
                </w:p>
                <w:p w:rsidR="00D053E3" w:rsidRDefault="00D053E3" w:rsidP="00F43DD2">
                  <w:pPr>
                    <w:framePr w:hSpace="180" w:wrap="around" w:hAnchor="margin" w:xAlign="center" w:y="-315"/>
                    <w:jc w:val="both"/>
                    <w:rPr>
                      <w:sz w:val="24"/>
                    </w:rPr>
                  </w:pPr>
                  <w:r>
                    <w:rPr>
                      <w:sz w:val="24"/>
                    </w:rPr>
                    <w:t>1,8</w:t>
                  </w:r>
                </w:p>
              </w:tc>
              <w:tc>
                <w:tcPr>
                  <w:tcW w:w="1598" w:type="dxa"/>
                  <w:tcBorders>
                    <w:top w:val="single" w:sz="4" w:space="0" w:color="auto"/>
                  </w:tcBorders>
                </w:tcPr>
                <w:p w:rsidR="00D053E3" w:rsidRDefault="00D053E3" w:rsidP="00F43DD2">
                  <w:pPr>
                    <w:framePr w:hSpace="180" w:wrap="around" w:hAnchor="margin" w:xAlign="center" w:y="-315"/>
                    <w:jc w:val="both"/>
                    <w:rPr>
                      <w:sz w:val="24"/>
                    </w:rPr>
                  </w:pPr>
                  <w:r>
                    <w:rPr>
                      <w:sz w:val="24"/>
                    </w:rPr>
                    <w:t>1,1</w:t>
                  </w:r>
                </w:p>
                <w:p w:rsidR="00D053E3" w:rsidRDefault="00D053E3" w:rsidP="00F43DD2">
                  <w:pPr>
                    <w:framePr w:hSpace="180" w:wrap="around" w:hAnchor="margin" w:xAlign="center" w:y="-315"/>
                    <w:jc w:val="both"/>
                    <w:rPr>
                      <w:sz w:val="24"/>
                    </w:rPr>
                  </w:pPr>
                  <w:r>
                    <w:rPr>
                      <w:sz w:val="24"/>
                    </w:rPr>
                    <w:t>0,5</w:t>
                  </w:r>
                </w:p>
              </w:tc>
            </w:tr>
            <w:tr w:rsidR="00D053E3" w:rsidTr="00D053E3">
              <w:tc>
                <w:tcPr>
                  <w:tcW w:w="3398" w:type="dxa"/>
                </w:tcPr>
                <w:p w:rsidR="00D053E3" w:rsidRDefault="00D053E3" w:rsidP="00F43DD2">
                  <w:pPr>
                    <w:framePr w:hSpace="180" w:wrap="around" w:hAnchor="margin" w:xAlign="center" w:y="-315"/>
                    <w:jc w:val="both"/>
                    <w:rPr>
                      <w:sz w:val="24"/>
                    </w:rPr>
                  </w:pPr>
                  <w:r>
                    <w:rPr>
                      <w:sz w:val="24"/>
                    </w:rPr>
                    <w:t>Ramygalos gimnazija</w:t>
                  </w:r>
                </w:p>
              </w:tc>
              <w:tc>
                <w:tcPr>
                  <w:tcW w:w="1502" w:type="dxa"/>
                </w:tcPr>
                <w:p w:rsidR="00D053E3" w:rsidRDefault="00D053E3" w:rsidP="00F43DD2">
                  <w:pPr>
                    <w:framePr w:hSpace="180" w:wrap="around" w:hAnchor="margin" w:xAlign="center" w:y="-315"/>
                    <w:jc w:val="both"/>
                    <w:rPr>
                      <w:sz w:val="24"/>
                    </w:rPr>
                  </w:pPr>
                  <w:r>
                    <w:rPr>
                      <w:sz w:val="24"/>
                    </w:rPr>
                    <w:t>4LRVB(T)</w:t>
                  </w:r>
                </w:p>
                <w:p w:rsidR="00D053E3" w:rsidRDefault="00D053E3" w:rsidP="00F43DD2">
                  <w:pPr>
                    <w:framePr w:hSpace="180" w:wrap="around" w:hAnchor="margin" w:xAlign="center" w:y="-315"/>
                    <w:jc w:val="both"/>
                    <w:rPr>
                      <w:sz w:val="24"/>
                    </w:rPr>
                  </w:pPr>
                  <w:r>
                    <w:rPr>
                      <w:sz w:val="24"/>
                    </w:rPr>
                    <w:t>5SB</w:t>
                  </w:r>
                </w:p>
              </w:tc>
              <w:tc>
                <w:tcPr>
                  <w:tcW w:w="1095" w:type="dxa"/>
                </w:tcPr>
                <w:p w:rsidR="00D053E3" w:rsidRDefault="00D053E3" w:rsidP="00F43DD2">
                  <w:pPr>
                    <w:framePr w:hSpace="180" w:wrap="around" w:hAnchor="margin" w:xAlign="center" w:y="-315"/>
                    <w:jc w:val="both"/>
                    <w:rPr>
                      <w:sz w:val="24"/>
                    </w:rPr>
                  </w:pPr>
                  <w:r>
                    <w:rPr>
                      <w:sz w:val="24"/>
                    </w:rPr>
                    <w:t>2,5</w:t>
                  </w:r>
                </w:p>
                <w:p w:rsidR="00D053E3" w:rsidRDefault="00D053E3" w:rsidP="00F43DD2">
                  <w:pPr>
                    <w:framePr w:hSpace="180" w:wrap="around" w:hAnchor="margin" w:xAlign="center" w:y="-315"/>
                    <w:jc w:val="both"/>
                    <w:rPr>
                      <w:sz w:val="24"/>
                    </w:rPr>
                  </w:pPr>
                  <w:r>
                    <w:rPr>
                      <w:sz w:val="24"/>
                    </w:rPr>
                    <w:t>1,2</w:t>
                  </w:r>
                </w:p>
              </w:tc>
              <w:tc>
                <w:tcPr>
                  <w:tcW w:w="1503" w:type="dxa"/>
                </w:tcPr>
                <w:p w:rsidR="00D053E3" w:rsidRDefault="00D053E3" w:rsidP="00F43DD2">
                  <w:pPr>
                    <w:framePr w:hSpace="180" w:wrap="around" w:hAnchor="margin" w:xAlign="center" w:y="-315"/>
                    <w:jc w:val="both"/>
                    <w:rPr>
                      <w:sz w:val="24"/>
                    </w:rPr>
                  </w:pPr>
                  <w:r>
                    <w:rPr>
                      <w:sz w:val="24"/>
                    </w:rPr>
                    <w:t>1,9</w:t>
                  </w:r>
                </w:p>
                <w:p w:rsidR="00D053E3" w:rsidRDefault="00D053E3" w:rsidP="00F43DD2">
                  <w:pPr>
                    <w:framePr w:hSpace="180" w:wrap="around" w:hAnchor="margin" w:xAlign="center" w:y="-315"/>
                    <w:jc w:val="both"/>
                    <w:rPr>
                      <w:sz w:val="24"/>
                    </w:rPr>
                  </w:pPr>
                  <w:r>
                    <w:rPr>
                      <w:sz w:val="24"/>
                    </w:rPr>
                    <w:t>0,9</w:t>
                  </w:r>
                </w:p>
              </w:tc>
              <w:tc>
                <w:tcPr>
                  <w:tcW w:w="1598" w:type="dxa"/>
                </w:tcPr>
                <w:p w:rsidR="00D053E3" w:rsidRDefault="00D053E3" w:rsidP="00F43DD2">
                  <w:pPr>
                    <w:framePr w:hSpace="180" w:wrap="around" w:hAnchor="margin" w:xAlign="center" w:y="-315"/>
                    <w:jc w:val="both"/>
                    <w:rPr>
                      <w:sz w:val="24"/>
                    </w:rPr>
                  </w:pPr>
                  <w:r>
                    <w:rPr>
                      <w:sz w:val="24"/>
                    </w:rPr>
                    <w:t>0,6</w:t>
                  </w:r>
                </w:p>
                <w:p w:rsidR="00D053E3" w:rsidRDefault="00D053E3" w:rsidP="00F43DD2">
                  <w:pPr>
                    <w:framePr w:hSpace="180" w:wrap="around" w:hAnchor="margin" w:xAlign="center" w:y="-315"/>
                    <w:jc w:val="both"/>
                    <w:rPr>
                      <w:sz w:val="24"/>
                    </w:rPr>
                  </w:pPr>
                  <w:r>
                    <w:rPr>
                      <w:sz w:val="24"/>
                    </w:rPr>
                    <w:t>0,3</w:t>
                  </w:r>
                </w:p>
              </w:tc>
            </w:tr>
            <w:tr w:rsidR="00D053E3" w:rsidTr="00D053E3">
              <w:tc>
                <w:tcPr>
                  <w:tcW w:w="3398" w:type="dxa"/>
                </w:tcPr>
                <w:p w:rsidR="00D053E3" w:rsidRDefault="00D053E3" w:rsidP="00F43DD2">
                  <w:pPr>
                    <w:framePr w:hSpace="180" w:wrap="around" w:hAnchor="margin" w:xAlign="center" w:y="-315"/>
                    <w:jc w:val="both"/>
                    <w:rPr>
                      <w:sz w:val="24"/>
                    </w:rPr>
                  </w:pPr>
                  <w:proofErr w:type="spellStart"/>
                  <w:r>
                    <w:rPr>
                      <w:sz w:val="24"/>
                    </w:rPr>
                    <w:t>Velžio</w:t>
                  </w:r>
                  <w:proofErr w:type="spellEnd"/>
                  <w:r>
                    <w:rPr>
                      <w:sz w:val="24"/>
                    </w:rPr>
                    <w:t xml:space="preserve"> gimnazija</w:t>
                  </w:r>
                </w:p>
              </w:tc>
              <w:tc>
                <w:tcPr>
                  <w:tcW w:w="1502" w:type="dxa"/>
                </w:tcPr>
                <w:p w:rsidR="00D053E3" w:rsidRDefault="00D053E3" w:rsidP="00F43DD2">
                  <w:pPr>
                    <w:framePr w:hSpace="180" w:wrap="around" w:hAnchor="margin" w:xAlign="center" w:y="-315"/>
                    <w:jc w:val="both"/>
                    <w:rPr>
                      <w:sz w:val="24"/>
                    </w:rPr>
                  </w:pPr>
                  <w:r>
                    <w:rPr>
                      <w:sz w:val="24"/>
                    </w:rPr>
                    <w:t>4LRVB(T)</w:t>
                  </w:r>
                </w:p>
              </w:tc>
              <w:tc>
                <w:tcPr>
                  <w:tcW w:w="1095" w:type="dxa"/>
                </w:tcPr>
                <w:p w:rsidR="00D053E3" w:rsidRDefault="00D053E3" w:rsidP="00F43DD2">
                  <w:pPr>
                    <w:framePr w:hSpace="180" w:wrap="around" w:hAnchor="margin" w:xAlign="center" w:y="-315"/>
                    <w:jc w:val="both"/>
                    <w:rPr>
                      <w:sz w:val="24"/>
                    </w:rPr>
                  </w:pPr>
                  <w:r>
                    <w:rPr>
                      <w:sz w:val="24"/>
                    </w:rPr>
                    <w:t>5,2</w:t>
                  </w:r>
                </w:p>
                <w:p w:rsidR="00D053E3" w:rsidRDefault="00D053E3" w:rsidP="00F43DD2">
                  <w:pPr>
                    <w:framePr w:hSpace="180" w:wrap="around" w:hAnchor="margin" w:xAlign="center" w:y="-315"/>
                    <w:jc w:val="both"/>
                    <w:rPr>
                      <w:sz w:val="24"/>
                    </w:rPr>
                  </w:pPr>
                  <w:r>
                    <w:rPr>
                      <w:sz w:val="24"/>
                    </w:rPr>
                    <w:t>2,6</w:t>
                  </w:r>
                </w:p>
              </w:tc>
              <w:tc>
                <w:tcPr>
                  <w:tcW w:w="1503" w:type="dxa"/>
                </w:tcPr>
                <w:p w:rsidR="00D053E3" w:rsidRDefault="00D053E3" w:rsidP="00F43DD2">
                  <w:pPr>
                    <w:framePr w:hSpace="180" w:wrap="around" w:hAnchor="margin" w:xAlign="center" w:y="-315"/>
                    <w:jc w:val="both"/>
                    <w:rPr>
                      <w:sz w:val="24"/>
                    </w:rPr>
                  </w:pPr>
                  <w:r>
                    <w:rPr>
                      <w:sz w:val="24"/>
                    </w:rPr>
                    <w:t>4,0</w:t>
                  </w:r>
                </w:p>
                <w:p w:rsidR="00D053E3" w:rsidRDefault="00D053E3" w:rsidP="00F43DD2">
                  <w:pPr>
                    <w:framePr w:hSpace="180" w:wrap="around" w:hAnchor="margin" w:xAlign="center" w:y="-315"/>
                    <w:jc w:val="both"/>
                    <w:rPr>
                      <w:sz w:val="24"/>
                    </w:rPr>
                  </w:pPr>
                  <w:r>
                    <w:rPr>
                      <w:sz w:val="24"/>
                    </w:rPr>
                    <w:t>2,0</w:t>
                  </w:r>
                </w:p>
              </w:tc>
              <w:tc>
                <w:tcPr>
                  <w:tcW w:w="1598" w:type="dxa"/>
                </w:tcPr>
                <w:p w:rsidR="00D053E3" w:rsidRDefault="00D053E3" w:rsidP="00F43DD2">
                  <w:pPr>
                    <w:framePr w:hSpace="180" w:wrap="around" w:hAnchor="margin" w:xAlign="center" w:y="-315"/>
                    <w:jc w:val="both"/>
                    <w:rPr>
                      <w:sz w:val="24"/>
                    </w:rPr>
                  </w:pPr>
                  <w:r>
                    <w:rPr>
                      <w:sz w:val="24"/>
                    </w:rPr>
                    <w:t>1,2</w:t>
                  </w:r>
                </w:p>
                <w:p w:rsidR="00D053E3" w:rsidRDefault="00D053E3" w:rsidP="00F43DD2">
                  <w:pPr>
                    <w:framePr w:hSpace="180" w:wrap="around" w:hAnchor="margin" w:xAlign="center" w:y="-315"/>
                    <w:jc w:val="both"/>
                    <w:rPr>
                      <w:sz w:val="24"/>
                    </w:rPr>
                  </w:pPr>
                  <w:r>
                    <w:rPr>
                      <w:sz w:val="24"/>
                    </w:rPr>
                    <w:t>0,6</w:t>
                  </w:r>
                </w:p>
              </w:tc>
            </w:tr>
            <w:tr w:rsidR="00D053E3" w:rsidTr="00D053E3">
              <w:tc>
                <w:tcPr>
                  <w:tcW w:w="3398" w:type="dxa"/>
                </w:tcPr>
                <w:p w:rsidR="00D053E3" w:rsidRDefault="00D053E3" w:rsidP="00F43DD2">
                  <w:pPr>
                    <w:framePr w:hSpace="180" w:wrap="around" w:hAnchor="margin" w:xAlign="center" w:y="-315"/>
                    <w:jc w:val="right"/>
                    <w:rPr>
                      <w:sz w:val="24"/>
                    </w:rPr>
                  </w:pPr>
                  <w:r>
                    <w:rPr>
                      <w:sz w:val="24"/>
                    </w:rPr>
                    <w:t>Viso</w:t>
                  </w:r>
                </w:p>
              </w:tc>
              <w:tc>
                <w:tcPr>
                  <w:tcW w:w="1502" w:type="dxa"/>
                </w:tcPr>
                <w:p w:rsidR="00D053E3" w:rsidRDefault="00D053E3" w:rsidP="00F43DD2">
                  <w:pPr>
                    <w:framePr w:hSpace="180" w:wrap="around" w:hAnchor="margin" w:xAlign="center" w:y="-315"/>
                    <w:jc w:val="both"/>
                    <w:rPr>
                      <w:sz w:val="24"/>
                    </w:rPr>
                  </w:pPr>
                  <w:r>
                    <w:rPr>
                      <w:sz w:val="24"/>
                    </w:rPr>
                    <w:t>4LRVB(T)</w:t>
                  </w:r>
                </w:p>
              </w:tc>
              <w:tc>
                <w:tcPr>
                  <w:tcW w:w="1095" w:type="dxa"/>
                </w:tcPr>
                <w:p w:rsidR="00D053E3" w:rsidRDefault="00D053E3" w:rsidP="00F43DD2">
                  <w:pPr>
                    <w:framePr w:hSpace="180" w:wrap="around" w:hAnchor="margin" w:xAlign="center" w:y="-315"/>
                    <w:jc w:val="both"/>
                    <w:rPr>
                      <w:sz w:val="24"/>
                    </w:rPr>
                  </w:pPr>
                  <w:r>
                    <w:rPr>
                      <w:sz w:val="24"/>
                    </w:rPr>
                    <w:t>12,3</w:t>
                  </w:r>
                </w:p>
              </w:tc>
              <w:tc>
                <w:tcPr>
                  <w:tcW w:w="1503" w:type="dxa"/>
                </w:tcPr>
                <w:p w:rsidR="00D053E3" w:rsidRDefault="00D053E3" w:rsidP="00F43DD2">
                  <w:pPr>
                    <w:framePr w:hSpace="180" w:wrap="around" w:hAnchor="margin" w:xAlign="center" w:y="-315"/>
                    <w:jc w:val="both"/>
                    <w:rPr>
                      <w:sz w:val="24"/>
                    </w:rPr>
                  </w:pPr>
                  <w:r>
                    <w:rPr>
                      <w:sz w:val="24"/>
                    </w:rPr>
                    <w:t>9,4</w:t>
                  </w:r>
                </w:p>
              </w:tc>
              <w:tc>
                <w:tcPr>
                  <w:tcW w:w="1598" w:type="dxa"/>
                </w:tcPr>
                <w:p w:rsidR="00D053E3" w:rsidRDefault="00D053E3" w:rsidP="00F43DD2">
                  <w:pPr>
                    <w:framePr w:hSpace="180" w:wrap="around" w:hAnchor="margin" w:xAlign="center" w:y="-315"/>
                    <w:jc w:val="both"/>
                    <w:rPr>
                      <w:sz w:val="24"/>
                    </w:rPr>
                  </w:pPr>
                  <w:r>
                    <w:rPr>
                      <w:sz w:val="24"/>
                    </w:rPr>
                    <w:t>2,9</w:t>
                  </w:r>
                </w:p>
              </w:tc>
            </w:tr>
            <w:tr w:rsidR="00D053E3" w:rsidTr="00D053E3">
              <w:tc>
                <w:tcPr>
                  <w:tcW w:w="3398" w:type="dxa"/>
                </w:tcPr>
                <w:p w:rsidR="00D053E3" w:rsidRDefault="00D053E3" w:rsidP="00F43DD2">
                  <w:pPr>
                    <w:framePr w:hSpace="180" w:wrap="around" w:hAnchor="margin" w:xAlign="center" w:y="-315"/>
                    <w:jc w:val="right"/>
                    <w:rPr>
                      <w:sz w:val="24"/>
                    </w:rPr>
                  </w:pPr>
                  <w:r>
                    <w:rPr>
                      <w:sz w:val="24"/>
                    </w:rPr>
                    <w:t>Viso</w:t>
                  </w:r>
                </w:p>
              </w:tc>
              <w:tc>
                <w:tcPr>
                  <w:tcW w:w="1502" w:type="dxa"/>
                </w:tcPr>
                <w:p w:rsidR="00D053E3" w:rsidRDefault="00D053E3" w:rsidP="00F43DD2">
                  <w:pPr>
                    <w:framePr w:hSpace="180" w:wrap="around" w:hAnchor="margin" w:xAlign="center" w:y="-315"/>
                    <w:jc w:val="both"/>
                    <w:rPr>
                      <w:sz w:val="24"/>
                    </w:rPr>
                  </w:pPr>
                  <w:r>
                    <w:rPr>
                      <w:sz w:val="24"/>
                    </w:rPr>
                    <w:t>5SB</w:t>
                  </w:r>
                </w:p>
              </w:tc>
              <w:tc>
                <w:tcPr>
                  <w:tcW w:w="1095" w:type="dxa"/>
                </w:tcPr>
                <w:p w:rsidR="00D053E3" w:rsidRDefault="00D053E3" w:rsidP="00F43DD2">
                  <w:pPr>
                    <w:framePr w:hSpace="180" w:wrap="around" w:hAnchor="margin" w:xAlign="center" w:y="-315"/>
                    <w:jc w:val="both"/>
                    <w:rPr>
                      <w:sz w:val="24"/>
                    </w:rPr>
                  </w:pPr>
                  <w:r>
                    <w:rPr>
                      <w:sz w:val="24"/>
                    </w:rPr>
                    <w:t>6,1</w:t>
                  </w:r>
                </w:p>
              </w:tc>
              <w:tc>
                <w:tcPr>
                  <w:tcW w:w="1503" w:type="dxa"/>
                </w:tcPr>
                <w:p w:rsidR="00D053E3" w:rsidRDefault="00D053E3" w:rsidP="00F43DD2">
                  <w:pPr>
                    <w:framePr w:hSpace="180" w:wrap="around" w:hAnchor="margin" w:xAlign="center" w:y="-315"/>
                    <w:jc w:val="both"/>
                    <w:rPr>
                      <w:sz w:val="24"/>
                    </w:rPr>
                  </w:pPr>
                  <w:r>
                    <w:rPr>
                      <w:sz w:val="24"/>
                    </w:rPr>
                    <w:t>4,7</w:t>
                  </w:r>
                </w:p>
              </w:tc>
              <w:tc>
                <w:tcPr>
                  <w:tcW w:w="1598" w:type="dxa"/>
                </w:tcPr>
                <w:p w:rsidR="00D053E3" w:rsidRDefault="00D053E3" w:rsidP="00F43DD2">
                  <w:pPr>
                    <w:framePr w:hSpace="180" w:wrap="around" w:hAnchor="margin" w:xAlign="center" w:y="-315"/>
                    <w:jc w:val="both"/>
                    <w:rPr>
                      <w:sz w:val="24"/>
                    </w:rPr>
                  </w:pPr>
                  <w:r>
                    <w:rPr>
                      <w:sz w:val="24"/>
                    </w:rPr>
                    <w:t>1,4</w:t>
                  </w:r>
                </w:p>
              </w:tc>
            </w:tr>
            <w:tr w:rsidR="00D053E3" w:rsidTr="00D053E3">
              <w:tc>
                <w:tcPr>
                  <w:tcW w:w="3398" w:type="dxa"/>
                </w:tcPr>
                <w:p w:rsidR="00D053E3" w:rsidRDefault="00D053E3" w:rsidP="00F43DD2">
                  <w:pPr>
                    <w:framePr w:hSpace="180" w:wrap="around" w:hAnchor="margin" w:xAlign="center" w:y="-315"/>
                    <w:jc w:val="right"/>
                    <w:rPr>
                      <w:sz w:val="24"/>
                    </w:rPr>
                  </w:pPr>
                  <w:r>
                    <w:rPr>
                      <w:sz w:val="24"/>
                    </w:rPr>
                    <w:t>Iš viso</w:t>
                  </w:r>
                </w:p>
              </w:tc>
              <w:tc>
                <w:tcPr>
                  <w:tcW w:w="1502" w:type="dxa"/>
                </w:tcPr>
                <w:p w:rsidR="00D053E3" w:rsidRDefault="00D053E3" w:rsidP="00F43DD2">
                  <w:pPr>
                    <w:framePr w:hSpace="180" w:wrap="around" w:hAnchor="margin" w:xAlign="center" w:y="-315"/>
                    <w:jc w:val="both"/>
                    <w:rPr>
                      <w:sz w:val="24"/>
                    </w:rPr>
                  </w:pPr>
                </w:p>
              </w:tc>
              <w:tc>
                <w:tcPr>
                  <w:tcW w:w="1095" w:type="dxa"/>
                </w:tcPr>
                <w:p w:rsidR="00D053E3" w:rsidRDefault="00D053E3" w:rsidP="00F43DD2">
                  <w:pPr>
                    <w:framePr w:hSpace="180" w:wrap="around" w:hAnchor="margin" w:xAlign="center" w:y="-315"/>
                    <w:jc w:val="both"/>
                    <w:rPr>
                      <w:sz w:val="24"/>
                    </w:rPr>
                  </w:pPr>
                  <w:r>
                    <w:rPr>
                      <w:sz w:val="24"/>
                    </w:rPr>
                    <w:t>18,4</w:t>
                  </w:r>
                </w:p>
              </w:tc>
              <w:tc>
                <w:tcPr>
                  <w:tcW w:w="1503" w:type="dxa"/>
                </w:tcPr>
                <w:p w:rsidR="00D053E3" w:rsidRDefault="00D053E3" w:rsidP="00F43DD2">
                  <w:pPr>
                    <w:framePr w:hSpace="180" w:wrap="around" w:hAnchor="margin" w:xAlign="center" w:y="-315"/>
                    <w:jc w:val="both"/>
                    <w:rPr>
                      <w:sz w:val="24"/>
                    </w:rPr>
                  </w:pPr>
                  <w:r>
                    <w:rPr>
                      <w:sz w:val="24"/>
                    </w:rPr>
                    <w:t>14,1</w:t>
                  </w:r>
                </w:p>
              </w:tc>
              <w:tc>
                <w:tcPr>
                  <w:tcW w:w="1598" w:type="dxa"/>
                </w:tcPr>
                <w:p w:rsidR="00D053E3" w:rsidRDefault="00D053E3" w:rsidP="00F43DD2">
                  <w:pPr>
                    <w:framePr w:hSpace="180" w:wrap="around" w:hAnchor="margin" w:xAlign="center" w:y="-315"/>
                    <w:jc w:val="both"/>
                    <w:rPr>
                      <w:sz w:val="24"/>
                    </w:rPr>
                  </w:pPr>
                  <w:r>
                    <w:rPr>
                      <w:sz w:val="24"/>
                    </w:rPr>
                    <w:t>4,3</w:t>
                  </w:r>
                </w:p>
              </w:tc>
            </w:tr>
          </w:tbl>
          <w:p w:rsidR="00144907" w:rsidRDefault="00DA0AE4" w:rsidP="00144907">
            <w:pPr>
              <w:jc w:val="both"/>
              <w:rPr>
                <w:sz w:val="24"/>
              </w:rPr>
            </w:pPr>
            <w:r>
              <w:rPr>
                <w:sz w:val="24"/>
              </w:rPr>
              <w:t xml:space="preserve">           </w:t>
            </w:r>
            <w:r w:rsidR="00DB6678">
              <w:rPr>
                <w:sz w:val="24"/>
              </w:rPr>
              <w:t xml:space="preserve"> </w:t>
            </w:r>
            <w:r w:rsidR="00722C82">
              <w:rPr>
                <w:sz w:val="24"/>
              </w:rPr>
              <w:t xml:space="preserve">Pradedamas vykdyti Europos Sąjungos projektas „Gyvenimo kokybės ir aplinkos gerinimas Krekenavos miestelyje, Panevėžio rajone“, numatoma gauti </w:t>
            </w:r>
            <w:r w:rsidR="002E7C2D">
              <w:rPr>
                <w:sz w:val="24"/>
              </w:rPr>
              <w:t xml:space="preserve">166,7 </w:t>
            </w:r>
            <w:r w:rsidR="00722C82">
              <w:rPr>
                <w:sz w:val="24"/>
              </w:rPr>
              <w:t>tūkst. eurų ES lėšų. Šios lėšos skiriamos Savivaldybės administracijai: 1</w:t>
            </w:r>
            <w:r w:rsidR="002E7C2D">
              <w:rPr>
                <w:sz w:val="24"/>
              </w:rPr>
              <w:t>65,2</w:t>
            </w:r>
            <w:r w:rsidR="00722C82">
              <w:rPr>
                <w:sz w:val="24"/>
              </w:rPr>
              <w:t xml:space="preserve"> tūkst. eurų turtui įsigyti, </w:t>
            </w:r>
            <w:r w:rsidR="002E7C2D">
              <w:rPr>
                <w:sz w:val="24"/>
              </w:rPr>
              <w:t>1,5</w:t>
            </w:r>
            <w:r w:rsidR="00722C82">
              <w:rPr>
                <w:sz w:val="24"/>
              </w:rPr>
              <w:t xml:space="preserve"> tūkst. eurų išlaidoms, iš jų </w:t>
            </w:r>
            <w:r w:rsidR="002E7C2D">
              <w:rPr>
                <w:sz w:val="24"/>
              </w:rPr>
              <w:t>1,1</w:t>
            </w:r>
            <w:r w:rsidR="00722C82">
              <w:rPr>
                <w:sz w:val="24"/>
              </w:rPr>
              <w:t xml:space="preserve"> tūkst. eurų darbo užmokesčiui.</w:t>
            </w:r>
          </w:p>
          <w:p w:rsidR="00722C82" w:rsidRPr="00911B06" w:rsidRDefault="00722C82" w:rsidP="00144907">
            <w:pPr>
              <w:jc w:val="both"/>
              <w:rPr>
                <w:sz w:val="24"/>
                <w:szCs w:val="24"/>
                <w:lang w:eastAsia="lt-LT"/>
              </w:rPr>
            </w:pPr>
            <w:r>
              <w:rPr>
                <w:sz w:val="24"/>
              </w:rPr>
              <w:t xml:space="preserve">  </w:t>
            </w:r>
            <w:r w:rsidR="00DB6678">
              <w:rPr>
                <w:sz w:val="24"/>
              </w:rPr>
              <w:t xml:space="preserve">           </w:t>
            </w:r>
            <w:r w:rsidR="00144907" w:rsidRPr="00911B06">
              <w:rPr>
                <w:sz w:val="24"/>
                <w:szCs w:val="24"/>
              </w:rPr>
              <w:t xml:space="preserve">Pradedamas vykdyti </w:t>
            </w:r>
            <w:r w:rsidR="00DB6678">
              <w:rPr>
                <w:sz w:val="24"/>
                <w:szCs w:val="24"/>
                <w:lang w:eastAsia="lt-LT"/>
              </w:rPr>
              <w:t>„</w:t>
            </w:r>
            <w:proofErr w:type="spellStart"/>
            <w:r w:rsidR="00DB6678">
              <w:rPr>
                <w:sz w:val="24"/>
                <w:szCs w:val="24"/>
                <w:lang w:eastAsia="lt-LT"/>
              </w:rPr>
              <w:t>Erasmus</w:t>
            </w:r>
            <w:proofErr w:type="spellEnd"/>
            <w:r w:rsidR="00DB6678">
              <w:rPr>
                <w:sz w:val="24"/>
                <w:szCs w:val="24"/>
                <w:lang w:eastAsia="lt-LT"/>
              </w:rPr>
              <w:t>+“projektas</w:t>
            </w:r>
            <w:r w:rsidR="00B37471">
              <w:rPr>
                <w:sz w:val="24"/>
                <w:szCs w:val="24"/>
                <w:lang w:eastAsia="lt-LT"/>
              </w:rPr>
              <w:t xml:space="preserve"> </w:t>
            </w:r>
            <w:r w:rsidR="00144907" w:rsidRPr="00911B06">
              <w:rPr>
                <w:sz w:val="24"/>
                <w:szCs w:val="24"/>
                <w:lang w:eastAsia="lt-LT"/>
              </w:rPr>
              <w:t>„Kompetencijų,</w:t>
            </w:r>
            <w:r w:rsidR="00144907">
              <w:rPr>
                <w:sz w:val="24"/>
                <w:szCs w:val="24"/>
                <w:lang w:eastAsia="lt-LT"/>
              </w:rPr>
              <w:t xml:space="preserve"> </w:t>
            </w:r>
            <w:r w:rsidR="00144907" w:rsidRPr="00911B06">
              <w:rPr>
                <w:sz w:val="24"/>
                <w:szCs w:val="24"/>
                <w:lang w:eastAsia="lt-LT"/>
              </w:rPr>
              <w:t xml:space="preserve">kūrybiškumo ir </w:t>
            </w:r>
            <w:proofErr w:type="spellStart"/>
            <w:r w:rsidR="00DB6678">
              <w:rPr>
                <w:sz w:val="24"/>
                <w:szCs w:val="24"/>
                <w:lang w:eastAsia="lt-LT"/>
              </w:rPr>
              <w:t>inovatyvių</w:t>
            </w:r>
            <w:proofErr w:type="spellEnd"/>
            <w:r w:rsidR="00DB6678">
              <w:rPr>
                <w:sz w:val="24"/>
                <w:szCs w:val="24"/>
                <w:lang w:eastAsia="lt-LT"/>
              </w:rPr>
              <w:t xml:space="preserve"> moky</w:t>
            </w:r>
            <w:r w:rsidR="00144907" w:rsidRPr="00911B06">
              <w:rPr>
                <w:sz w:val="24"/>
                <w:szCs w:val="24"/>
                <w:lang w:eastAsia="lt-LT"/>
              </w:rPr>
              <w:t>mo(</w:t>
            </w:r>
            <w:proofErr w:type="spellStart"/>
            <w:r w:rsidR="00144907" w:rsidRPr="00911B06">
              <w:rPr>
                <w:sz w:val="24"/>
                <w:szCs w:val="24"/>
                <w:lang w:eastAsia="lt-LT"/>
              </w:rPr>
              <w:t>si</w:t>
            </w:r>
            <w:proofErr w:type="spellEnd"/>
            <w:r w:rsidR="00144907" w:rsidRPr="00911B06">
              <w:rPr>
                <w:sz w:val="24"/>
                <w:szCs w:val="24"/>
                <w:lang w:eastAsia="lt-LT"/>
              </w:rPr>
              <w:t>) metodų taikymas ugdymo procese“</w:t>
            </w:r>
            <w:r w:rsidR="00B37471">
              <w:rPr>
                <w:sz w:val="24"/>
              </w:rPr>
              <w:t xml:space="preserve">, numatoma gauti 48,0 tūkst. eurų lėšų. Šios lėšos ir 12,0 tūkst. eurų iš savivaldybės biudžeto lėšų likučio skiriamos </w:t>
            </w:r>
            <w:r w:rsidR="00B3328C">
              <w:rPr>
                <w:sz w:val="24"/>
              </w:rPr>
              <w:t>S</w:t>
            </w:r>
            <w:r w:rsidR="00B37471">
              <w:rPr>
                <w:sz w:val="24"/>
              </w:rPr>
              <w:t xml:space="preserve">avivaldybės administracijai.          12,0 tūkst. eurų bus grąžinta įvykdžius projektą. </w:t>
            </w:r>
            <w:r>
              <w:rPr>
                <w:sz w:val="24"/>
              </w:rPr>
              <w:t xml:space="preserve">                 </w:t>
            </w:r>
            <w:r w:rsidR="00DB6678">
              <w:rPr>
                <w:sz w:val="24"/>
              </w:rPr>
              <w:t xml:space="preserve">           </w:t>
            </w:r>
            <w:r>
              <w:rPr>
                <w:sz w:val="24"/>
              </w:rPr>
              <w:t xml:space="preserve">                                                           </w:t>
            </w:r>
            <w:r w:rsidR="00144907">
              <w:rPr>
                <w:sz w:val="24"/>
              </w:rPr>
              <w:t xml:space="preserve">                               </w:t>
            </w:r>
          </w:p>
          <w:p w:rsidR="00722C82" w:rsidRPr="00911B06" w:rsidRDefault="00DB6678" w:rsidP="00DD68E1">
            <w:pPr>
              <w:suppressAutoHyphens w:val="0"/>
              <w:autoSpaceDE w:val="0"/>
              <w:autoSpaceDN w:val="0"/>
              <w:adjustRightInd w:val="0"/>
              <w:jc w:val="both"/>
              <w:rPr>
                <w:bCs/>
                <w:color w:val="000000"/>
                <w:sz w:val="24"/>
                <w:szCs w:val="24"/>
                <w:lang w:eastAsia="lt-LT"/>
              </w:rPr>
            </w:pPr>
            <w:r>
              <w:rPr>
                <w:bCs/>
                <w:color w:val="000000"/>
                <w:sz w:val="24"/>
                <w:szCs w:val="24"/>
                <w:lang w:eastAsia="lt-LT"/>
              </w:rPr>
              <w:t xml:space="preserve">              </w:t>
            </w:r>
            <w:r w:rsidR="0016707E">
              <w:rPr>
                <w:bCs/>
                <w:color w:val="000000"/>
                <w:sz w:val="24"/>
                <w:szCs w:val="24"/>
                <w:lang w:eastAsia="lt-LT"/>
              </w:rPr>
              <w:t>Siūloma skirti 26,0 tūkst. eurų iš 7 procentų mokinio krepšeli</w:t>
            </w:r>
            <w:r>
              <w:rPr>
                <w:bCs/>
                <w:color w:val="000000"/>
                <w:sz w:val="24"/>
                <w:szCs w:val="24"/>
                <w:lang w:eastAsia="lt-LT"/>
              </w:rPr>
              <w:t>o mokykloms vadovėliams įsigyti</w:t>
            </w:r>
            <w:r w:rsidR="0016707E">
              <w:rPr>
                <w:bCs/>
                <w:color w:val="000000"/>
                <w:sz w:val="24"/>
                <w:szCs w:val="24"/>
                <w:lang w:eastAsia="lt-LT"/>
              </w:rPr>
              <w:t xml:space="preserve"> pagal jų pateiktus prašymus.</w:t>
            </w:r>
          </w:p>
        </w:tc>
        <w:tc>
          <w:tcPr>
            <w:tcW w:w="141" w:type="dxa"/>
          </w:tcPr>
          <w:p w:rsidR="00722C82" w:rsidRDefault="00722C82" w:rsidP="00144907">
            <w:pPr>
              <w:tabs>
                <w:tab w:val="center" w:pos="773"/>
              </w:tabs>
              <w:rPr>
                <w:sz w:val="24"/>
                <w:szCs w:val="24"/>
                <w:lang w:eastAsia="lt-LT"/>
              </w:rPr>
            </w:pPr>
          </w:p>
        </w:tc>
        <w:tc>
          <w:tcPr>
            <w:tcW w:w="80" w:type="dxa"/>
          </w:tcPr>
          <w:p w:rsidR="00722C82" w:rsidRPr="00722C82" w:rsidRDefault="00722C82" w:rsidP="00144907">
            <w:pPr>
              <w:tabs>
                <w:tab w:val="center" w:pos="773"/>
              </w:tabs>
              <w:jc w:val="both"/>
              <w:rPr>
                <w:sz w:val="24"/>
                <w:szCs w:val="24"/>
                <w:lang w:eastAsia="lt-LT"/>
              </w:rPr>
            </w:pPr>
          </w:p>
        </w:tc>
      </w:tr>
    </w:tbl>
    <w:p w:rsidR="000C3AE3" w:rsidRDefault="00E05FD0" w:rsidP="000456C8">
      <w:pPr>
        <w:suppressAutoHyphens w:val="0"/>
        <w:jc w:val="both"/>
        <w:rPr>
          <w:sz w:val="24"/>
        </w:rPr>
      </w:pPr>
      <w:r>
        <w:rPr>
          <w:sz w:val="24"/>
        </w:rPr>
        <w:t xml:space="preserve">           </w:t>
      </w:r>
      <w:r w:rsidR="00DB6678">
        <w:rPr>
          <w:sz w:val="24"/>
        </w:rPr>
        <w:t xml:space="preserve">    </w:t>
      </w:r>
      <w:r w:rsidR="00F15506">
        <w:rPr>
          <w:sz w:val="24"/>
        </w:rPr>
        <w:t>Siūloma padidinti 1</w:t>
      </w:r>
      <w:r w:rsidR="00B54958">
        <w:rPr>
          <w:sz w:val="24"/>
        </w:rPr>
        <w:t>8,1</w:t>
      </w:r>
      <w:r w:rsidR="00F15506">
        <w:rPr>
          <w:sz w:val="24"/>
        </w:rPr>
        <w:t xml:space="preserve"> tūkst. eurų dividendų pajamas ir skirti</w:t>
      </w:r>
      <w:r w:rsidR="00B54958">
        <w:rPr>
          <w:sz w:val="24"/>
        </w:rPr>
        <w:t xml:space="preserve">: 12,0 tūkst. eurų </w:t>
      </w:r>
      <w:r w:rsidR="00DB6678">
        <w:rPr>
          <w:sz w:val="24"/>
        </w:rPr>
        <w:t xml:space="preserve"> v</w:t>
      </w:r>
      <w:r w:rsidR="00B97299">
        <w:rPr>
          <w:sz w:val="24"/>
        </w:rPr>
        <w:t xml:space="preserve">iešajai bibliotekai </w:t>
      </w:r>
      <w:proofErr w:type="spellStart"/>
      <w:r w:rsidR="00B97299">
        <w:rPr>
          <w:sz w:val="24"/>
        </w:rPr>
        <w:t>Molainių</w:t>
      </w:r>
      <w:proofErr w:type="spellEnd"/>
      <w:r w:rsidR="00DB6678">
        <w:rPr>
          <w:sz w:val="24"/>
        </w:rPr>
        <w:t xml:space="preserve"> k</w:t>
      </w:r>
      <w:r w:rsidR="00B97299">
        <w:rPr>
          <w:sz w:val="24"/>
        </w:rPr>
        <w:t>. pastato stogo remontui</w:t>
      </w:r>
      <w:r w:rsidR="00B54958">
        <w:rPr>
          <w:sz w:val="24"/>
        </w:rPr>
        <w:t xml:space="preserve"> ir 6,1 tūkst. eurų švietimo įstaigoms mokytojų skaičiaus optimizavimui</w:t>
      </w:r>
      <w:r w:rsidR="00B97299">
        <w:rPr>
          <w:sz w:val="24"/>
        </w:rPr>
        <w:t>.</w:t>
      </w:r>
    </w:p>
    <w:p w:rsidR="000C0E81" w:rsidRDefault="001A0FBF" w:rsidP="000456C8">
      <w:pPr>
        <w:suppressAutoHyphens w:val="0"/>
        <w:jc w:val="both"/>
        <w:rPr>
          <w:sz w:val="24"/>
        </w:rPr>
      </w:pPr>
      <w:r>
        <w:rPr>
          <w:sz w:val="24"/>
        </w:rPr>
        <w:t xml:space="preserve">            </w:t>
      </w:r>
      <w:r w:rsidR="00DB6678">
        <w:rPr>
          <w:sz w:val="24"/>
        </w:rPr>
        <w:t xml:space="preserve">   </w:t>
      </w:r>
      <w:r w:rsidR="000C0E81">
        <w:rPr>
          <w:sz w:val="24"/>
        </w:rPr>
        <w:t xml:space="preserve">Iš savivaldybės biudžeto lėšų likučio skiriama papildomiems </w:t>
      </w:r>
      <w:proofErr w:type="spellStart"/>
      <w:r w:rsidR="000C0E81">
        <w:rPr>
          <w:sz w:val="24"/>
        </w:rPr>
        <w:t>asignavimams</w:t>
      </w:r>
      <w:proofErr w:type="spellEnd"/>
      <w:r w:rsidR="000C0E81">
        <w:rPr>
          <w:sz w:val="24"/>
        </w:rPr>
        <w:t xml:space="preserve"> </w:t>
      </w:r>
      <w:r w:rsidR="00F15506">
        <w:rPr>
          <w:sz w:val="24"/>
        </w:rPr>
        <w:t>38,3</w:t>
      </w:r>
      <w:r w:rsidR="000C0E81">
        <w:rPr>
          <w:sz w:val="24"/>
        </w:rPr>
        <w:t xml:space="preserve"> tūkst. eurų, iš jų: </w:t>
      </w:r>
      <w:r w:rsidR="00DB6678">
        <w:rPr>
          <w:sz w:val="24"/>
        </w:rPr>
        <w:tab/>
      </w:r>
      <w:r w:rsidR="00DB6678">
        <w:rPr>
          <w:sz w:val="24"/>
        </w:rPr>
        <w:tab/>
      </w:r>
      <w:r w:rsidR="00DB6678">
        <w:rPr>
          <w:sz w:val="24"/>
        </w:rPr>
        <w:tab/>
      </w:r>
      <w:r w:rsidR="00DB6678">
        <w:rPr>
          <w:sz w:val="24"/>
        </w:rPr>
        <w:tab/>
      </w:r>
      <w:r w:rsidR="00DB6678">
        <w:rPr>
          <w:sz w:val="24"/>
        </w:rPr>
        <w:tab/>
      </w:r>
      <w:r w:rsidR="00DB6678">
        <w:rPr>
          <w:sz w:val="24"/>
        </w:rPr>
        <w:tab/>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629"/>
        <w:gridCol w:w="900"/>
        <w:gridCol w:w="1150"/>
        <w:gridCol w:w="1430"/>
        <w:gridCol w:w="922"/>
      </w:tblGrid>
      <w:tr w:rsidR="000C0E81" w:rsidRPr="00E63655" w:rsidTr="00592EDC">
        <w:trPr>
          <w:trHeight w:val="624"/>
        </w:trPr>
        <w:tc>
          <w:tcPr>
            <w:tcW w:w="3117" w:type="dxa"/>
            <w:shd w:val="clear" w:color="auto" w:fill="auto"/>
          </w:tcPr>
          <w:p w:rsidR="000C0E81" w:rsidRPr="00E63655" w:rsidRDefault="000C0E81" w:rsidP="00E63655">
            <w:pPr>
              <w:suppressAutoHyphens w:val="0"/>
              <w:jc w:val="both"/>
              <w:rPr>
                <w:sz w:val="24"/>
              </w:rPr>
            </w:pPr>
            <w:r w:rsidRPr="00E63655">
              <w:rPr>
                <w:sz w:val="24"/>
              </w:rPr>
              <w:t>Įstaigos pavadinimas</w:t>
            </w:r>
          </w:p>
        </w:tc>
        <w:tc>
          <w:tcPr>
            <w:tcW w:w="2629" w:type="dxa"/>
            <w:shd w:val="clear" w:color="auto" w:fill="auto"/>
          </w:tcPr>
          <w:p w:rsidR="000C0E81" w:rsidRPr="00E63655" w:rsidRDefault="000C0E81" w:rsidP="00E63655">
            <w:pPr>
              <w:suppressAutoHyphens w:val="0"/>
              <w:jc w:val="both"/>
              <w:rPr>
                <w:sz w:val="24"/>
              </w:rPr>
            </w:pPr>
            <w:r w:rsidRPr="00E63655">
              <w:rPr>
                <w:sz w:val="24"/>
              </w:rPr>
              <w:t>Asignavimų paskirtis</w:t>
            </w:r>
          </w:p>
        </w:tc>
        <w:tc>
          <w:tcPr>
            <w:tcW w:w="900" w:type="dxa"/>
            <w:shd w:val="clear" w:color="auto" w:fill="auto"/>
          </w:tcPr>
          <w:p w:rsidR="000C0E81" w:rsidRPr="00E63655" w:rsidRDefault="000C0E81" w:rsidP="00E63655">
            <w:pPr>
              <w:suppressAutoHyphens w:val="0"/>
              <w:jc w:val="both"/>
              <w:rPr>
                <w:sz w:val="24"/>
              </w:rPr>
            </w:pPr>
            <w:r w:rsidRPr="00E63655">
              <w:rPr>
                <w:sz w:val="24"/>
              </w:rPr>
              <w:t>Iš viso</w:t>
            </w:r>
          </w:p>
        </w:tc>
        <w:tc>
          <w:tcPr>
            <w:tcW w:w="1150" w:type="dxa"/>
            <w:shd w:val="clear" w:color="auto" w:fill="auto"/>
          </w:tcPr>
          <w:p w:rsidR="000C0E81" w:rsidRPr="00E63655" w:rsidRDefault="000C0E81" w:rsidP="00E63655">
            <w:pPr>
              <w:suppressAutoHyphens w:val="0"/>
              <w:jc w:val="both"/>
              <w:rPr>
                <w:sz w:val="24"/>
              </w:rPr>
            </w:pPr>
            <w:r w:rsidRPr="00E63655">
              <w:rPr>
                <w:sz w:val="24"/>
              </w:rPr>
              <w:t>Išlaidoms</w:t>
            </w:r>
          </w:p>
        </w:tc>
        <w:tc>
          <w:tcPr>
            <w:tcW w:w="1430" w:type="dxa"/>
            <w:shd w:val="clear" w:color="auto" w:fill="auto"/>
          </w:tcPr>
          <w:p w:rsidR="000C0E81" w:rsidRPr="00E63655" w:rsidRDefault="000C0E81" w:rsidP="00DB6678">
            <w:pPr>
              <w:suppressAutoHyphens w:val="0"/>
              <w:rPr>
                <w:sz w:val="24"/>
              </w:rPr>
            </w:pPr>
            <w:r w:rsidRPr="00E63655">
              <w:rPr>
                <w:sz w:val="24"/>
              </w:rPr>
              <w:t xml:space="preserve">Iš jų darbo </w:t>
            </w:r>
            <w:r w:rsidR="00D2609F" w:rsidRPr="00E63655">
              <w:rPr>
                <w:sz w:val="24"/>
              </w:rPr>
              <w:t>u</w:t>
            </w:r>
            <w:r w:rsidRPr="00E63655">
              <w:rPr>
                <w:sz w:val="24"/>
              </w:rPr>
              <w:t>žmokesčiui</w:t>
            </w:r>
          </w:p>
        </w:tc>
        <w:tc>
          <w:tcPr>
            <w:tcW w:w="922" w:type="dxa"/>
            <w:shd w:val="clear" w:color="auto" w:fill="auto"/>
          </w:tcPr>
          <w:p w:rsidR="000C0E81" w:rsidRPr="00E63655" w:rsidRDefault="000C0E81" w:rsidP="00E63655">
            <w:pPr>
              <w:suppressAutoHyphens w:val="0"/>
              <w:jc w:val="both"/>
              <w:rPr>
                <w:sz w:val="24"/>
              </w:rPr>
            </w:pPr>
            <w:r w:rsidRPr="00E63655">
              <w:rPr>
                <w:sz w:val="24"/>
              </w:rPr>
              <w:t>Turtui įsigyti</w:t>
            </w:r>
          </w:p>
        </w:tc>
      </w:tr>
      <w:tr w:rsidR="000C0E81" w:rsidRPr="00E63655" w:rsidTr="00116F50">
        <w:trPr>
          <w:trHeight w:val="491"/>
        </w:trPr>
        <w:tc>
          <w:tcPr>
            <w:tcW w:w="3117" w:type="dxa"/>
            <w:shd w:val="clear" w:color="auto" w:fill="auto"/>
          </w:tcPr>
          <w:p w:rsidR="000C0E81" w:rsidRPr="00E63655" w:rsidRDefault="00766CA5" w:rsidP="00E63655">
            <w:pPr>
              <w:suppressAutoHyphens w:val="0"/>
              <w:jc w:val="both"/>
              <w:rPr>
                <w:sz w:val="24"/>
              </w:rPr>
            </w:pPr>
            <w:proofErr w:type="spellStart"/>
            <w:r>
              <w:rPr>
                <w:sz w:val="24"/>
              </w:rPr>
              <w:t>Pažagienių</w:t>
            </w:r>
            <w:proofErr w:type="spellEnd"/>
            <w:r>
              <w:rPr>
                <w:sz w:val="24"/>
              </w:rPr>
              <w:t xml:space="preserve"> mokykla-darželis</w:t>
            </w:r>
          </w:p>
        </w:tc>
        <w:tc>
          <w:tcPr>
            <w:tcW w:w="2629" w:type="dxa"/>
            <w:shd w:val="clear" w:color="auto" w:fill="auto"/>
          </w:tcPr>
          <w:p w:rsidR="00116F50" w:rsidRDefault="00766CA5" w:rsidP="00116F50">
            <w:pPr>
              <w:suppressAutoHyphens w:val="0"/>
              <w:jc w:val="both"/>
              <w:rPr>
                <w:sz w:val="24"/>
              </w:rPr>
            </w:pPr>
            <w:r>
              <w:rPr>
                <w:sz w:val="24"/>
              </w:rPr>
              <w:t xml:space="preserve">Patalpų remontui </w:t>
            </w:r>
          </w:p>
          <w:p w:rsidR="000C0E81" w:rsidRPr="00E63655" w:rsidRDefault="00DB6678" w:rsidP="00116F50">
            <w:pPr>
              <w:suppressAutoHyphens w:val="0"/>
              <w:jc w:val="both"/>
              <w:rPr>
                <w:sz w:val="24"/>
              </w:rPr>
            </w:pPr>
            <w:r>
              <w:rPr>
                <w:sz w:val="24"/>
              </w:rPr>
              <w:t>Mokinių pavė</w:t>
            </w:r>
            <w:r w:rsidR="00766CA5">
              <w:rPr>
                <w:sz w:val="24"/>
              </w:rPr>
              <w:t>žėjimui</w:t>
            </w:r>
          </w:p>
        </w:tc>
        <w:tc>
          <w:tcPr>
            <w:tcW w:w="900" w:type="dxa"/>
            <w:shd w:val="clear" w:color="auto" w:fill="auto"/>
          </w:tcPr>
          <w:p w:rsidR="00116F50" w:rsidRDefault="00116F50" w:rsidP="00E63655">
            <w:pPr>
              <w:suppressAutoHyphens w:val="0"/>
              <w:jc w:val="both"/>
              <w:rPr>
                <w:sz w:val="24"/>
              </w:rPr>
            </w:pPr>
            <w:r>
              <w:rPr>
                <w:sz w:val="24"/>
              </w:rPr>
              <w:t>1,8</w:t>
            </w:r>
          </w:p>
          <w:p w:rsidR="00116F50" w:rsidRPr="00116F50" w:rsidRDefault="00116F50" w:rsidP="00116F50">
            <w:pPr>
              <w:rPr>
                <w:sz w:val="24"/>
              </w:rPr>
            </w:pPr>
            <w:r>
              <w:rPr>
                <w:sz w:val="24"/>
              </w:rPr>
              <w:t>0,4</w:t>
            </w:r>
          </w:p>
        </w:tc>
        <w:tc>
          <w:tcPr>
            <w:tcW w:w="1150" w:type="dxa"/>
            <w:shd w:val="clear" w:color="auto" w:fill="auto"/>
          </w:tcPr>
          <w:p w:rsidR="000C0E81" w:rsidRDefault="00116F50" w:rsidP="00116F50">
            <w:pPr>
              <w:suppressAutoHyphens w:val="0"/>
              <w:jc w:val="both"/>
              <w:rPr>
                <w:sz w:val="24"/>
              </w:rPr>
            </w:pPr>
            <w:r>
              <w:rPr>
                <w:sz w:val="24"/>
              </w:rPr>
              <w:t>1,8</w:t>
            </w:r>
          </w:p>
          <w:p w:rsidR="00116F50" w:rsidRPr="00E63655" w:rsidRDefault="00116F50" w:rsidP="00116F50">
            <w:pPr>
              <w:suppressAutoHyphens w:val="0"/>
              <w:jc w:val="both"/>
              <w:rPr>
                <w:sz w:val="24"/>
              </w:rPr>
            </w:pPr>
            <w:r>
              <w:rPr>
                <w:sz w:val="24"/>
              </w:rPr>
              <w:t>0,4</w:t>
            </w:r>
          </w:p>
        </w:tc>
        <w:tc>
          <w:tcPr>
            <w:tcW w:w="1430" w:type="dxa"/>
            <w:shd w:val="clear" w:color="auto" w:fill="auto"/>
          </w:tcPr>
          <w:p w:rsidR="000C0E81" w:rsidRPr="00E63655" w:rsidRDefault="000C0E81" w:rsidP="00E63655">
            <w:pPr>
              <w:suppressAutoHyphens w:val="0"/>
              <w:jc w:val="both"/>
              <w:rPr>
                <w:sz w:val="24"/>
              </w:rPr>
            </w:pPr>
          </w:p>
        </w:tc>
        <w:tc>
          <w:tcPr>
            <w:tcW w:w="922" w:type="dxa"/>
            <w:shd w:val="clear" w:color="auto" w:fill="auto"/>
          </w:tcPr>
          <w:p w:rsidR="000C0E81" w:rsidRPr="00E63655" w:rsidRDefault="000C0E81" w:rsidP="00E63655">
            <w:pPr>
              <w:suppressAutoHyphens w:val="0"/>
              <w:jc w:val="both"/>
              <w:rPr>
                <w:sz w:val="24"/>
              </w:rPr>
            </w:pPr>
          </w:p>
        </w:tc>
      </w:tr>
      <w:tr w:rsidR="00116F50" w:rsidRPr="00E63655" w:rsidTr="00592EDC">
        <w:trPr>
          <w:trHeight w:val="383"/>
        </w:trPr>
        <w:tc>
          <w:tcPr>
            <w:tcW w:w="3117" w:type="dxa"/>
            <w:shd w:val="clear" w:color="auto" w:fill="auto"/>
          </w:tcPr>
          <w:p w:rsidR="00116F50" w:rsidRPr="00E63655" w:rsidRDefault="00116F50" w:rsidP="00116F50">
            <w:pPr>
              <w:suppressAutoHyphens w:val="0"/>
              <w:jc w:val="right"/>
              <w:rPr>
                <w:sz w:val="24"/>
              </w:rPr>
            </w:pPr>
            <w:r>
              <w:rPr>
                <w:sz w:val="24"/>
              </w:rPr>
              <w:t>Iš viso</w:t>
            </w:r>
          </w:p>
        </w:tc>
        <w:tc>
          <w:tcPr>
            <w:tcW w:w="2629" w:type="dxa"/>
            <w:shd w:val="clear" w:color="auto" w:fill="auto"/>
          </w:tcPr>
          <w:p w:rsidR="00116F50" w:rsidRDefault="00116F50" w:rsidP="00116F50">
            <w:pPr>
              <w:suppressAutoHyphens w:val="0"/>
              <w:rPr>
                <w:sz w:val="24"/>
              </w:rPr>
            </w:pPr>
          </w:p>
        </w:tc>
        <w:tc>
          <w:tcPr>
            <w:tcW w:w="900" w:type="dxa"/>
            <w:shd w:val="clear" w:color="auto" w:fill="auto"/>
          </w:tcPr>
          <w:p w:rsidR="00116F50" w:rsidRDefault="00116F50" w:rsidP="003358F1">
            <w:pPr>
              <w:suppressAutoHyphens w:val="0"/>
              <w:jc w:val="both"/>
              <w:rPr>
                <w:sz w:val="24"/>
              </w:rPr>
            </w:pPr>
            <w:r>
              <w:rPr>
                <w:sz w:val="24"/>
              </w:rPr>
              <w:t>2,2</w:t>
            </w:r>
          </w:p>
        </w:tc>
        <w:tc>
          <w:tcPr>
            <w:tcW w:w="1150" w:type="dxa"/>
            <w:shd w:val="clear" w:color="auto" w:fill="auto"/>
          </w:tcPr>
          <w:p w:rsidR="00116F50" w:rsidRDefault="00116F50" w:rsidP="003358F1">
            <w:pPr>
              <w:suppressAutoHyphens w:val="0"/>
              <w:jc w:val="both"/>
              <w:rPr>
                <w:sz w:val="24"/>
              </w:rPr>
            </w:pPr>
            <w:r>
              <w:rPr>
                <w:sz w:val="24"/>
              </w:rPr>
              <w:t>2,2</w:t>
            </w:r>
          </w:p>
        </w:tc>
        <w:tc>
          <w:tcPr>
            <w:tcW w:w="1430" w:type="dxa"/>
            <w:shd w:val="clear" w:color="auto" w:fill="auto"/>
          </w:tcPr>
          <w:p w:rsidR="00116F50" w:rsidRPr="00E63655" w:rsidRDefault="00116F50" w:rsidP="003358F1">
            <w:pPr>
              <w:suppressAutoHyphens w:val="0"/>
              <w:jc w:val="both"/>
              <w:rPr>
                <w:sz w:val="24"/>
              </w:rPr>
            </w:pPr>
          </w:p>
        </w:tc>
        <w:tc>
          <w:tcPr>
            <w:tcW w:w="922" w:type="dxa"/>
            <w:shd w:val="clear" w:color="auto" w:fill="auto"/>
          </w:tcPr>
          <w:p w:rsidR="00116F50" w:rsidRPr="00E63655" w:rsidRDefault="00116F50" w:rsidP="003358F1">
            <w:pPr>
              <w:suppressAutoHyphens w:val="0"/>
              <w:jc w:val="both"/>
              <w:rPr>
                <w:sz w:val="24"/>
              </w:rPr>
            </w:pPr>
          </w:p>
        </w:tc>
      </w:tr>
      <w:tr w:rsidR="003358F1" w:rsidRPr="00E63655" w:rsidTr="00592EDC">
        <w:trPr>
          <w:trHeight w:val="383"/>
        </w:trPr>
        <w:tc>
          <w:tcPr>
            <w:tcW w:w="3117" w:type="dxa"/>
            <w:shd w:val="clear" w:color="auto" w:fill="auto"/>
          </w:tcPr>
          <w:p w:rsidR="003358F1" w:rsidRPr="00E63655" w:rsidRDefault="003358F1" w:rsidP="003358F1">
            <w:pPr>
              <w:suppressAutoHyphens w:val="0"/>
              <w:rPr>
                <w:sz w:val="24"/>
              </w:rPr>
            </w:pPr>
            <w:proofErr w:type="spellStart"/>
            <w:r w:rsidRPr="00E63655">
              <w:rPr>
                <w:sz w:val="24"/>
              </w:rPr>
              <w:t>Dembavos</w:t>
            </w:r>
            <w:proofErr w:type="spellEnd"/>
            <w:r w:rsidRPr="00E63655">
              <w:rPr>
                <w:sz w:val="24"/>
              </w:rPr>
              <w:t xml:space="preserve"> lopšelis-darželis „Smalsutis“</w:t>
            </w:r>
          </w:p>
        </w:tc>
        <w:tc>
          <w:tcPr>
            <w:tcW w:w="2629" w:type="dxa"/>
            <w:shd w:val="clear" w:color="auto" w:fill="auto"/>
          </w:tcPr>
          <w:p w:rsidR="003358F1" w:rsidRPr="00E63655" w:rsidRDefault="003358F1" w:rsidP="00116F50">
            <w:pPr>
              <w:suppressAutoHyphens w:val="0"/>
              <w:rPr>
                <w:sz w:val="24"/>
              </w:rPr>
            </w:pPr>
            <w:r>
              <w:rPr>
                <w:sz w:val="24"/>
              </w:rPr>
              <w:t>Laiptų aikštelių aptvarams</w:t>
            </w:r>
            <w:r w:rsidR="000B1B46">
              <w:rPr>
                <w:sz w:val="24"/>
              </w:rPr>
              <w:t xml:space="preserve"> įrengti</w:t>
            </w:r>
          </w:p>
        </w:tc>
        <w:tc>
          <w:tcPr>
            <w:tcW w:w="900" w:type="dxa"/>
            <w:shd w:val="clear" w:color="auto" w:fill="auto"/>
          </w:tcPr>
          <w:p w:rsidR="003358F1" w:rsidRPr="00E63655" w:rsidRDefault="003358F1" w:rsidP="003358F1">
            <w:pPr>
              <w:suppressAutoHyphens w:val="0"/>
              <w:jc w:val="both"/>
              <w:rPr>
                <w:sz w:val="24"/>
              </w:rPr>
            </w:pPr>
            <w:r>
              <w:rPr>
                <w:sz w:val="24"/>
              </w:rPr>
              <w:t>1,3</w:t>
            </w:r>
          </w:p>
        </w:tc>
        <w:tc>
          <w:tcPr>
            <w:tcW w:w="1150" w:type="dxa"/>
            <w:shd w:val="clear" w:color="auto" w:fill="auto"/>
          </w:tcPr>
          <w:p w:rsidR="003358F1" w:rsidRPr="00E63655" w:rsidRDefault="003358F1" w:rsidP="003358F1">
            <w:pPr>
              <w:suppressAutoHyphens w:val="0"/>
              <w:jc w:val="both"/>
              <w:rPr>
                <w:sz w:val="24"/>
              </w:rPr>
            </w:pPr>
            <w:r>
              <w:rPr>
                <w:sz w:val="24"/>
              </w:rPr>
              <w:t>1,3</w:t>
            </w:r>
          </w:p>
        </w:tc>
        <w:tc>
          <w:tcPr>
            <w:tcW w:w="1430" w:type="dxa"/>
            <w:shd w:val="clear" w:color="auto" w:fill="auto"/>
          </w:tcPr>
          <w:p w:rsidR="003358F1" w:rsidRPr="00E63655" w:rsidRDefault="003358F1" w:rsidP="003358F1">
            <w:pPr>
              <w:suppressAutoHyphens w:val="0"/>
              <w:jc w:val="both"/>
              <w:rPr>
                <w:sz w:val="24"/>
              </w:rPr>
            </w:pPr>
          </w:p>
        </w:tc>
        <w:tc>
          <w:tcPr>
            <w:tcW w:w="922" w:type="dxa"/>
            <w:shd w:val="clear" w:color="auto" w:fill="auto"/>
          </w:tcPr>
          <w:p w:rsidR="003358F1" w:rsidRPr="00E63655" w:rsidRDefault="003358F1" w:rsidP="003358F1">
            <w:pPr>
              <w:suppressAutoHyphens w:val="0"/>
              <w:jc w:val="both"/>
              <w:rPr>
                <w:sz w:val="24"/>
              </w:rPr>
            </w:pPr>
          </w:p>
        </w:tc>
      </w:tr>
      <w:tr w:rsidR="003358F1" w:rsidRPr="00E63655" w:rsidTr="00592EDC">
        <w:trPr>
          <w:trHeight w:val="387"/>
        </w:trPr>
        <w:tc>
          <w:tcPr>
            <w:tcW w:w="3117" w:type="dxa"/>
            <w:shd w:val="clear" w:color="auto" w:fill="auto"/>
          </w:tcPr>
          <w:p w:rsidR="003358F1" w:rsidRPr="00E63655" w:rsidRDefault="003358F1" w:rsidP="003358F1">
            <w:pPr>
              <w:suppressAutoHyphens w:val="0"/>
              <w:jc w:val="both"/>
              <w:rPr>
                <w:sz w:val="24"/>
              </w:rPr>
            </w:pPr>
            <w:r>
              <w:rPr>
                <w:sz w:val="24"/>
              </w:rPr>
              <w:t>Bernatonių mokykla-darželis</w:t>
            </w:r>
          </w:p>
        </w:tc>
        <w:tc>
          <w:tcPr>
            <w:tcW w:w="2629" w:type="dxa"/>
            <w:shd w:val="clear" w:color="auto" w:fill="auto"/>
          </w:tcPr>
          <w:p w:rsidR="003358F1" w:rsidRPr="00E63655" w:rsidRDefault="003358F1" w:rsidP="00DB6678">
            <w:pPr>
              <w:suppressAutoHyphens w:val="0"/>
              <w:rPr>
                <w:sz w:val="24"/>
              </w:rPr>
            </w:pPr>
            <w:r>
              <w:rPr>
                <w:sz w:val="24"/>
              </w:rPr>
              <w:t>Ikimokyklinio ugdymo grupės patalpų remontui</w:t>
            </w:r>
          </w:p>
        </w:tc>
        <w:tc>
          <w:tcPr>
            <w:tcW w:w="900" w:type="dxa"/>
            <w:shd w:val="clear" w:color="auto" w:fill="auto"/>
          </w:tcPr>
          <w:p w:rsidR="003358F1" w:rsidRDefault="003358F1" w:rsidP="003358F1">
            <w:pPr>
              <w:suppressAutoHyphens w:val="0"/>
              <w:jc w:val="both"/>
              <w:rPr>
                <w:sz w:val="24"/>
              </w:rPr>
            </w:pPr>
          </w:p>
          <w:p w:rsidR="003358F1" w:rsidRPr="00E63655" w:rsidRDefault="003358F1" w:rsidP="003358F1">
            <w:pPr>
              <w:suppressAutoHyphens w:val="0"/>
              <w:jc w:val="both"/>
              <w:rPr>
                <w:sz w:val="24"/>
              </w:rPr>
            </w:pPr>
            <w:r>
              <w:rPr>
                <w:sz w:val="24"/>
              </w:rPr>
              <w:t>16,8</w:t>
            </w:r>
          </w:p>
        </w:tc>
        <w:tc>
          <w:tcPr>
            <w:tcW w:w="1150" w:type="dxa"/>
            <w:shd w:val="clear" w:color="auto" w:fill="auto"/>
          </w:tcPr>
          <w:p w:rsidR="003358F1" w:rsidRDefault="003358F1" w:rsidP="003358F1">
            <w:pPr>
              <w:suppressAutoHyphens w:val="0"/>
              <w:jc w:val="both"/>
              <w:rPr>
                <w:sz w:val="24"/>
              </w:rPr>
            </w:pPr>
          </w:p>
          <w:p w:rsidR="003358F1" w:rsidRPr="00E63655" w:rsidRDefault="003358F1" w:rsidP="003358F1">
            <w:pPr>
              <w:suppressAutoHyphens w:val="0"/>
              <w:jc w:val="both"/>
              <w:rPr>
                <w:sz w:val="24"/>
              </w:rPr>
            </w:pPr>
            <w:r>
              <w:rPr>
                <w:sz w:val="24"/>
              </w:rPr>
              <w:t>16,8</w:t>
            </w:r>
          </w:p>
        </w:tc>
        <w:tc>
          <w:tcPr>
            <w:tcW w:w="1430" w:type="dxa"/>
            <w:shd w:val="clear" w:color="auto" w:fill="auto"/>
          </w:tcPr>
          <w:p w:rsidR="003358F1" w:rsidRPr="00E63655" w:rsidRDefault="003358F1" w:rsidP="003358F1">
            <w:pPr>
              <w:suppressAutoHyphens w:val="0"/>
              <w:jc w:val="both"/>
              <w:rPr>
                <w:sz w:val="24"/>
              </w:rPr>
            </w:pPr>
          </w:p>
        </w:tc>
        <w:tc>
          <w:tcPr>
            <w:tcW w:w="922" w:type="dxa"/>
            <w:shd w:val="clear" w:color="auto" w:fill="auto"/>
          </w:tcPr>
          <w:p w:rsidR="003358F1" w:rsidRPr="00E63655" w:rsidRDefault="003358F1" w:rsidP="003358F1">
            <w:pPr>
              <w:suppressAutoHyphens w:val="0"/>
              <w:jc w:val="both"/>
              <w:rPr>
                <w:sz w:val="24"/>
              </w:rPr>
            </w:pPr>
          </w:p>
        </w:tc>
      </w:tr>
      <w:tr w:rsidR="003358F1" w:rsidRPr="00E63655" w:rsidTr="00592EDC">
        <w:tc>
          <w:tcPr>
            <w:tcW w:w="3117" w:type="dxa"/>
            <w:shd w:val="clear" w:color="auto" w:fill="auto"/>
          </w:tcPr>
          <w:p w:rsidR="003358F1" w:rsidRPr="00E63655" w:rsidRDefault="003358F1" w:rsidP="003358F1">
            <w:pPr>
              <w:suppressAutoHyphens w:val="0"/>
              <w:jc w:val="both"/>
              <w:rPr>
                <w:sz w:val="24"/>
              </w:rPr>
            </w:pPr>
            <w:r>
              <w:rPr>
                <w:sz w:val="24"/>
              </w:rPr>
              <w:t>Smilgių gimnazija</w:t>
            </w:r>
          </w:p>
        </w:tc>
        <w:tc>
          <w:tcPr>
            <w:tcW w:w="2629" w:type="dxa"/>
            <w:shd w:val="clear" w:color="auto" w:fill="auto"/>
          </w:tcPr>
          <w:p w:rsidR="003358F1" w:rsidRDefault="003358F1" w:rsidP="00DB6678">
            <w:pPr>
              <w:suppressAutoHyphens w:val="0"/>
              <w:rPr>
                <w:sz w:val="24"/>
              </w:rPr>
            </w:pPr>
            <w:r>
              <w:rPr>
                <w:sz w:val="24"/>
              </w:rPr>
              <w:t>Minkštam inventoriui įsigyti</w:t>
            </w:r>
          </w:p>
          <w:p w:rsidR="003358F1" w:rsidRPr="00E63655" w:rsidRDefault="00DB6678" w:rsidP="00DB6678">
            <w:pPr>
              <w:suppressAutoHyphens w:val="0"/>
              <w:rPr>
                <w:sz w:val="24"/>
              </w:rPr>
            </w:pPr>
            <w:proofErr w:type="spellStart"/>
            <w:r>
              <w:rPr>
                <w:sz w:val="24"/>
              </w:rPr>
              <w:t>Ve</w:t>
            </w:r>
            <w:r w:rsidR="003358F1">
              <w:rPr>
                <w:sz w:val="24"/>
              </w:rPr>
              <w:t>japjovei</w:t>
            </w:r>
            <w:proofErr w:type="spellEnd"/>
            <w:r w:rsidR="003358F1">
              <w:rPr>
                <w:sz w:val="24"/>
              </w:rPr>
              <w:t xml:space="preserve"> įsigyti</w:t>
            </w:r>
          </w:p>
        </w:tc>
        <w:tc>
          <w:tcPr>
            <w:tcW w:w="900" w:type="dxa"/>
            <w:shd w:val="clear" w:color="auto" w:fill="auto"/>
          </w:tcPr>
          <w:p w:rsidR="003358F1" w:rsidRDefault="003358F1" w:rsidP="003358F1">
            <w:pPr>
              <w:suppressAutoHyphens w:val="0"/>
              <w:jc w:val="both"/>
              <w:rPr>
                <w:sz w:val="24"/>
              </w:rPr>
            </w:pPr>
            <w:r>
              <w:rPr>
                <w:sz w:val="24"/>
              </w:rPr>
              <w:t>3,5</w:t>
            </w:r>
          </w:p>
          <w:p w:rsidR="003358F1" w:rsidRDefault="003358F1" w:rsidP="003358F1">
            <w:pPr>
              <w:suppressAutoHyphens w:val="0"/>
              <w:jc w:val="both"/>
              <w:rPr>
                <w:sz w:val="24"/>
              </w:rPr>
            </w:pPr>
          </w:p>
          <w:p w:rsidR="003358F1" w:rsidRPr="00E63655" w:rsidRDefault="003358F1" w:rsidP="003358F1">
            <w:pPr>
              <w:suppressAutoHyphens w:val="0"/>
              <w:jc w:val="both"/>
              <w:rPr>
                <w:sz w:val="24"/>
              </w:rPr>
            </w:pPr>
            <w:r>
              <w:rPr>
                <w:sz w:val="24"/>
              </w:rPr>
              <w:t>0,7</w:t>
            </w:r>
          </w:p>
        </w:tc>
        <w:tc>
          <w:tcPr>
            <w:tcW w:w="1150" w:type="dxa"/>
            <w:shd w:val="clear" w:color="auto" w:fill="auto"/>
          </w:tcPr>
          <w:p w:rsidR="003358F1" w:rsidRPr="00E63655" w:rsidRDefault="003358F1" w:rsidP="003358F1">
            <w:pPr>
              <w:suppressAutoHyphens w:val="0"/>
              <w:jc w:val="both"/>
              <w:rPr>
                <w:sz w:val="24"/>
              </w:rPr>
            </w:pPr>
            <w:r>
              <w:rPr>
                <w:sz w:val="24"/>
              </w:rPr>
              <w:t>3,5</w:t>
            </w:r>
          </w:p>
        </w:tc>
        <w:tc>
          <w:tcPr>
            <w:tcW w:w="1430" w:type="dxa"/>
            <w:shd w:val="clear" w:color="auto" w:fill="auto"/>
          </w:tcPr>
          <w:p w:rsidR="003358F1" w:rsidRPr="00E63655" w:rsidRDefault="003358F1" w:rsidP="003358F1">
            <w:pPr>
              <w:suppressAutoHyphens w:val="0"/>
              <w:jc w:val="both"/>
              <w:rPr>
                <w:sz w:val="24"/>
              </w:rPr>
            </w:pPr>
          </w:p>
        </w:tc>
        <w:tc>
          <w:tcPr>
            <w:tcW w:w="922" w:type="dxa"/>
            <w:shd w:val="clear" w:color="auto" w:fill="auto"/>
          </w:tcPr>
          <w:p w:rsidR="003358F1" w:rsidRDefault="003358F1" w:rsidP="003358F1">
            <w:pPr>
              <w:suppressAutoHyphens w:val="0"/>
              <w:jc w:val="both"/>
              <w:rPr>
                <w:sz w:val="24"/>
              </w:rPr>
            </w:pPr>
          </w:p>
          <w:p w:rsidR="003358F1" w:rsidRDefault="003358F1" w:rsidP="003358F1">
            <w:pPr>
              <w:suppressAutoHyphens w:val="0"/>
              <w:jc w:val="both"/>
              <w:rPr>
                <w:sz w:val="24"/>
              </w:rPr>
            </w:pPr>
          </w:p>
          <w:p w:rsidR="003358F1" w:rsidRPr="00E63655" w:rsidRDefault="003358F1" w:rsidP="003358F1">
            <w:pPr>
              <w:suppressAutoHyphens w:val="0"/>
              <w:jc w:val="both"/>
              <w:rPr>
                <w:sz w:val="24"/>
              </w:rPr>
            </w:pPr>
            <w:r>
              <w:rPr>
                <w:sz w:val="24"/>
              </w:rPr>
              <w:t>0,7</w:t>
            </w:r>
          </w:p>
        </w:tc>
      </w:tr>
      <w:tr w:rsidR="003358F1" w:rsidRPr="00E63655" w:rsidTr="00592EDC">
        <w:tc>
          <w:tcPr>
            <w:tcW w:w="3117" w:type="dxa"/>
            <w:shd w:val="clear" w:color="auto" w:fill="auto"/>
          </w:tcPr>
          <w:p w:rsidR="003358F1" w:rsidRPr="00E63655" w:rsidRDefault="003358F1" w:rsidP="003358F1">
            <w:pPr>
              <w:suppressAutoHyphens w:val="0"/>
              <w:jc w:val="right"/>
              <w:rPr>
                <w:sz w:val="24"/>
              </w:rPr>
            </w:pPr>
            <w:r>
              <w:rPr>
                <w:sz w:val="24"/>
              </w:rPr>
              <w:t>Iš viso</w:t>
            </w:r>
          </w:p>
        </w:tc>
        <w:tc>
          <w:tcPr>
            <w:tcW w:w="2629" w:type="dxa"/>
            <w:shd w:val="clear" w:color="auto" w:fill="auto"/>
          </w:tcPr>
          <w:p w:rsidR="003358F1" w:rsidRPr="00E63655" w:rsidRDefault="003358F1" w:rsidP="003358F1">
            <w:pPr>
              <w:suppressAutoHyphens w:val="0"/>
              <w:rPr>
                <w:sz w:val="24"/>
              </w:rPr>
            </w:pPr>
          </w:p>
        </w:tc>
        <w:tc>
          <w:tcPr>
            <w:tcW w:w="900" w:type="dxa"/>
            <w:shd w:val="clear" w:color="auto" w:fill="auto"/>
          </w:tcPr>
          <w:p w:rsidR="003358F1" w:rsidRPr="00E63655" w:rsidRDefault="003358F1" w:rsidP="003358F1">
            <w:pPr>
              <w:suppressAutoHyphens w:val="0"/>
              <w:jc w:val="both"/>
              <w:rPr>
                <w:sz w:val="24"/>
              </w:rPr>
            </w:pPr>
            <w:r>
              <w:rPr>
                <w:sz w:val="24"/>
              </w:rPr>
              <w:t>4,2</w:t>
            </w:r>
          </w:p>
        </w:tc>
        <w:tc>
          <w:tcPr>
            <w:tcW w:w="1150" w:type="dxa"/>
            <w:shd w:val="clear" w:color="auto" w:fill="auto"/>
          </w:tcPr>
          <w:p w:rsidR="003358F1" w:rsidRPr="00E63655" w:rsidRDefault="003358F1" w:rsidP="003358F1">
            <w:pPr>
              <w:suppressAutoHyphens w:val="0"/>
              <w:jc w:val="both"/>
              <w:rPr>
                <w:sz w:val="24"/>
              </w:rPr>
            </w:pPr>
            <w:r>
              <w:rPr>
                <w:sz w:val="24"/>
              </w:rPr>
              <w:t>3,5</w:t>
            </w:r>
          </w:p>
        </w:tc>
        <w:tc>
          <w:tcPr>
            <w:tcW w:w="1430" w:type="dxa"/>
            <w:shd w:val="clear" w:color="auto" w:fill="auto"/>
          </w:tcPr>
          <w:p w:rsidR="003358F1" w:rsidRPr="00E63655" w:rsidRDefault="003358F1" w:rsidP="003358F1">
            <w:pPr>
              <w:suppressAutoHyphens w:val="0"/>
              <w:jc w:val="both"/>
              <w:rPr>
                <w:sz w:val="24"/>
              </w:rPr>
            </w:pPr>
          </w:p>
        </w:tc>
        <w:tc>
          <w:tcPr>
            <w:tcW w:w="922" w:type="dxa"/>
            <w:shd w:val="clear" w:color="auto" w:fill="auto"/>
          </w:tcPr>
          <w:p w:rsidR="003358F1" w:rsidRPr="00E63655" w:rsidRDefault="003358F1" w:rsidP="003358F1">
            <w:pPr>
              <w:suppressAutoHyphens w:val="0"/>
              <w:jc w:val="both"/>
              <w:rPr>
                <w:sz w:val="24"/>
              </w:rPr>
            </w:pPr>
            <w:r>
              <w:rPr>
                <w:sz w:val="24"/>
              </w:rPr>
              <w:t>0,7</w:t>
            </w:r>
          </w:p>
        </w:tc>
      </w:tr>
      <w:tr w:rsidR="003358F1" w:rsidRPr="00E63655" w:rsidTr="00592EDC">
        <w:tc>
          <w:tcPr>
            <w:tcW w:w="3117" w:type="dxa"/>
            <w:shd w:val="clear" w:color="auto" w:fill="auto"/>
          </w:tcPr>
          <w:p w:rsidR="003358F1" w:rsidRPr="00E63655" w:rsidRDefault="003358F1" w:rsidP="003358F1">
            <w:pPr>
              <w:suppressAutoHyphens w:val="0"/>
              <w:jc w:val="both"/>
              <w:rPr>
                <w:sz w:val="24"/>
              </w:rPr>
            </w:pPr>
            <w:r>
              <w:rPr>
                <w:sz w:val="24"/>
              </w:rPr>
              <w:t>Berčiūnų pagrindinė mokykla</w:t>
            </w:r>
          </w:p>
        </w:tc>
        <w:tc>
          <w:tcPr>
            <w:tcW w:w="2629" w:type="dxa"/>
            <w:shd w:val="clear" w:color="auto" w:fill="auto"/>
          </w:tcPr>
          <w:p w:rsidR="003358F1" w:rsidRPr="00E63655" w:rsidRDefault="003358F1" w:rsidP="003358F1">
            <w:pPr>
              <w:suppressAutoHyphens w:val="0"/>
              <w:jc w:val="both"/>
              <w:rPr>
                <w:sz w:val="24"/>
              </w:rPr>
            </w:pPr>
            <w:r>
              <w:rPr>
                <w:sz w:val="24"/>
              </w:rPr>
              <w:t>Viryklei įsigyti</w:t>
            </w:r>
          </w:p>
        </w:tc>
        <w:tc>
          <w:tcPr>
            <w:tcW w:w="900" w:type="dxa"/>
            <w:shd w:val="clear" w:color="auto" w:fill="auto"/>
          </w:tcPr>
          <w:p w:rsidR="003358F1" w:rsidRPr="00E63655" w:rsidRDefault="003358F1" w:rsidP="003358F1">
            <w:pPr>
              <w:suppressAutoHyphens w:val="0"/>
              <w:jc w:val="both"/>
              <w:rPr>
                <w:sz w:val="24"/>
              </w:rPr>
            </w:pPr>
            <w:r>
              <w:rPr>
                <w:sz w:val="24"/>
              </w:rPr>
              <w:t>1,4</w:t>
            </w:r>
          </w:p>
        </w:tc>
        <w:tc>
          <w:tcPr>
            <w:tcW w:w="1150" w:type="dxa"/>
            <w:shd w:val="clear" w:color="auto" w:fill="auto"/>
          </w:tcPr>
          <w:p w:rsidR="003358F1" w:rsidRPr="00E63655" w:rsidRDefault="003358F1" w:rsidP="003358F1">
            <w:pPr>
              <w:suppressAutoHyphens w:val="0"/>
              <w:jc w:val="both"/>
              <w:rPr>
                <w:sz w:val="24"/>
              </w:rPr>
            </w:pPr>
          </w:p>
        </w:tc>
        <w:tc>
          <w:tcPr>
            <w:tcW w:w="1430" w:type="dxa"/>
            <w:shd w:val="clear" w:color="auto" w:fill="auto"/>
          </w:tcPr>
          <w:p w:rsidR="003358F1" w:rsidRPr="00E63655" w:rsidRDefault="003358F1" w:rsidP="003358F1">
            <w:pPr>
              <w:suppressAutoHyphens w:val="0"/>
              <w:jc w:val="both"/>
              <w:rPr>
                <w:sz w:val="24"/>
              </w:rPr>
            </w:pPr>
          </w:p>
        </w:tc>
        <w:tc>
          <w:tcPr>
            <w:tcW w:w="922" w:type="dxa"/>
            <w:shd w:val="clear" w:color="auto" w:fill="auto"/>
          </w:tcPr>
          <w:p w:rsidR="003358F1" w:rsidRPr="00E63655" w:rsidRDefault="003358F1" w:rsidP="003358F1">
            <w:pPr>
              <w:suppressAutoHyphens w:val="0"/>
              <w:jc w:val="both"/>
              <w:rPr>
                <w:sz w:val="24"/>
              </w:rPr>
            </w:pPr>
            <w:r>
              <w:rPr>
                <w:sz w:val="24"/>
              </w:rPr>
              <w:t>1,4</w:t>
            </w:r>
          </w:p>
        </w:tc>
      </w:tr>
      <w:tr w:rsidR="003358F1" w:rsidRPr="00E63655" w:rsidTr="00592EDC">
        <w:tc>
          <w:tcPr>
            <w:tcW w:w="3117" w:type="dxa"/>
            <w:shd w:val="clear" w:color="auto" w:fill="auto"/>
          </w:tcPr>
          <w:p w:rsidR="003358F1" w:rsidRPr="00E63655" w:rsidRDefault="003358F1" w:rsidP="00DB6678">
            <w:pPr>
              <w:suppressAutoHyphens w:val="0"/>
              <w:rPr>
                <w:sz w:val="24"/>
              </w:rPr>
            </w:pPr>
            <w:r>
              <w:rPr>
                <w:sz w:val="24"/>
              </w:rPr>
              <w:t>Naujamiesčio lopšelis-darželis</w:t>
            </w:r>
            <w:r w:rsidR="00DB6678">
              <w:rPr>
                <w:sz w:val="24"/>
              </w:rPr>
              <w:t xml:space="preserve"> „Bitutė“</w:t>
            </w:r>
          </w:p>
        </w:tc>
        <w:tc>
          <w:tcPr>
            <w:tcW w:w="2629" w:type="dxa"/>
            <w:shd w:val="clear" w:color="auto" w:fill="auto"/>
          </w:tcPr>
          <w:p w:rsidR="003358F1" w:rsidRPr="00E63655" w:rsidRDefault="003358F1" w:rsidP="003358F1">
            <w:pPr>
              <w:suppressAutoHyphens w:val="0"/>
              <w:rPr>
                <w:sz w:val="24"/>
              </w:rPr>
            </w:pPr>
            <w:r>
              <w:rPr>
                <w:sz w:val="24"/>
              </w:rPr>
              <w:t>Vėdinimo sistemos remontui</w:t>
            </w:r>
          </w:p>
        </w:tc>
        <w:tc>
          <w:tcPr>
            <w:tcW w:w="900" w:type="dxa"/>
            <w:shd w:val="clear" w:color="auto" w:fill="auto"/>
          </w:tcPr>
          <w:p w:rsidR="003358F1" w:rsidRPr="00E63655" w:rsidRDefault="003358F1" w:rsidP="003358F1">
            <w:pPr>
              <w:suppressAutoHyphens w:val="0"/>
              <w:jc w:val="both"/>
              <w:rPr>
                <w:sz w:val="24"/>
              </w:rPr>
            </w:pPr>
            <w:r>
              <w:rPr>
                <w:sz w:val="24"/>
              </w:rPr>
              <w:t>0,4</w:t>
            </w:r>
          </w:p>
        </w:tc>
        <w:tc>
          <w:tcPr>
            <w:tcW w:w="1150" w:type="dxa"/>
            <w:shd w:val="clear" w:color="auto" w:fill="auto"/>
          </w:tcPr>
          <w:p w:rsidR="003358F1" w:rsidRPr="00E63655" w:rsidRDefault="003358F1" w:rsidP="003358F1">
            <w:pPr>
              <w:suppressAutoHyphens w:val="0"/>
              <w:jc w:val="both"/>
              <w:rPr>
                <w:sz w:val="24"/>
              </w:rPr>
            </w:pPr>
            <w:r>
              <w:rPr>
                <w:sz w:val="24"/>
              </w:rPr>
              <w:t>0,4</w:t>
            </w:r>
          </w:p>
        </w:tc>
        <w:tc>
          <w:tcPr>
            <w:tcW w:w="1430" w:type="dxa"/>
            <w:shd w:val="clear" w:color="auto" w:fill="auto"/>
          </w:tcPr>
          <w:p w:rsidR="003358F1" w:rsidRPr="00E63655" w:rsidRDefault="003358F1" w:rsidP="003358F1">
            <w:pPr>
              <w:suppressAutoHyphens w:val="0"/>
              <w:jc w:val="both"/>
              <w:rPr>
                <w:sz w:val="24"/>
              </w:rPr>
            </w:pPr>
          </w:p>
        </w:tc>
        <w:tc>
          <w:tcPr>
            <w:tcW w:w="922" w:type="dxa"/>
            <w:shd w:val="clear" w:color="auto" w:fill="auto"/>
          </w:tcPr>
          <w:p w:rsidR="003358F1" w:rsidRPr="00E63655" w:rsidRDefault="003358F1" w:rsidP="003358F1">
            <w:pPr>
              <w:suppressAutoHyphens w:val="0"/>
              <w:jc w:val="both"/>
              <w:rPr>
                <w:sz w:val="24"/>
              </w:rPr>
            </w:pPr>
          </w:p>
        </w:tc>
      </w:tr>
      <w:tr w:rsidR="003358F1" w:rsidRPr="00E63655" w:rsidTr="00592EDC">
        <w:tc>
          <w:tcPr>
            <w:tcW w:w="3117" w:type="dxa"/>
            <w:tcBorders>
              <w:bottom w:val="single" w:sz="4" w:space="0" w:color="auto"/>
            </w:tcBorders>
            <w:shd w:val="clear" w:color="auto" w:fill="auto"/>
          </w:tcPr>
          <w:p w:rsidR="003358F1" w:rsidRPr="00E63655" w:rsidRDefault="00F15506" w:rsidP="003358F1">
            <w:pPr>
              <w:suppressAutoHyphens w:val="0"/>
              <w:jc w:val="both"/>
              <w:rPr>
                <w:sz w:val="24"/>
              </w:rPr>
            </w:pPr>
            <w:r>
              <w:rPr>
                <w:sz w:val="24"/>
              </w:rPr>
              <w:t>Savivaldybės administracijai</w:t>
            </w:r>
          </w:p>
        </w:tc>
        <w:tc>
          <w:tcPr>
            <w:tcW w:w="2629" w:type="dxa"/>
            <w:tcBorders>
              <w:bottom w:val="single" w:sz="4" w:space="0" w:color="auto"/>
            </w:tcBorders>
            <w:shd w:val="clear" w:color="auto" w:fill="auto"/>
          </w:tcPr>
          <w:p w:rsidR="003358F1" w:rsidRPr="00E63655" w:rsidRDefault="00DB6678" w:rsidP="003358F1">
            <w:pPr>
              <w:suppressAutoHyphens w:val="0"/>
              <w:jc w:val="both"/>
              <w:rPr>
                <w:sz w:val="24"/>
              </w:rPr>
            </w:pPr>
            <w:r>
              <w:rPr>
                <w:sz w:val="24"/>
                <w:szCs w:val="24"/>
                <w:lang w:eastAsia="lt-LT"/>
              </w:rPr>
              <w:t>„</w:t>
            </w:r>
            <w:proofErr w:type="spellStart"/>
            <w:r>
              <w:rPr>
                <w:sz w:val="24"/>
                <w:szCs w:val="24"/>
                <w:lang w:eastAsia="lt-LT"/>
              </w:rPr>
              <w:t>Erasmus</w:t>
            </w:r>
            <w:proofErr w:type="spellEnd"/>
            <w:r>
              <w:rPr>
                <w:sz w:val="24"/>
                <w:szCs w:val="24"/>
                <w:lang w:eastAsia="lt-LT"/>
              </w:rPr>
              <w:t>+“projektas</w:t>
            </w:r>
          </w:p>
        </w:tc>
        <w:tc>
          <w:tcPr>
            <w:tcW w:w="900" w:type="dxa"/>
            <w:tcBorders>
              <w:bottom w:val="single" w:sz="4" w:space="0" w:color="auto"/>
            </w:tcBorders>
            <w:shd w:val="clear" w:color="auto" w:fill="auto"/>
          </w:tcPr>
          <w:p w:rsidR="003358F1" w:rsidRPr="00E63655" w:rsidRDefault="00F15506" w:rsidP="003358F1">
            <w:pPr>
              <w:suppressAutoHyphens w:val="0"/>
              <w:jc w:val="both"/>
              <w:rPr>
                <w:sz w:val="24"/>
              </w:rPr>
            </w:pPr>
            <w:r>
              <w:rPr>
                <w:sz w:val="24"/>
              </w:rPr>
              <w:t>12,0</w:t>
            </w:r>
          </w:p>
        </w:tc>
        <w:tc>
          <w:tcPr>
            <w:tcW w:w="1150" w:type="dxa"/>
            <w:tcBorders>
              <w:bottom w:val="single" w:sz="4" w:space="0" w:color="auto"/>
            </w:tcBorders>
            <w:shd w:val="clear" w:color="auto" w:fill="auto"/>
          </w:tcPr>
          <w:p w:rsidR="003358F1" w:rsidRPr="00E63655" w:rsidRDefault="00F15506" w:rsidP="003358F1">
            <w:pPr>
              <w:suppressAutoHyphens w:val="0"/>
              <w:jc w:val="both"/>
              <w:rPr>
                <w:sz w:val="24"/>
              </w:rPr>
            </w:pPr>
            <w:r>
              <w:rPr>
                <w:sz w:val="24"/>
              </w:rPr>
              <w:t>12,0</w:t>
            </w:r>
          </w:p>
        </w:tc>
        <w:tc>
          <w:tcPr>
            <w:tcW w:w="1430" w:type="dxa"/>
            <w:tcBorders>
              <w:bottom w:val="single" w:sz="4" w:space="0" w:color="auto"/>
            </w:tcBorders>
            <w:shd w:val="clear" w:color="auto" w:fill="auto"/>
          </w:tcPr>
          <w:p w:rsidR="003358F1" w:rsidRPr="00E63655" w:rsidRDefault="003358F1" w:rsidP="003358F1">
            <w:pPr>
              <w:suppressAutoHyphens w:val="0"/>
              <w:jc w:val="both"/>
              <w:rPr>
                <w:sz w:val="24"/>
              </w:rPr>
            </w:pPr>
          </w:p>
        </w:tc>
        <w:tc>
          <w:tcPr>
            <w:tcW w:w="922" w:type="dxa"/>
            <w:tcBorders>
              <w:bottom w:val="single" w:sz="4" w:space="0" w:color="auto"/>
            </w:tcBorders>
            <w:shd w:val="clear" w:color="auto" w:fill="auto"/>
          </w:tcPr>
          <w:p w:rsidR="003358F1" w:rsidRPr="00E63655" w:rsidRDefault="003358F1" w:rsidP="003358F1">
            <w:pPr>
              <w:suppressAutoHyphens w:val="0"/>
              <w:jc w:val="both"/>
              <w:rPr>
                <w:sz w:val="24"/>
              </w:rPr>
            </w:pPr>
          </w:p>
        </w:tc>
      </w:tr>
      <w:tr w:rsidR="003358F1" w:rsidRPr="00E63655" w:rsidTr="00592EDC">
        <w:tc>
          <w:tcPr>
            <w:tcW w:w="3117" w:type="dxa"/>
            <w:tcBorders>
              <w:bottom w:val="single" w:sz="4" w:space="0" w:color="auto"/>
            </w:tcBorders>
            <w:shd w:val="clear" w:color="auto" w:fill="auto"/>
          </w:tcPr>
          <w:p w:rsidR="003358F1" w:rsidRPr="00DB6678" w:rsidRDefault="00F15506" w:rsidP="00F15506">
            <w:pPr>
              <w:suppressAutoHyphens w:val="0"/>
              <w:jc w:val="right"/>
              <w:rPr>
                <w:sz w:val="24"/>
              </w:rPr>
            </w:pPr>
            <w:r w:rsidRPr="00DB6678">
              <w:rPr>
                <w:sz w:val="24"/>
              </w:rPr>
              <w:t>Iš viso</w:t>
            </w:r>
          </w:p>
        </w:tc>
        <w:tc>
          <w:tcPr>
            <w:tcW w:w="2629" w:type="dxa"/>
            <w:tcBorders>
              <w:bottom w:val="single" w:sz="4" w:space="0" w:color="auto"/>
            </w:tcBorders>
            <w:shd w:val="clear" w:color="auto" w:fill="auto"/>
          </w:tcPr>
          <w:p w:rsidR="003358F1" w:rsidRPr="00E63655" w:rsidRDefault="003358F1" w:rsidP="003358F1">
            <w:pPr>
              <w:suppressAutoHyphens w:val="0"/>
              <w:jc w:val="both"/>
              <w:rPr>
                <w:sz w:val="24"/>
              </w:rPr>
            </w:pPr>
          </w:p>
        </w:tc>
        <w:tc>
          <w:tcPr>
            <w:tcW w:w="900" w:type="dxa"/>
            <w:tcBorders>
              <w:bottom w:val="single" w:sz="4" w:space="0" w:color="auto"/>
            </w:tcBorders>
            <w:shd w:val="clear" w:color="auto" w:fill="auto"/>
          </w:tcPr>
          <w:p w:rsidR="003358F1" w:rsidRPr="00E63655" w:rsidRDefault="00F15506" w:rsidP="003358F1">
            <w:pPr>
              <w:suppressAutoHyphens w:val="0"/>
              <w:jc w:val="both"/>
              <w:rPr>
                <w:sz w:val="24"/>
              </w:rPr>
            </w:pPr>
            <w:r>
              <w:rPr>
                <w:sz w:val="24"/>
              </w:rPr>
              <w:t>38,3</w:t>
            </w:r>
          </w:p>
        </w:tc>
        <w:tc>
          <w:tcPr>
            <w:tcW w:w="1150" w:type="dxa"/>
            <w:tcBorders>
              <w:bottom w:val="single" w:sz="4" w:space="0" w:color="auto"/>
            </w:tcBorders>
            <w:shd w:val="clear" w:color="auto" w:fill="auto"/>
          </w:tcPr>
          <w:p w:rsidR="003358F1" w:rsidRPr="00E63655" w:rsidRDefault="00F15506" w:rsidP="003358F1">
            <w:pPr>
              <w:suppressAutoHyphens w:val="0"/>
              <w:jc w:val="both"/>
              <w:rPr>
                <w:sz w:val="24"/>
              </w:rPr>
            </w:pPr>
            <w:r>
              <w:rPr>
                <w:sz w:val="24"/>
              </w:rPr>
              <w:t>36,2</w:t>
            </w:r>
          </w:p>
        </w:tc>
        <w:tc>
          <w:tcPr>
            <w:tcW w:w="1430" w:type="dxa"/>
            <w:tcBorders>
              <w:bottom w:val="single" w:sz="4" w:space="0" w:color="auto"/>
            </w:tcBorders>
            <w:shd w:val="clear" w:color="auto" w:fill="auto"/>
          </w:tcPr>
          <w:p w:rsidR="003358F1" w:rsidRPr="00E63655" w:rsidRDefault="003358F1" w:rsidP="003358F1">
            <w:pPr>
              <w:suppressAutoHyphens w:val="0"/>
              <w:jc w:val="both"/>
              <w:rPr>
                <w:sz w:val="24"/>
              </w:rPr>
            </w:pPr>
          </w:p>
        </w:tc>
        <w:tc>
          <w:tcPr>
            <w:tcW w:w="922" w:type="dxa"/>
            <w:tcBorders>
              <w:bottom w:val="single" w:sz="4" w:space="0" w:color="auto"/>
            </w:tcBorders>
            <w:shd w:val="clear" w:color="auto" w:fill="auto"/>
          </w:tcPr>
          <w:p w:rsidR="003358F1" w:rsidRPr="00E63655" w:rsidRDefault="00F15506" w:rsidP="003358F1">
            <w:pPr>
              <w:suppressAutoHyphens w:val="0"/>
              <w:jc w:val="both"/>
              <w:rPr>
                <w:sz w:val="24"/>
              </w:rPr>
            </w:pPr>
            <w:r>
              <w:rPr>
                <w:sz w:val="24"/>
              </w:rPr>
              <w:t>2,1</w:t>
            </w:r>
          </w:p>
        </w:tc>
      </w:tr>
    </w:tbl>
    <w:p w:rsidR="00592EDC" w:rsidRDefault="00592EDC" w:rsidP="00F15506">
      <w:pPr>
        <w:suppressAutoHyphens w:val="0"/>
        <w:jc w:val="both"/>
        <w:rPr>
          <w:sz w:val="24"/>
        </w:rPr>
      </w:pPr>
    </w:p>
    <w:p w:rsidR="00592EDC" w:rsidRDefault="00DB6678" w:rsidP="00F15506">
      <w:pPr>
        <w:suppressAutoHyphens w:val="0"/>
        <w:jc w:val="both"/>
        <w:rPr>
          <w:sz w:val="24"/>
        </w:rPr>
      </w:pPr>
      <w:r>
        <w:rPr>
          <w:sz w:val="24"/>
        </w:rPr>
        <w:t xml:space="preserve">              </w:t>
      </w:r>
      <w:r w:rsidR="00592EDC">
        <w:rPr>
          <w:sz w:val="24"/>
        </w:rPr>
        <w:t>Kultūros projektų bendram finansavimui (15 % nuo projekto vertės) siūloma skirti 4,3 tūkst. eurų taip:</w:t>
      </w:r>
    </w:p>
    <w:p w:rsidR="00592EDC" w:rsidRDefault="00706FB3" w:rsidP="00F15506">
      <w:pPr>
        <w:suppressAutoHyphens w:val="0"/>
        <w:jc w:val="both"/>
        <w:rPr>
          <w:sz w:val="24"/>
        </w:rPr>
      </w:pPr>
      <w:r>
        <w:rPr>
          <w:sz w:val="24"/>
        </w:rPr>
        <w:t xml:space="preserve">              0,2 tūkst. eurų v</w:t>
      </w:r>
      <w:r w:rsidR="00592EDC">
        <w:rPr>
          <w:sz w:val="24"/>
        </w:rPr>
        <w:t>iešajai bibliotekai</w:t>
      </w:r>
      <w:r>
        <w:rPr>
          <w:sz w:val="24"/>
        </w:rPr>
        <w:t>;</w:t>
      </w:r>
    </w:p>
    <w:p w:rsidR="00592EDC" w:rsidRDefault="00706FB3" w:rsidP="00F15506">
      <w:pPr>
        <w:suppressAutoHyphens w:val="0"/>
        <w:jc w:val="both"/>
        <w:rPr>
          <w:sz w:val="24"/>
        </w:rPr>
      </w:pPr>
      <w:r>
        <w:rPr>
          <w:sz w:val="24"/>
        </w:rPr>
        <w:t xml:space="preserve">              </w:t>
      </w:r>
      <w:r w:rsidR="00592EDC">
        <w:rPr>
          <w:sz w:val="24"/>
        </w:rPr>
        <w:t>0,8 tūkst. eurų Smilgių kultūros centrui</w:t>
      </w:r>
      <w:r>
        <w:rPr>
          <w:sz w:val="24"/>
        </w:rPr>
        <w:t>;</w:t>
      </w:r>
    </w:p>
    <w:p w:rsidR="00592EDC" w:rsidRDefault="00706FB3" w:rsidP="00F15506">
      <w:pPr>
        <w:suppressAutoHyphens w:val="0"/>
        <w:jc w:val="both"/>
        <w:rPr>
          <w:sz w:val="24"/>
        </w:rPr>
      </w:pPr>
      <w:r>
        <w:rPr>
          <w:sz w:val="24"/>
        </w:rPr>
        <w:t xml:space="preserve">              </w:t>
      </w:r>
      <w:r w:rsidR="00592EDC">
        <w:rPr>
          <w:sz w:val="24"/>
        </w:rPr>
        <w:t>0,8 Naujamiesčio kultūros centrui-dailės galerijai</w:t>
      </w:r>
      <w:r>
        <w:rPr>
          <w:sz w:val="24"/>
        </w:rPr>
        <w:t>;</w:t>
      </w:r>
    </w:p>
    <w:p w:rsidR="004013F0" w:rsidRDefault="00706FB3" w:rsidP="00F15506">
      <w:pPr>
        <w:suppressAutoHyphens w:val="0"/>
        <w:jc w:val="both"/>
        <w:rPr>
          <w:sz w:val="24"/>
        </w:rPr>
      </w:pPr>
      <w:r>
        <w:rPr>
          <w:sz w:val="24"/>
        </w:rPr>
        <w:t xml:space="preserve">              </w:t>
      </w:r>
      <w:r w:rsidR="004013F0">
        <w:rPr>
          <w:sz w:val="24"/>
        </w:rPr>
        <w:t>0,4 tūkst. eurų Ėriškių kultūros centrui</w:t>
      </w:r>
      <w:r>
        <w:rPr>
          <w:sz w:val="24"/>
        </w:rPr>
        <w:t>;</w:t>
      </w:r>
    </w:p>
    <w:p w:rsidR="004013F0" w:rsidRDefault="00706FB3" w:rsidP="00F15506">
      <w:pPr>
        <w:suppressAutoHyphens w:val="0"/>
        <w:jc w:val="both"/>
        <w:rPr>
          <w:sz w:val="24"/>
        </w:rPr>
      </w:pPr>
      <w:r>
        <w:rPr>
          <w:sz w:val="24"/>
        </w:rPr>
        <w:t xml:space="preserve">              </w:t>
      </w:r>
      <w:r w:rsidR="004013F0">
        <w:rPr>
          <w:sz w:val="24"/>
        </w:rPr>
        <w:t xml:space="preserve">0,4 tūkst. </w:t>
      </w:r>
      <w:r>
        <w:rPr>
          <w:sz w:val="24"/>
        </w:rPr>
        <w:t xml:space="preserve">eurų </w:t>
      </w:r>
      <w:proofErr w:type="spellStart"/>
      <w:r>
        <w:rPr>
          <w:sz w:val="24"/>
        </w:rPr>
        <w:t>Šilagalio</w:t>
      </w:r>
      <w:proofErr w:type="spellEnd"/>
      <w:r>
        <w:rPr>
          <w:sz w:val="24"/>
        </w:rPr>
        <w:t xml:space="preserve"> kultūros centrui;</w:t>
      </w:r>
    </w:p>
    <w:p w:rsidR="00592EDC" w:rsidRDefault="00706FB3" w:rsidP="00F15506">
      <w:pPr>
        <w:suppressAutoHyphens w:val="0"/>
        <w:jc w:val="both"/>
        <w:rPr>
          <w:sz w:val="24"/>
        </w:rPr>
      </w:pPr>
      <w:r>
        <w:rPr>
          <w:sz w:val="24"/>
        </w:rPr>
        <w:t xml:space="preserve">              </w:t>
      </w:r>
      <w:r w:rsidR="004013F0">
        <w:rPr>
          <w:sz w:val="24"/>
        </w:rPr>
        <w:t>0,8 tūkst. eurų Krekenavos kultūros centrui</w:t>
      </w:r>
      <w:r>
        <w:rPr>
          <w:sz w:val="24"/>
        </w:rPr>
        <w:t>;</w:t>
      </w:r>
    </w:p>
    <w:p w:rsidR="00592EDC" w:rsidRDefault="00706FB3" w:rsidP="00F15506">
      <w:pPr>
        <w:suppressAutoHyphens w:val="0"/>
        <w:jc w:val="both"/>
        <w:rPr>
          <w:sz w:val="24"/>
        </w:rPr>
      </w:pPr>
      <w:r>
        <w:rPr>
          <w:sz w:val="24"/>
        </w:rPr>
        <w:t xml:space="preserve">              </w:t>
      </w:r>
      <w:r w:rsidR="004013F0">
        <w:rPr>
          <w:sz w:val="24"/>
        </w:rPr>
        <w:t>0,5 tūkst. eurų Švietimo centrui</w:t>
      </w:r>
      <w:r>
        <w:rPr>
          <w:sz w:val="24"/>
        </w:rPr>
        <w:t>;</w:t>
      </w:r>
    </w:p>
    <w:p w:rsidR="00592EDC" w:rsidRDefault="00706FB3" w:rsidP="00F15506">
      <w:pPr>
        <w:suppressAutoHyphens w:val="0"/>
        <w:jc w:val="both"/>
        <w:rPr>
          <w:sz w:val="24"/>
        </w:rPr>
      </w:pPr>
      <w:r>
        <w:rPr>
          <w:sz w:val="24"/>
        </w:rPr>
        <w:t xml:space="preserve">              </w:t>
      </w:r>
      <w:r w:rsidR="004013F0">
        <w:rPr>
          <w:sz w:val="24"/>
        </w:rPr>
        <w:t>0,4 tūkst. eurų Ramygalos klubui „Savos erdvės“</w:t>
      </w:r>
      <w:r>
        <w:rPr>
          <w:sz w:val="24"/>
        </w:rPr>
        <w:t>.</w:t>
      </w:r>
    </w:p>
    <w:p w:rsidR="00DA0AE4" w:rsidRDefault="00706FB3" w:rsidP="00F15506">
      <w:pPr>
        <w:suppressAutoHyphens w:val="0"/>
        <w:jc w:val="both"/>
        <w:rPr>
          <w:sz w:val="24"/>
        </w:rPr>
      </w:pPr>
      <w:r>
        <w:rPr>
          <w:sz w:val="24"/>
        </w:rPr>
        <w:t xml:space="preserve">              </w:t>
      </w:r>
      <w:r w:rsidR="0056489A">
        <w:rPr>
          <w:sz w:val="24"/>
        </w:rPr>
        <w:t>Lėšos neskiriamos:</w:t>
      </w:r>
      <w:r>
        <w:rPr>
          <w:sz w:val="24"/>
        </w:rPr>
        <w:t xml:space="preserve"> 7,2 tūkst. eurų </w:t>
      </w:r>
      <w:proofErr w:type="spellStart"/>
      <w:r>
        <w:rPr>
          <w:sz w:val="24"/>
        </w:rPr>
        <w:t>Velžio</w:t>
      </w:r>
      <w:proofErr w:type="spellEnd"/>
      <w:r>
        <w:rPr>
          <w:sz w:val="24"/>
        </w:rPr>
        <w:t xml:space="preserve"> lopšeliui-darželiui pavėsinių stogų dangai</w:t>
      </w:r>
      <w:r w:rsidR="00200D55">
        <w:rPr>
          <w:sz w:val="24"/>
        </w:rPr>
        <w:t xml:space="preserve"> pakei</w:t>
      </w:r>
      <w:r>
        <w:rPr>
          <w:sz w:val="24"/>
        </w:rPr>
        <w:t xml:space="preserve">sti; </w:t>
      </w:r>
      <w:proofErr w:type="spellStart"/>
      <w:r>
        <w:rPr>
          <w:sz w:val="24"/>
        </w:rPr>
        <w:t>Tiltagalių</w:t>
      </w:r>
      <w:proofErr w:type="spellEnd"/>
      <w:r>
        <w:rPr>
          <w:sz w:val="24"/>
        </w:rPr>
        <w:t xml:space="preserve"> kaimo bendruomenės nenurodytos l</w:t>
      </w:r>
      <w:r w:rsidR="00200D55">
        <w:rPr>
          <w:sz w:val="24"/>
        </w:rPr>
        <w:t>ėšos Karsakiškio bažnyčios bokšto remontui;</w:t>
      </w:r>
      <w:r>
        <w:rPr>
          <w:sz w:val="24"/>
        </w:rPr>
        <w:t xml:space="preserve"> lėšos nenurodytos Karsakiškio seniūnijos</w:t>
      </w:r>
      <w:r w:rsidR="00200D55">
        <w:rPr>
          <w:sz w:val="24"/>
        </w:rPr>
        <w:t xml:space="preserve"> Karsakiškio bažnyčios bokšto remontui.</w:t>
      </w:r>
    </w:p>
    <w:p w:rsidR="00592EDC" w:rsidRDefault="00200D55" w:rsidP="00F15506">
      <w:pPr>
        <w:suppressAutoHyphens w:val="0"/>
        <w:jc w:val="both"/>
        <w:rPr>
          <w:sz w:val="24"/>
        </w:rPr>
      </w:pPr>
      <w:r>
        <w:rPr>
          <w:sz w:val="24"/>
        </w:rPr>
        <w:t xml:space="preserve"> </w:t>
      </w:r>
    </w:p>
    <w:p w:rsidR="00341EF5" w:rsidRDefault="00DB6678" w:rsidP="00DB6678">
      <w:pPr>
        <w:suppressAutoHyphens w:val="0"/>
        <w:ind w:firstLine="720"/>
        <w:jc w:val="both"/>
        <w:rPr>
          <w:b/>
          <w:sz w:val="24"/>
        </w:rPr>
      </w:pPr>
      <w:r w:rsidRPr="00DB6678">
        <w:rPr>
          <w:b/>
          <w:sz w:val="24"/>
        </w:rPr>
        <w:t>3.</w:t>
      </w:r>
      <w:r>
        <w:rPr>
          <w:sz w:val="24"/>
        </w:rPr>
        <w:t xml:space="preserve"> </w:t>
      </w:r>
      <w:r w:rsidR="00341EF5">
        <w:rPr>
          <w:b/>
          <w:sz w:val="24"/>
        </w:rPr>
        <w:t>Kokių pozityvių rezultatų laukiama.</w:t>
      </w:r>
    </w:p>
    <w:p w:rsidR="00341EF5" w:rsidRDefault="00341EF5" w:rsidP="00341EF5">
      <w:pPr>
        <w:ind w:firstLine="720"/>
        <w:jc w:val="both"/>
        <w:rPr>
          <w:sz w:val="24"/>
        </w:rPr>
      </w:pPr>
      <w:r>
        <w:rPr>
          <w:sz w:val="24"/>
        </w:rPr>
        <w:t xml:space="preserve">Vykdant biudžetą bus užtikrintas visų biudžetinių įstaigų finansavimas, numatytų programų </w:t>
      </w:r>
      <w:r w:rsidR="006D3F73">
        <w:rPr>
          <w:sz w:val="24"/>
        </w:rPr>
        <w:t xml:space="preserve">ir projektų </w:t>
      </w:r>
      <w:r>
        <w:rPr>
          <w:sz w:val="24"/>
        </w:rPr>
        <w:t>vykdymas.</w:t>
      </w:r>
    </w:p>
    <w:p w:rsidR="00341EF5" w:rsidRDefault="00DB6678" w:rsidP="00DB6678">
      <w:pPr>
        <w:tabs>
          <w:tab w:val="left" w:pos="993"/>
        </w:tabs>
        <w:suppressAutoHyphens w:val="0"/>
        <w:ind w:firstLine="720"/>
        <w:jc w:val="both"/>
        <w:rPr>
          <w:b/>
          <w:sz w:val="24"/>
        </w:rPr>
      </w:pPr>
      <w:r>
        <w:rPr>
          <w:b/>
          <w:sz w:val="24"/>
        </w:rPr>
        <w:t xml:space="preserve">4. </w:t>
      </w:r>
      <w:r w:rsidR="00341EF5">
        <w:rPr>
          <w:b/>
          <w:sz w:val="24"/>
        </w:rPr>
        <w:t>Galimos neigiamos pasekmės priėmus projektą, kokių priemonių reikėtų imtis, kad tokių pasekmių būtų išvengta.</w:t>
      </w:r>
    </w:p>
    <w:p w:rsidR="00341EF5" w:rsidRDefault="00341EF5" w:rsidP="00341EF5">
      <w:pPr>
        <w:ind w:left="709"/>
        <w:jc w:val="both"/>
        <w:rPr>
          <w:sz w:val="24"/>
        </w:rPr>
      </w:pPr>
      <w:r>
        <w:rPr>
          <w:sz w:val="24"/>
        </w:rPr>
        <w:t>Neigiamų pasekmių nenumatoma.</w:t>
      </w:r>
    </w:p>
    <w:p w:rsidR="00341EF5" w:rsidRDefault="00DB6678" w:rsidP="00DB6678">
      <w:pPr>
        <w:tabs>
          <w:tab w:val="left" w:pos="993"/>
        </w:tabs>
        <w:suppressAutoHyphens w:val="0"/>
        <w:ind w:firstLine="720"/>
        <w:jc w:val="both"/>
        <w:rPr>
          <w:b/>
          <w:sz w:val="24"/>
        </w:rPr>
      </w:pPr>
      <w:r>
        <w:rPr>
          <w:b/>
          <w:sz w:val="24"/>
        </w:rPr>
        <w:t xml:space="preserve">5. </w:t>
      </w:r>
      <w:r w:rsidR="00341EF5">
        <w:rPr>
          <w:b/>
          <w:sz w:val="24"/>
        </w:rPr>
        <w:t xml:space="preserve">Kokius galiojančius teisės aktus būtina pakeisti ar panaikinti, priėmus teikiamą projektą. </w:t>
      </w:r>
    </w:p>
    <w:p w:rsidR="00341EF5" w:rsidRDefault="00341EF5" w:rsidP="00341EF5">
      <w:pPr>
        <w:ind w:left="709"/>
        <w:jc w:val="both"/>
        <w:rPr>
          <w:sz w:val="24"/>
        </w:rPr>
      </w:pPr>
      <w:r>
        <w:rPr>
          <w:sz w:val="24"/>
        </w:rPr>
        <w:t>Nereikės.</w:t>
      </w:r>
    </w:p>
    <w:p w:rsidR="00341EF5" w:rsidRDefault="00DB6678" w:rsidP="00DB6678">
      <w:pPr>
        <w:tabs>
          <w:tab w:val="left" w:pos="993"/>
        </w:tabs>
        <w:suppressAutoHyphens w:val="0"/>
        <w:ind w:firstLine="720"/>
        <w:jc w:val="both"/>
        <w:rPr>
          <w:b/>
          <w:sz w:val="24"/>
        </w:rPr>
      </w:pPr>
      <w:r>
        <w:rPr>
          <w:b/>
          <w:sz w:val="24"/>
        </w:rPr>
        <w:t xml:space="preserve">6. </w:t>
      </w:r>
      <w:r w:rsidR="00341EF5">
        <w:rPr>
          <w:b/>
          <w:sz w:val="24"/>
        </w:rPr>
        <w:t>Reikiami paskaičiavimai, išlaidų sąmatos bei finansavimo šaltiniai, reikalingi sprendimui įgyvendinti.</w:t>
      </w:r>
    </w:p>
    <w:p w:rsidR="00341EF5" w:rsidRDefault="0078039E" w:rsidP="0078039E">
      <w:pPr>
        <w:jc w:val="both"/>
        <w:rPr>
          <w:sz w:val="24"/>
        </w:rPr>
      </w:pPr>
      <w:r>
        <w:rPr>
          <w:sz w:val="24"/>
        </w:rPr>
        <w:t xml:space="preserve">            Iš v</w:t>
      </w:r>
      <w:r w:rsidR="0081058A">
        <w:rPr>
          <w:sz w:val="24"/>
        </w:rPr>
        <w:t xml:space="preserve">iso iš savivaldybės biudžeto likučio skiriama </w:t>
      </w:r>
      <w:r w:rsidR="00200D55">
        <w:rPr>
          <w:sz w:val="24"/>
        </w:rPr>
        <w:t>38,3</w:t>
      </w:r>
      <w:r w:rsidR="0081058A">
        <w:rPr>
          <w:sz w:val="24"/>
        </w:rPr>
        <w:t xml:space="preserve"> tūkst. eurų</w:t>
      </w:r>
      <w:r w:rsidR="00706FB3">
        <w:rPr>
          <w:sz w:val="24"/>
        </w:rPr>
        <w:t>, iš</w:t>
      </w:r>
      <w:r w:rsidR="00200D55">
        <w:rPr>
          <w:sz w:val="24"/>
        </w:rPr>
        <w:t xml:space="preserve"> dividendų </w:t>
      </w:r>
      <w:r w:rsidR="0041157B">
        <w:rPr>
          <w:sz w:val="24"/>
        </w:rPr>
        <w:t>18,1</w:t>
      </w:r>
      <w:r w:rsidR="00200D55">
        <w:rPr>
          <w:sz w:val="24"/>
        </w:rPr>
        <w:t xml:space="preserve"> tūkst. eurų, iš 7 procentų mokinio krepšel</w:t>
      </w:r>
      <w:r w:rsidR="00706FB3">
        <w:rPr>
          <w:sz w:val="24"/>
        </w:rPr>
        <w:t>io 26,0 tūkst. eurų, iš projektams finansuot</w:t>
      </w:r>
      <w:r w:rsidR="00200D55">
        <w:rPr>
          <w:sz w:val="24"/>
        </w:rPr>
        <w:t>i skirtų lėšų 4,3 tūkst. eurų.</w:t>
      </w:r>
    </w:p>
    <w:p w:rsidR="009C390A" w:rsidRDefault="00B63792" w:rsidP="00341EF5">
      <w:pPr>
        <w:jc w:val="both"/>
        <w:rPr>
          <w:sz w:val="24"/>
        </w:rPr>
      </w:pPr>
      <w:r>
        <w:rPr>
          <w:sz w:val="24"/>
        </w:rPr>
        <w:t xml:space="preserve">            Savivaldybės biudžeto apimtis padidinama </w:t>
      </w:r>
      <w:r w:rsidR="0041157B">
        <w:rPr>
          <w:sz w:val="24"/>
        </w:rPr>
        <w:t>603,7</w:t>
      </w:r>
      <w:r>
        <w:rPr>
          <w:sz w:val="24"/>
        </w:rPr>
        <w:t xml:space="preserve"> tūkst. eurų, iš jų </w:t>
      </w:r>
      <w:r w:rsidR="007F70F6">
        <w:rPr>
          <w:sz w:val="24"/>
        </w:rPr>
        <w:t>3</w:t>
      </w:r>
      <w:r w:rsidR="00DA0AE4">
        <w:rPr>
          <w:sz w:val="24"/>
        </w:rPr>
        <w:t>70,9</w:t>
      </w:r>
      <w:r>
        <w:rPr>
          <w:sz w:val="24"/>
        </w:rPr>
        <w:t xml:space="preserve"> tūkst. eurų valstybės biudžeto lėšos, </w:t>
      </w:r>
      <w:r w:rsidR="007F70F6">
        <w:rPr>
          <w:sz w:val="24"/>
        </w:rPr>
        <w:t>214,7</w:t>
      </w:r>
      <w:r>
        <w:rPr>
          <w:sz w:val="24"/>
        </w:rPr>
        <w:t xml:space="preserve"> tūkst. eurų ES projektų lėšos ir </w:t>
      </w:r>
      <w:r w:rsidR="007F70F6">
        <w:rPr>
          <w:sz w:val="24"/>
        </w:rPr>
        <w:t>1</w:t>
      </w:r>
      <w:r w:rsidR="0041157B">
        <w:rPr>
          <w:sz w:val="24"/>
        </w:rPr>
        <w:t>8,1</w:t>
      </w:r>
      <w:r w:rsidR="007F70F6">
        <w:rPr>
          <w:sz w:val="24"/>
        </w:rPr>
        <w:t xml:space="preserve"> tūkst. eurų dividendai.</w:t>
      </w:r>
    </w:p>
    <w:p w:rsidR="0081058A" w:rsidRDefault="0081058A" w:rsidP="00341EF5">
      <w:pPr>
        <w:jc w:val="both"/>
        <w:rPr>
          <w:sz w:val="24"/>
        </w:rPr>
      </w:pPr>
    </w:p>
    <w:p w:rsidR="0078039E" w:rsidRDefault="0078039E" w:rsidP="00341EF5">
      <w:pPr>
        <w:jc w:val="both"/>
        <w:rPr>
          <w:sz w:val="24"/>
        </w:rPr>
      </w:pPr>
    </w:p>
    <w:p w:rsidR="0081058A" w:rsidRDefault="0081058A" w:rsidP="00341EF5">
      <w:pPr>
        <w:jc w:val="both"/>
        <w:rPr>
          <w:sz w:val="24"/>
        </w:rPr>
      </w:pPr>
      <w:r>
        <w:rPr>
          <w:sz w:val="24"/>
        </w:rPr>
        <w:t>Finansų skyriaus vedėja</w:t>
      </w:r>
      <w:r>
        <w:rPr>
          <w:sz w:val="24"/>
        </w:rPr>
        <w:tab/>
      </w:r>
      <w:r>
        <w:rPr>
          <w:sz w:val="24"/>
        </w:rPr>
        <w:tab/>
      </w:r>
      <w:r>
        <w:rPr>
          <w:sz w:val="24"/>
        </w:rPr>
        <w:tab/>
      </w:r>
      <w:r>
        <w:rPr>
          <w:sz w:val="24"/>
        </w:rPr>
        <w:tab/>
      </w:r>
      <w:r w:rsidR="00706FB3">
        <w:rPr>
          <w:sz w:val="24"/>
        </w:rPr>
        <w:tab/>
      </w:r>
      <w:r>
        <w:rPr>
          <w:sz w:val="24"/>
        </w:rPr>
        <w:t xml:space="preserve">Genė </w:t>
      </w:r>
      <w:proofErr w:type="spellStart"/>
      <w:r>
        <w:rPr>
          <w:sz w:val="24"/>
        </w:rPr>
        <w:t>Šarkiūnienė</w:t>
      </w:r>
      <w:proofErr w:type="spellEnd"/>
    </w:p>
    <w:sectPr w:rsidR="0081058A"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CA3" w:rsidRDefault="007F0CA3">
      <w:r>
        <w:separator/>
      </w:r>
    </w:p>
  </w:endnote>
  <w:endnote w:type="continuationSeparator" w:id="0">
    <w:p w:rsidR="007F0CA3" w:rsidRDefault="007F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CA3" w:rsidRDefault="007F0CA3">
      <w:r>
        <w:separator/>
      </w:r>
    </w:p>
  </w:footnote>
  <w:footnote w:type="continuationSeparator" w:id="0">
    <w:p w:rsidR="007F0CA3" w:rsidRDefault="007F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58443416" r:id="rId2"/>
      </w:object>
    </w:r>
  </w:p>
  <w:p w:rsidR="007B608E" w:rsidRPr="009D012C" w:rsidRDefault="000B0255" w:rsidP="00E4508B">
    <w:pPr>
      <w:pStyle w:val="Antrats"/>
      <w:jc w:val="center"/>
      <w:rPr>
        <w:b/>
        <w:sz w:val="24"/>
        <w:szCs w:val="24"/>
      </w:rPr>
    </w:pPr>
    <w:r>
      <w:tab/>
    </w:r>
    <w:r w:rsidR="009D012C">
      <w:t xml:space="preserve">                                                                                                                                                 </w:t>
    </w:r>
    <w:r w:rsidR="002001F3" w:rsidRPr="009D012C">
      <w:rPr>
        <w:b/>
        <w:sz w:val="24"/>
        <w:szCs w:val="24"/>
      </w:rPr>
      <w:t>Projektas</w:t>
    </w:r>
    <w:r w:rsidRPr="009D012C">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3"/>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4E1"/>
    <w:rsid w:val="00016522"/>
    <w:rsid w:val="00034180"/>
    <w:rsid w:val="0003675C"/>
    <w:rsid w:val="00044AFC"/>
    <w:rsid w:val="000456C8"/>
    <w:rsid w:val="0004685A"/>
    <w:rsid w:val="00047BC7"/>
    <w:rsid w:val="00053113"/>
    <w:rsid w:val="000626A8"/>
    <w:rsid w:val="00063534"/>
    <w:rsid w:val="00065F82"/>
    <w:rsid w:val="0008248A"/>
    <w:rsid w:val="000A0FF5"/>
    <w:rsid w:val="000A16B4"/>
    <w:rsid w:val="000A2CE7"/>
    <w:rsid w:val="000A5F0F"/>
    <w:rsid w:val="000A7314"/>
    <w:rsid w:val="000B0255"/>
    <w:rsid w:val="000B1B46"/>
    <w:rsid w:val="000B67F7"/>
    <w:rsid w:val="000C08C9"/>
    <w:rsid w:val="000C0E81"/>
    <w:rsid w:val="000C3AE3"/>
    <w:rsid w:val="000C56C4"/>
    <w:rsid w:val="000D3FBF"/>
    <w:rsid w:val="000D5DF5"/>
    <w:rsid w:val="000E16E7"/>
    <w:rsid w:val="000F17E6"/>
    <w:rsid w:val="000F26EA"/>
    <w:rsid w:val="000F2AA5"/>
    <w:rsid w:val="000F58E1"/>
    <w:rsid w:val="000F68D5"/>
    <w:rsid w:val="0010367C"/>
    <w:rsid w:val="00105D42"/>
    <w:rsid w:val="001126FD"/>
    <w:rsid w:val="00116F50"/>
    <w:rsid w:val="001239F3"/>
    <w:rsid w:val="00123B31"/>
    <w:rsid w:val="001372E0"/>
    <w:rsid w:val="0014415C"/>
    <w:rsid w:val="00144907"/>
    <w:rsid w:val="00161F35"/>
    <w:rsid w:val="0016707E"/>
    <w:rsid w:val="00167F6C"/>
    <w:rsid w:val="00167FC2"/>
    <w:rsid w:val="001701A8"/>
    <w:rsid w:val="001746A6"/>
    <w:rsid w:val="001824F5"/>
    <w:rsid w:val="0018313F"/>
    <w:rsid w:val="0018651C"/>
    <w:rsid w:val="00187F07"/>
    <w:rsid w:val="00190353"/>
    <w:rsid w:val="001914B8"/>
    <w:rsid w:val="001A0328"/>
    <w:rsid w:val="001A0FBF"/>
    <w:rsid w:val="001A2EA9"/>
    <w:rsid w:val="001B0E02"/>
    <w:rsid w:val="001B3373"/>
    <w:rsid w:val="001B4599"/>
    <w:rsid w:val="001B594C"/>
    <w:rsid w:val="001B7E85"/>
    <w:rsid w:val="001D160C"/>
    <w:rsid w:val="001D6110"/>
    <w:rsid w:val="001E3C5C"/>
    <w:rsid w:val="001E7FD9"/>
    <w:rsid w:val="002001F3"/>
    <w:rsid w:val="00200D55"/>
    <w:rsid w:val="002019FC"/>
    <w:rsid w:val="00201A20"/>
    <w:rsid w:val="00201D50"/>
    <w:rsid w:val="002036E3"/>
    <w:rsid w:val="00204C32"/>
    <w:rsid w:val="00206A68"/>
    <w:rsid w:val="00212501"/>
    <w:rsid w:val="00212BC3"/>
    <w:rsid w:val="00213D5F"/>
    <w:rsid w:val="0022344E"/>
    <w:rsid w:val="002362FF"/>
    <w:rsid w:val="0023687A"/>
    <w:rsid w:val="002416C7"/>
    <w:rsid w:val="00241AB4"/>
    <w:rsid w:val="002446B0"/>
    <w:rsid w:val="00255E5B"/>
    <w:rsid w:val="00256EF0"/>
    <w:rsid w:val="002613DC"/>
    <w:rsid w:val="0027168F"/>
    <w:rsid w:val="002726A9"/>
    <w:rsid w:val="00272940"/>
    <w:rsid w:val="002803AF"/>
    <w:rsid w:val="00286195"/>
    <w:rsid w:val="00286A83"/>
    <w:rsid w:val="00296C66"/>
    <w:rsid w:val="002A00D7"/>
    <w:rsid w:val="002A5ADE"/>
    <w:rsid w:val="002A5EC3"/>
    <w:rsid w:val="002A60E9"/>
    <w:rsid w:val="002B1024"/>
    <w:rsid w:val="002B49C2"/>
    <w:rsid w:val="002C234C"/>
    <w:rsid w:val="002D3835"/>
    <w:rsid w:val="002D7004"/>
    <w:rsid w:val="002D78C2"/>
    <w:rsid w:val="002E37A1"/>
    <w:rsid w:val="002E68C3"/>
    <w:rsid w:val="002E7C2D"/>
    <w:rsid w:val="002F2C7B"/>
    <w:rsid w:val="002F48D3"/>
    <w:rsid w:val="003002DC"/>
    <w:rsid w:val="003178EC"/>
    <w:rsid w:val="003243CF"/>
    <w:rsid w:val="0032657E"/>
    <w:rsid w:val="00326F4A"/>
    <w:rsid w:val="00327A06"/>
    <w:rsid w:val="003358F1"/>
    <w:rsid w:val="00336783"/>
    <w:rsid w:val="00341EA3"/>
    <w:rsid w:val="00341EF5"/>
    <w:rsid w:val="0034653A"/>
    <w:rsid w:val="00347139"/>
    <w:rsid w:val="003543E9"/>
    <w:rsid w:val="00370596"/>
    <w:rsid w:val="00382020"/>
    <w:rsid w:val="00383B1B"/>
    <w:rsid w:val="0038487F"/>
    <w:rsid w:val="003A17FE"/>
    <w:rsid w:val="003A5B83"/>
    <w:rsid w:val="003B4268"/>
    <w:rsid w:val="003B5EF5"/>
    <w:rsid w:val="003B6A54"/>
    <w:rsid w:val="003C47B3"/>
    <w:rsid w:val="003C7409"/>
    <w:rsid w:val="003C770D"/>
    <w:rsid w:val="003D0A38"/>
    <w:rsid w:val="003D478E"/>
    <w:rsid w:val="003E05B7"/>
    <w:rsid w:val="003E2071"/>
    <w:rsid w:val="003E3264"/>
    <w:rsid w:val="003F0C5F"/>
    <w:rsid w:val="00401375"/>
    <w:rsid w:val="004013F0"/>
    <w:rsid w:val="004101E8"/>
    <w:rsid w:val="0041157B"/>
    <w:rsid w:val="004129AF"/>
    <w:rsid w:val="00413FC8"/>
    <w:rsid w:val="0041585B"/>
    <w:rsid w:val="004163F5"/>
    <w:rsid w:val="0042150D"/>
    <w:rsid w:val="00423271"/>
    <w:rsid w:val="0042485E"/>
    <w:rsid w:val="004256CB"/>
    <w:rsid w:val="00433A06"/>
    <w:rsid w:val="0043511D"/>
    <w:rsid w:val="00443ACB"/>
    <w:rsid w:val="00446697"/>
    <w:rsid w:val="00452624"/>
    <w:rsid w:val="00461953"/>
    <w:rsid w:val="00462DB5"/>
    <w:rsid w:val="0047474D"/>
    <w:rsid w:val="0048146B"/>
    <w:rsid w:val="00484069"/>
    <w:rsid w:val="004848B9"/>
    <w:rsid w:val="00486032"/>
    <w:rsid w:val="00492598"/>
    <w:rsid w:val="0049385F"/>
    <w:rsid w:val="00494D23"/>
    <w:rsid w:val="004958A6"/>
    <w:rsid w:val="004A0C41"/>
    <w:rsid w:val="004A766D"/>
    <w:rsid w:val="004B2CBA"/>
    <w:rsid w:val="004C0330"/>
    <w:rsid w:val="004C605E"/>
    <w:rsid w:val="004D1B52"/>
    <w:rsid w:val="004D3136"/>
    <w:rsid w:val="004E36B1"/>
    <w:rsid w:val="004F2F01"/>
    <w:rsid w:val="004F501D"/>
    <w:rsid w:val="004F5FF5"/>
    <w:rsid w:val="004F7847"/>
    <w:rsid w:val="00504261"/>
    <w:rsid w:val="00505343"/>
    <w:rsid w:val="00505DAC"/>
    <w:rsid w:val="00515D56"/>
    <w:rsid w:val="0051661F"/>
    <w:rsid w:val="00520790"/>
    <w:rsid w:val="00527CB9"/>
    <w:rsid w:val="00536AC2"/>
    <w:rsid w:val="00537A11"/>
    <w:rsid w:val="00537E70"/>
    <w:rsid w:val="00546B39"/>
    <w:rsid w:val="005477ED"/>
    <w:rsid w:val="005544E6"/>
    <w:rsid w:val="00557014"/>
    <w:rsid w:val="005622DC"/>
    <w:rsid w:val="0056489A"/>
    <w:rsid w:val="0057086E"/>
    <w:rsid w:val="00573601"/>
    <w:rsid w:val="005769B4"/>
    <w:rsid w:val="0058148A"/>
    <w:rsid w:val="0058373C"/>
    <w:rsid w:val="00592EDC"/>
    <w:rsid w:val="005A2825"/>
    <w:rsid w:val="005A7052"/>
    <w:rsid w:val="005A757A"/>
    <w:rsid w:val="005B1520"/>
    <w:rsid w:val="005C02BC"/>
    <w:rsid w:val="005C1E36"/>
    <w:rsid w:val="005C420B"/>
    <w:rsid w:val="005C45A8"/>
    <w:rsid w:val="005D1E2F"/>
    <w:rsid w:val="005D4B66"/>
    <w:rsid w:val="005D538D"/>
    <w:rsid w:val="005D577A"/>
    <w:rsid w:val="005E11B0"/>
    <w:rsid w:val="005E4523"/>
    <w:rsid w:val="005E5908"/>
    <w:rsid w:val="005F20D6"/>
    <w:rsid w:val="00602CA8"/>
    <w:rsid w:val="00620B22"/>
    <w:rsid w:val="00630563"/>
    <w:rsid w:val="00636AE0"/>
    <w:rsid w:val="00643171"/>
    <w:rsid w:val="006473F7"/>
    <w:rsid w:val="0065443D"/>
    <w:rsid w:val="00672073"/>
    <w:rsid w:val="006745A8"/>
    <w:rsid w:val="00676A5E"/>
    <w:rsid w:val="0068257F"/>
    <w:rsid w:val="00691516"/>
    <w:rsid w:val="00693A70"/>
    <w:rsid w:val="0069777E"/>
    <w:rsid w:val="006A35F2"/>
    <w:rsid w:val="006A5A2F"/>
    <w:rsid w:val="006A74C0"/>
    <w:rsid w:val="006B2E2E"/>
    <w:rsid w:val="006B317A"/>
    <w:rsid w:val="006B61ED"/>
    <w:rsid w:val="006C4B61"/>
    <w:rsid w:val="006C4EA1"/>
    <w:rsid w:val="006C67E0"/>
    <w:rsid w:val="006D09AE"/>
    <w:rsid w:val="006D163F"/>
    <w:rsid w:val="006D2FF1"/>
    <w:rsid w:val="006D3F73"/>
    <w:rsid w:val="006E01D7"/>
    <w:rsid w:val="006E3D38"/>
    <w:rsid w:val="0070015E"/>
    <w:rsid w:val="00706FB3"/>
    <w:rsid w:val="00707C5F"/>
    <w:rsid w:val="007101A6"/>
    <w:rsid w:val="00712153"/>
    <w:rsid w:val="0071585A"/>
    <w:rsid w:val="00715A1B"/>
    <w:rsid w:val="00717C35"/>
    <w:rsid w:val="00721E71"/>
    <w:rsid w:val="00722464"/>
    <w:rsid w:val="00722C82"/>
    <w:rsid w:val="00722D5C"/>
    <w:rsid w:val="00737F57"/>
    <w:rsid w:val="007425BF"/>
    <w:rsid w:val="007454B7"/>
    <w:rsid w:val="00751162"/>
    <w:rsid w:val="007563EC"/>
    <w:rsid w:val="007569E8"/>
    <w:rsid w:val="00765586"/>
    <w:rsid w:val="00766CA5"/>
    <w:rsid w:val="0078039E"/>
    <w:rsid w:val="00784F12"/>
    <w:rsid w:val="007862A0"/>
    <w:rsid w:val="0079201B"/>
    <w:rsid w:val="00796097"/>
    <w:rsid w:val="007A222F"/>
    <w:rsid w:val="007A3377"/>
    <w:rsid w:val="007A39BB"/>
    <w:rsid w:val="007A64F0"/>
    <w:rsid w:val="007A703B"/>
    <w:rsid w:val="007B608E"/>
    <w:rsid w:val="007C2128"/>
    <w:rsid w:val="007C6CE1"/>
    <w:rsid w:val="007D7A67"/>
    <w:rsid w:val="007D7BCA"/>
    <w:rsid w:val="007E05A3"/>
    <w:rsid w:val="007E2A27"/>
    <w:rsid w:val="007E5D34"/>
    <w:rsid w:val="007E7D71"/>
    <w:rsid w:val="007F03CC"/>
    <w:rsid w:val="007F0CA3"/>
    <w:rsid w:val="007F391E"/>
    <w:rsid w:val="007F70F6"/>
    <w:rsid w:val="00803131"/>
    <w:rsid w:val="00805F52"/>
    <w:rsid w:val="0080721A"/>
    <w:rsid w:val="0081058A"/>
    <w:rsid w:val="00813932"/>
    <w:rsid w:val="008163FD"/>
    <w:rsid w:val="00817CD2"/>
    <w:rsid w:val="00834668"/>
    <w:rsid w:val="00841670"/>
    <w:rsid w:val="00841902"/>
    <w:rsid w:val="00844D9C"/>
    <w:rsid w:val="00845121"/>
    <w:rsid w:val="00850429"/>
    <w:rsid w:val="00853A88"/>
    <w:rsid w:val="008549D5"/>
    <w:rsid w:val="0085748A"/>
    <w:rsid w:val="00863083"/>
    <w:rsid w:val="0087307F"/>
    <w:rsid w:val="00877BE4"/>
    <w:rsid w:val="00885445"/>
    <w:rsid w:val="00885CB3"/>
    <w:rsid w:val="00886560"/>
    <w:rsid w:val="00890816"/>
    <w:rsid w:val="008909EF"/>
    <w:rsid w:val="00890E62"/>
    <w:rsid w:val="008918D8"/>
    <w:rsid w:val="00893430"/>
    <w:rsid w:val="00896047"/>
    <w:rsid w:val="008960E6"/>
    <w:rsid w:val="008A2EFA"/>
    <w:rsid w:val="008A4FBE"/>
    <w:rsid w:val="008B27C1"/>
    <w:rsid w:val="008B4780"/>
    <w:rsid w:val="008C2731"/>
    <w:rsid w:val="008D23A9"/>
    <w:rsid w:val="008D3DD5"/>
    <w:rsid w:val="008E0C89"/>
    <w:rsid w:val="008E1047"/>
    <w:rsid w:val="008E16A1"/>
    <w:rsid w:val="008E5669"/>
    <w:rsid w:val="008E6E32"/>
    <w:rsid w:val="008F2571"/>
    <w:rsid w:val="008F5D12"/>
    <w:rsid w:val="00904855"/>
    <w:rsid w:val="00904A86"/>
    <w:rsid w:val="00904DDB"/>
    <w:rsid w:val="00911060"/>
    <w:rsid w:val="00911B06"/>
    <w:rsid w:val="00912AA9"/>
    <w:rsid w:val="00923600"/>
    <w:rsid w:val="00927ABE"/>
    <w:rsid w:val="009317D5"/>
    <w:rsid w:val="00933780"/>
    <w:rsid w:val="00934EDD"/>
    <w:rsid w:val="0093570E"/>
    <w:rsid w:val="0093738C"/>
    <w:rsid w:val="00940E2B"/>
    <w:rsid w:val="00942D60"/>
    <w:rsid w:val="00944631"/>
    <w:rsid w:val="0094496A"/>
    <w:rsid w:val="00951A42"/>
    <w:rsid w:val="00953CC6"/>
    <w:rsid w:val="00953E9A"/>
    <w:rsid w:val="00956BDB"/>
    <w:rsid w:val="009576B8"/>
    <w:rsid w:val="00964180"/>
    <w:rsid w:val="00966A34"/>
    <w:rsid w:val="00971ACB"/>
    <w:rsid w:val="009773E1"/>
    <w:rsid w:val="00984523"/>
    <w:rsid w:val="00987343"/>
    <w:rsid w:val="00987B30"/>
    <w:rsid w:val="00987FCF"/>
    <w:rsid w:val="009952BC"/>
    <w:rsid w:val="009A111F"/>
    <w:rsid w:val="009A498B"/>
    <w:rsid w:val="009A6D6D"/>
    <w:rsid w:val="009B2592"/>
    <w:rsid w:val="009B3AE9"/>
    <w:rsid w:val="009B5CBF"/>
    <w:rsid w:val="009B5EA3"/>
    <w:rsid w:val="009C07CF"/>
    <w:rsid w:val="009C2A9C"/>
    <w:rsid w:val="009C390A"/>
    <w:rsid w:val="009C4371"/>
    <w:rsid w:val="009C4648"/>
    <w:rsid w:val="009D012C"/>
    <w:rsid w:val="009D19E2"/>
    <w:rsid w:val="009D627D"/>
    <w:rsid w:val="009E3725"/>
    <w:rsid w:val="00A029E6"/>
    <w:rsid w:val="00A052B3"/>
    <w:rsid w:val="00A054F8"/>
    <w:rsid w:val="00A0655C"/>
    <w:rsid w:val="00A15E2E"/>
    <w:rsid w:val="00A23873"/>
    <w:rsid w:val="00A26567"/>
    <w:rsid w:val="00A26BE0"/>
    <w:rsid w:val="00A31426"/>
    <w:rsid w:val="00A3339D"/>
    <w:rsid w:val="00A44047"/>
    <w:rsid w:val="00A552D2"/>
    <w:rsid w:val="00A71CEF"/>
    <w:rsid w:val="00A82F54"/>
    <w:rsid w:val="00A87CFF"/>
    <w:rsid w:val="00A9002D"/>
    <w:rsid w:val="00A9403D"/>
    <w:rsid w:val="00A969F6"/>
    <w:rsid w:val="00AA3B05"/>
    <w:rsid w:val="00AA3C75"/>
    <w:rsid w:val="00AB2DCB"/>
    <w:rsid w:val="00AC53D3"/>
    <w:rsid w:val="00AC55A7"/>
    <w:rsid w:val="00AD309F"/>
    <w:rsid w:val="00AF3ACF"/>
    <w:rsid w:val="00AF61C3"/>
    <w:rsid w:val="00B0274A"/>
    <w:rsid w:val="00B15401"/>
    <w:rsid w:val="00B2197A"/>
    <w:rsid w:val="00B24645"/>
    <w:rsid w:val="00B2494C"/>
    <w:rsid w:val="00B276C5"/>
    <w:rsid w:val="00B3328C"/>
    <w:rsid w:val="00B36D77"/>
    <w:rsid w:val="00B37471"/>
    <w:rsid w:val="00B37B08"/>
    <w:rsid w:val="00B4463E"/>
    <w:rsid w:val="00B45D67"/>
    <w:rsid w:val="00B54958"/>
    <w:rsid w:val="00B62E2C"/>
    <w:rsid w:val="00B63792"/>
    <w:rsid w:val="00B65DD8"/>
    <w:rsid w:val="00B708CD"/>
    <w:rsid w:val="00B7367C"/>
    <w:rsid w:val="00B74D49"/>
    <w:rsid w:val="00B85774"/>
    <w:rsid w:val="00B94508"/>
    <w:rsid w:val="00B969DE"/>
    <w:rsid w:val="00B97299"/>
    <w:rsid w:val="00BA13E4"/>
    <w:rsid w:val="00BA66BE"/>
    <w:rsid w:val="00BB0379"/>
    <w:rsid w:val="00BB0698"/>
    <w:rsid w:val="00BB1156"/>
    <w:rsid w:val="00BB296A"/>
    <w:rsid w:val="00BB4076"/>
    <w:rsid w:val="00BB6D63"/>
    <w:rsid w:val="00BC2C60"/>
    <w:rsid w:val="00BC4BF8"/>
    <w:rsid w:val="00BC4D3B"/>
    <w:rsid w:val="00BD3CA8"/>
    <w:rsid w:val="00BE0F82"/>
    <w:rsid w:val="00BE1C17"/>
    <w:rsid w:val="00BE42DA"/>
    <w:rsid w:val="00BF75BB"/>
    <w:rsid w:val="00C07BD2"/>
    <w:rsid w:val="00C10191"/>
    <w:rsid w:val="00C11ADB"/>
    <w:rsid w:val="00C17281"/>
    <w:rsid w:val="00C206BB"/>
    <w:rsid w:val="00C2079B"/>
    <w:rsid w:val="00C23401"/>
    <w:rsid w:val="00C25F05"/>
    <w:rsid w:val="00C271A3"/>
    <w:rsid w:val="00C30226"/>
    <w:rsid w:val="00C36D9C"/>
    <w:rsid w:val="00C37B59"/>
    <w:rsid w:val="00C40B80"/>
    <w:rsid w:val="00C40BA1"/>
    <w:rsid w:val="00C4422A"/>
    <w:rsid w:val="00C45286"/>
    <w:rsid w:val="00C51DFE"/>
    <w:rsid w:val="00C56E19"/>
    <w:rsid w:val="00C713DF"/>
    <w:rsid w:val="00C754F9"/>
    <w:rsid w:val="00C8174D"/>
    <w:rsid w:val="00C82C1F"/>
    <w:rsid w:val="00C84D41"/>
    <w:rsid w:val="00C91600"/>
    <w:rsid w:val="00C95C56"/>
    <w:rsid w:val="00CA1A4C"/>
    <w:rsid w:val="00CA23A7"/>
    <w:rsid w:val="00CA4266"/>
    <w:rsid w:val="00CA5738"/>
    <w:rsid w:val="00CA7CEB"/>
    <w:rsid w:val="00CB061D"/>
    <w:rsid w:val="00CB164A"/>
    <w:rsid w:val="00CB2412"/>
    <w:rsid w:val="00CB36D4"/>
    <w:rsid w:val="00CB489B"/>
    <w:rsid w:val="00CB5F75"/>
    <w:rsid w:val="00CB7730"/>
    <w:rsid w:val="00CC11D9"/>
    <w:rsid w:val="00CC214A"/>
    <w:rsid w:val="00CC282C"/>
    <w:rsid w:val="00CC2F25"/>
    <w:rsid w:val="00CD2395"/>
    <w:rsid w:val="00CE0DC4"/>
    <w:rsid w:val="00CE5980"/>
    <w:rsid w:val="00CF0E19"/>
    <w:rsid w:val="00CF46D6"/>
    <w:rsid w:val="00D03C86"/>
    <w:rsid w:val="00D04ADC"/>
    <w:rsid w:val="00D053E3"/>
    <w:rsid w:val="00D1492E"/>
    <w:rsid w:val="00D22EC3"/>
    <w:rsid w:val="00D23524"/>
    <w:rsid w:val="00D2609F"/>
    <w:rsid w:val="00D353A4"/>
    <w:rsid w:val="00D41780"/>
    <w:rsid w:val="00D53762"/>
    <w:rsid w:val="00D55F93"/>
    <w:rsid w:val="00D608F8"/>
    <w:rsid w:val="00D712CB"/>
    <w:rsid w:val="00D832A8"/>
    <w:rsid w:val="00D83B4B"/>
    <w:rsid w:val="00D93A36"/>
    <w:rsid w:val="00D96C95"/>
    <w:rsid w:val="00D979AE"/>
    <w:rsid w:val="00DA03F9"/>
    <w:rsid w:val="00DA0AE4"/>
    <w:rsid w:val="00DA1BAE"/>
    <w:rsid w:val="00DB09A6"/>
    <w:rsid w:val="00DB5121"/>
    <w:rsid w:val="00DB6678"/>
    <w:rsid w:val="00DB797F"/>
    <w:rsid w:val="00DD4FA0"/>
    <w:rsid w:val="00DD6698"/>
    <w:rsid w:val="00DD68E1"/>
    <w:rsid w:val="00DD7764"/>
    <w:rsid w:val="00DE06DC"/>
    <w:rsid w:val="00DE3413"/>
    <w:rsid w:val="00DE513E"/>
    <w:rsid w:val="00E030FD"/>
    <w:rsid w:val="00E03169"/>
    <w:rsid w:val="00E05FD0"/>
    <w:rsid w:val="00E10F83"/>
    <w:rsid w:val="00E12CE4"/>
    <w:rsid w:val="00E1580B"/>
    <w:rsid w:val="00E17BE4"/>
    <w:rsid w:val="00E21D35"/>
    <w:rsid w:val="00E25545"/>
    <w:rsid w:val="00E27607"/>
    <w:rsid w:val="00E332DE"/>
    <w:rsid w:val="00E41720"/>
    <w:rsid w:val="00E43F77"/>
    <w:rsid w:val="00E4508B"/>
    <w:rsid w:val="00E54717"/>
    <w:rsid w:val="00E6225C"/>
    <w:rsid w:val="00E63231"/>
    <w:rsid w:val="00E63655"/>
    <w:rsid w:val="00E6671F"/>
    <w:rsid w:val="00E67218"/>
    <w:rsid w:val="00E807A7"/>
    <w:rsid w:val="00E826B3"/>
    <w:rsid w:val="00E85817"/>
    <w:rsid w:val="00E86593"/>
    <w:rsid w:val="00E90B56"/>
    <w:rsid w:val="00EA03F3"/>
    <w:rsid w:val="00EB218C"/>
    <w:rsid w:val="00EB275A"/>
    <w:rsid w:val="00EB2CDE"/>
    <w:rsid w:val="00EB2EC7"/>
    <w:rsid w:val="00EC1D37"/>
    <w:rsid w:val="00EC627C"/>
    <w:rsid w:val="00EC754B"/>
    <w:rsid w:val="00ED24A6"/>
    <w:rsid w:val="00ED6F20"/>
    <w:rsid w:val="00EE0210"/>
    <w:rsid w:val="00EF2ABE"/>
    <w:rsid w:val="00EF55F5"/>
    <w:rsid w:val="00F078BD"/>
    <w:rsid w:val="00F108AF"/>
    <w:rsid w:val="00F116F5"/>
    <w:rsid w:val="00F15506"/>
    <w:rsid w:val="00F21445"/>
    <w:rsid w:val="00F2503F"/>
    <w:rsid w:val="00F3300E"/>
    <w:rsid w:val="00F35E9A"/>
    <w:rsid w:val="00F4117E"/>
    <w:rsid w:val="00F419CC"/>
    <w:rsid w:val="00F427CC"/>
    <w:rsid w:val="00F4354D"/>
    <w:rsid w:val="00F43DD2"/>
    <w:rsid w:val="00F458A6"/>
    <w:rsid w:val="00F463E2"/>
    <w:rsid w:val="00F53ECF"/>
    <w:rsid w:val="00F71D0E"/>
    <w:rsid w:val="00F81113"/>
    <w:rsid w:val="00F91657"/>
    <w:rsid w:val="00F976B0"/>
    <w:rsid w:val="00FA2818"/>
    <w:rsid w:val="00FA4C1E"/>
    <w:rsid w:val="00FA7DD1"/>
    <w:rsid w:val="00FB49C8"/>
    <w:rsid w:val="00FB51CE"/>
    <w:rsid w:val="00FB539F"/>
    <w:rsid w:val="00FB6A39"/>
    <w:rsid w:val="00FC15DE"/>
    <w:rsid w:val="00FC30E1"/>
    <w:rsid w:val="00FC709F"/>
    <w:rsid w:val="00FD1FDC"/>
    <w:rsid w:val="00FD535B"/>
    <w:rsid w:val="00FD5AC9"/>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B0DD24-0B4F-4852-A586-3A0F2B28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8A4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14366-280F-49FF-AF12-0AB17D98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5793</Words>
  <Characters>3303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9</cp:revision>
  <cp:lastPrinted>2017-06-08T13:10:00Z</cp:lastPrinted>
  <dcterms:created xsi:type="dcterms:W3CDTF">2017-06-08T10:07:00Z</dcterms:created>
  <dcterms:modified xsi:type="dcterms:W3CDTF">2017-06-08T13:11:00Z</dcterms:modified>
</cp:coreProperties>
</file>