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8" w:rsidRDefault="00230968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230968" w:rsidRDefault="00230968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 rajono savivaldybės tarybos</w:t>
      </w:r>
    </w:p>
    <w:p w:rsidR="00230968" w:rsidRPr="00A1124E" w:rsidRDefault="00230968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2017 m. birželio 22 d. sprendimu Nr. T-</w:t>
      </w:r>
    </w:p>
    <w:p w:rsidR="00230968" w:rsidRDefault="00230968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230968" w:rsidRDefault="00230968" w:rsidP="00E21B61">
      <w:pPr>
        <w:spacing w:after="0" w:line="240" w:lineRule="auto"/>
        <w:jc w:val="center"/>
      </w:pPr>
      <w:r>
        <w:rPr>
          <w:b/>
          <w:bCs/>
          <w:caps/>
        </w:rPr>
        <w:t>panevėžio rajono savivaldybės KREKEN</w:t>
      </w:r>
      <w:r w:rsidR="00A23974">
        <w:rPr>
          <w:b/>
          <w:bCs/>
          <w:caps/>
        </w:rPr>
        <w:t>AVOS kultūros centro direktorĖ</w:t>
      </w:r>
      <w:r>
        <w:rPr>
          <w:b/>
          <w:bCs/>
          <w:caps/>
        </w:rPr>
        <w:t xml:space="preserve">s </w:t>
      </w:r>
      <w:r w:rsidR="00A23974">
        <w:rPr>
          <w:b/>
          <w:bCs/>
          <w:caps/>
        </w:rPr>
        <w:t xml:space="preserve">MIRANDOS VAITKEVIČIENĖS </w:t>
      </w:r>
      <w:r>
        <w:rPr>
          <w:b/>
          <w:bCs/>
          <w:caps/>
        </w:rPr>
        <w:t>2016 metų veiklos ataskaita</w:t>
      </w:r>
    </w:p>
    <w:p w:rsidR="00230968" w:rsidRPr="00FF29CD" w:rsidRDefault="00230968" w:rsidP="003309FF">
      <w:pPr>
        <w:spacing w:after="0" w:line="240" w:lineRule="auto"/>
        <w:jc w:val="center"/>
        <w:rPr>
          <w:bCs/>
          <w:caps/>
        </w:rPr>
      </w:pPr>
    </w:p>
    <w:p w:rsidR="00230968" w:rsidRDefault="00230968" w:rsidP="003309FF">
      <w:pPr>
        <w:spacing w:after="0" w:line="240" w:lineRule="auto"/>
        <w:jc w:val="center"/>
      </w:pPr>
      <w:r>
        <w:rPr>
          <w:b/>
        </w:rPr>
        <w:t xml:space="preserve">I. BENDROS ŽINIOS </w:t>
      </w:r>
    </w:p>
    <w:p w:rsidR="00230968" w:rsidRPr="00A1124E" w:rsidRDefault="00230968" w:rsidP="003309FF">
      <w:pPr>
        <w:spacing w:after="0" w:line="240" w:lineRule="auto"/>
        <w:ind w:firstLine="851"/>
        <w:jc w:val="both"/>
      </w:pPr>
    </w:p>
    <w:p w:rsidR="00E21B61" w:rsidRDefault="00230968" w:rsidP="00FF29CD">
      <w:pPr>
        <w:spacing w:after="0" w:line="240" w:lineRule="auto"/>
        <w:ind w:firstLine="851"/>
        <w:jc w:val="both"/>
      </w:pPr>
      <w:r w:rsidRPr="00FF29CD">
        <w:t>Įstaigos pristatymas</w:t>
      </w:r>
      <w:r w:rsidR="00E21B61">
        <w:t>. D</w:t>
      </w:r>
      <w:r>
        <w:t>irektor</w:t>
      </w:r>
      <w:r w:rsidR="00E21B61">
        <w:t>ė</w:t>
      </w:r>
      <w:r>
        <w:t xml:space="preserve"> </w:t>
      </w:r>
      <w:proofErr w:type="spellStart"/>
      <w:r>
        <w:t>Miranda</w:t>
      </w:r>
      <w:proofErr w:type="spellEnd"/>
      <w:r>
        <w:t xml:space="preserve"> Vaitkevičienė, vadybinio darbo stažas – 13 metų.</w:t>
      </w:r>
      <w:r w:rsidR="00E21B61">
        <w:rPr>
          <w:color w:val="000000"/>
        </w:rPr>
        <w:t xml:space="preserve"> </w:t>
      </w:r>
      <w:r w:rsidR="00A91346">
        <w:rPr>
          <w:color w:val="000000"/>
        </w:rPr>
        <w:t>Kultūros centrui suteikta pirmoji</w:t>
      </w:r>
      <w:r>
        <w:rPr>
          <w:color w:val="000000"/>
        </w:rPr>
        <w:t xml:space="preserve"> kategorija.</w:t>
      </w:r>
      <w:r w:rsidR="00E21B61">
        <w:t xml:space="preserve"> </w:t>
      </w:r>
      <w:r>
        <w:t>Didžiausias leistinas par</w:t>
      </w:r>
      <w:r w:rsidR="00FF29CD">
        <w:t>eigybių (etatų) skaičius – 9,5.</w:t>
      </w:r>
    </w:p>
    <w:p w:rsidR="00230968" w:rsidRDefault="00230968" w:rsidP="00A1124E">
      <w:pPr>
        <w:spacing w:after="0" w:line="240" w:lineRule="auto"/>
        <w:ind w:firstLine="851"/>
        <w:jc w:val="both"/>
      </w:pPr>
      <w:r>
        <w:t>Darbuotojai:</w:t>
      </w:r>
    </w:p>
    <w:tbl>
      <w:tblPr>
        <w:tblpPr w:leftFromText="180" w:rightFromText="180" w:vertAnchor="text" w:horzAnchor="page" w:tblpX="1827" w:tblpY="-36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739"/>
        <w:gridCol w:w="528"/>
        <w:gridCol w:w="739"/>
        <w:gridCol w:w="528"/>
        <w:gridCol w:w="741"/>
        <w:gridCol w:w="609"/>
        <w:gridCol w:w="796"/>
        <w:gridCol w:w="576"/>
        <w:gridCol w:w="741"/>
        <w:gridCol w:w="531"/>
        <w:gridCol w:w="739"/>
        <w:gridCol w:w="528"/>
        <w:gridCol w:w="683"/>
      </w:tblGrid>
      <w:tr w:rsidR="00230968" w:rsidTr="001522C6">
        <w:trPr>
          <w:trHeight w:val="381"/>
        </w:trPr>
        <w:tc>
          <w:tcPr>
            <w:tcW w:w="606" w:type="pct"/>
            <w:vMerge w:val="restar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67" w:type="pct"/>
            <w:gridSpan w:val="2"/>
            <w:vMerge w:val="restar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Etatai</w:t>
            </w:r>
          </w:p>
        </w:tc>
        <w:tc>
          <w:tcPr>
            <w:tcW w:w="3060" w:type="pct"/>
            <w:gridSpan w:val="9"/>
          </w:tcPr>
          <w:p w:rsidR="00230968" w:rsidRPr="00614B4A" w:rsidRDefault="00230968" w:rsidP="001522C6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230968" w:rsidRDefault="00230968" w:rsidP="001522C6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230968" w:rsidTr="00F12ECD">
        <w:trPr>
          <w:trHeight w:val="796"/>
        </w:trPr>
        <w:tc>
          <w:tcPr>
            <w:tcW w:w="606" w:type="pct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23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70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67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2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230968" w:rsidTr="001522C6">
        <w:trPr>
          <w:trHeight w:val="461"/>
        </w:trPr>
        <w:tc>
          <w:tcPr>
            <w:tcW w:w="606" w:type="pct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8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9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8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90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21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9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04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90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8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9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2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</w:tr>
      <w:tr w:rsidR="00230968" w:rsidRPr="00772254" w:rsidTr="001522C6">
        <w:trPr>
          <w:trHeight w:val="282"/>
        </w:trPr>
        <w:tc>
          <w:tcPr>
            <w:tcW w:w="606" w:type="pct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9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90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21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304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90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80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9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8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289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230968" w:rsidTr="001522C6">
        <w:trPr>
          <w:trHeight w:val="697"/>
        </w:trPr>
        <w:tc>
          <w:tcPr>
            <w:tcW w:w="606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Krekena</w:t>
            </w:r>
            <w:proofErr w:type="spellEnd"/>
            <w:r w:rsidR="00FF29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vos kultūros centras</w:t>
            </w: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39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1522C6">
        <w:trPr>
          <w:trHeight w:val="455"/>
        </w:trPr>
        <w:tc>
          <w:tcPr>
            <w:tcW w:w="606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Naujaro</w:t>
            </w:r>
            <w:r w:rsidR="00FF29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džių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9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4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1522C6">
        <w:trPr>
          <w:trHeight w:val="455"/>
        </w:trPr>
        <w:tc>
          <w:tcPr>
            <w:tcW w:w="606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Žibartonių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9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1522C6">
        <w:trPr>
          <w:trHeight w:val="390"/>
        </w:trPr>
        <w:tc>
          <w:tcPr>
            <w:tcW w:w="606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Iš viso</w:t>
            </w:r>
          </w:p>
        </w:tc>
        <w:tc>
          <w:tcPr>
            <w:tcW w:w="389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11</w:t>
            </w:r>
          </w:p>
        </w:tc>
        <w:tc>
          <w:tcPr>
            <w:tcW w:w="278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5</w:t>
            </w:r>
          </w:p>
        </w:tc>
        <w:tc>
          <w:tcPr>
            <w:tcW w:w="389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2,5</w:t>
            </w:r>
          </w:p>
        </w:tc>
        <w:tc>
          <w:tcPr>
            <w:tcW w:w="390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321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-</w:t>
            </w:r>
          </w:p>
        </w:tc>
        <w:tc>
          <w:tcPr>
            <w:tcW w:w="419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389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289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</w:tr>
    </w:tbl>
    <w:p w:rsidR="00230968" w:rsidRDefault="00230968" w:rsidP="0070430A">
      <w:pPr>
        <w:suppressAutoHyphens w:val="0"/>
        <w:spacing w:after="0" w:line="240" w:lineRule="auto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Spec="center" w:tblpY="182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135"/>
        <w:gridCol w:w="567"/>
        <w:gridCol w:w="425"/>
        <w:gridCol w:w="426"/>
        <w:gridCol w:w="567"/>
        <w:gridCol w:w="992"/>
        <w:gridCol w:w="709"/>
        <w:gridCol w:w="1438"/>
      </w:tblGrid>
      <w:tr w:rsidR="00230968" w:rsidTr="001522C6">
        <w:trPr>
          <w:trHeight w:val="415"/>
        </w:trPr>
        <w:tc>
          <w:tcPr>
            <w:tcW w:w="3375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230968" w:rsidRDefault="002309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709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etatų </w:t>
            </w:r>
          </w:p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1438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Kultūros ir meno specialistų poreikis</w:t>
            </w:r>
          </w:p>
        </w:tc>
      </w:tr>
      <w:tr w:rsidR="00230968" w:rsidTr="001522C6">
        <w:trPr>
          <w:trHeight w:val="420"/>
        </w:trPr>
        <w:tc>
          <w:tcPr>
            <w:tcW w:w="3375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</w:tcPr>
          <w:p w:rsidR="00230968" w:rsidRDefault="00230968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</w:tr>
      <w:tr w:rsidR="00230968" w:rsidTr="001522C6">
        <w:trPr>
          <w:trHeight w:val="282"/>
        </w:trPr>
        <w:tc>
          <w:tcPr>
            <w:tcW w:w="3375" w:type="dxa"/>
          </w:tcPr>
          <w:p w:rsidR="00230968" w:rsidRDefault="002309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438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30968" w:rsidTr="001522C6">
        <w:trPr>
          <w:trHeight w:val="275"/>
        </w:trPr>
        <w:tc>
          <w:tcPr>
            <w:tcW w:w="3375" w:type="dxa"/>
          </w:tcPr>
          <w:p w:rsidR="00230968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Krekenavos kultūros centras</w:t>
            </w:r>
          </w:p>
        </w:tc>
        <w:tc>
          <w:tcPr>
            <w:tcW w:w="113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30968" w:rsidTr="001522C6">
        <w:trPr>
          <w:trHeight w:val="297"/>
        </w:trPr>
        <w:tc>
          <w:tcPr>
            <w:tcW w:w="3375" w:type="dxa"/>
          </w:tcPr>
          <w:p w:rsidR="00230968" w:rsidRDefault="002309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Naujarodžių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113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</w:tr>
      <w:tr w:rsidR="00230968" w:rsidTr="001522C6">
        <w:trPr>
          <w:trHeight w:val="403"/>
        </w:trPr>
        <w:tc>
          <w:tcPr>
            <w:tcW w:w="3375" w:type="dxa"/>
          </w:tcPr>
          <w:p w:rsidR="00230968" w:rsidRDefault="002309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Žibartonių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113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</w:tr>
      <w:tr w:rsidR="00230968" w:rsidTr="001522C6">
        <w:trPr>
          <w:trHeight w:val="263"/>
        </w:trPr>
        <w:tc>
          <w:tcPr>
            <w:tcW w:w="3375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230968" w:rsidRPr="00A1124E" w:rsidRDefault="00230968" w:rsidP="00A1124E">
      <w:pPr>
        <w:spacing w:after="0" w:line="240" w:lineRule="auto"/>
        <w:rPr>
          <w:color w:val="000000"/>
        </w:rPr>
      </w:pPr>
    </w:p>
    <w:p w:rsidR="00230968" w:rsidRPr="00FF29CD" w:rsidRDefault="00230968" w:rsidP="00FF29CD">
      <w:pPr>
        <w:spacing w:after="0" w:line="240" w:lineRule="auto"/>
        <w:ind w:firstLine="900"/>
        <w:jc w:val="center"/>
      </w:pPr>
      <w:r>
        <w:rPr>
          <w:b/>
          <w:color w:val="000000"/>
        </w:rPr>
        <w:lastRenderedPageBreak/>
        <w:t xml:space="preserve">II. ĮSTAIGOS TIKSLAI, VEIKLA IR REZULTATAI </w:t>
      </w:r>
    </w:p>
    <w:p w:rsidR="00002F50" w:rsidRDefault="00002F50" w:rsidP="00002F50">
      <w:pPr>
        <w:pStyle w:val="Betarp"/>
        <w:jc w:val="both"/>
      </w:pPr>
    </w:p>
    <w:p w:rsidR="00002F50" w:rsidRDefault="00002F50" w:rsidP="00002F50">
      <w:pPr>
        <w:pStyle w:val="Betarp"/>
        <w:ind w:firstLine="851"/>
        <w:jc w:val="both"/>
      </w:pPr>
      <w:r>
        <w:t>M</w:t>
      </w:r>
      <w:r w:rsidRPr="00851910">
        <w:t>oksleivių dainų šventėje „Tu mums viena“ dalyvavo Krekenavos kultūros centro šokių grupė prie pučiamųjų orkestro „Padaužos“. Suaugusiųjų mėgėjų teatras „Avilys“ Panevėžio rajono suaugusiųjų mėgėjų teatrų apžiūroje prip</w:t>
      </w:r>
      <w:r>
        <w:t>ažintas geriausiu ir dalyvavo</w:t>
      </w:r>
      <w:r w:rsidRPr="00851910">
        <w:t xml:space="preserve"> regio</w:t>
      </w:r>
      <w:r>
        <w:t>ninėje apžiūroje, kurioje</w:t>
      </w:r>
      <w:r w:rsidRPr="00851910">
        <w:t xml:space="preserve"> ak</w:t>
      </w:r>
      <w:r>
        <w:t>torius Darius Liutkevičius pelnė</w:t>
      </w:r>
      <w:r w:rsidRPr="00851910">
        <w:t xml:space="preserve"> nominaciją „Ryškiausias vyro vaidmens atlikėjas“. Moterų vokalin</w:t>
      </w:r>
      <w:r>
        <w:t>is ansamblis „Gija“ XXIV šalies</w:t>
      </w:r>
      <w:r w:rsidRPr="00851910">
        <w:t xml:space="preserve"> bei rajono vokalinių ans</w:t>
      </w:r>
      <w:r>
        <w:t>amblių ir solistų konkurse pelnė</w:t>
      </w:r>
      <w:r w:rsidRPr="00851910">
        <w:t xml:space="preserve"> </w:t>
      </w:r>
      <w:r>
        <w:br/>
      </w:r>
      <w:r w:rsidRPr="00851910">
        <w:t>III laipsnio diplomą.</w:t>
      </w:r>
    </w:p>
    <w:p w:rsidR="00230968" w:rsidRDefault="00230968" w:rsidP="00002F50">
      <w:pPr>
        <w:pStyle w:val="Betarp"/>
        <w:ind w:firstLine="851"/>
        <w:jc w:val="both"/>
      </w:pPr>
      <w:r>
        <w:t>Pasiekta visų Krekenavos miestelio įstaigų, organizacijų ir kultūros centro</w:t>
      </w:r>
      <w:r w:rsidR="00E21B61" w:rsidRPr="00E21B61">
        <w:t xml:space="preserve"> </w:t>
      </w:r>
      <w:r w:rsidR="00E21B61">
        <w:t>glaudaus bendradarbiavimo</w:t>
      </w:r>
      <w:r>
        <w:t>. Vykdomos bendros veiklos, organizuojami bendri renginiai. R</w:t>
      </w:r>
      <w:r w:rsidR="00E21B61">
        <w:t>eng</w:t>
      </w:r>
      <w:r>
        <w:t xml:space="preserve">iamas </w:t>
      </w:r>
      <w:r w:rsidR="004E4060">
        <w:t xml:space="preserve">Krekenavos kultūros centro pastato rekonstrukcijos </w:t>
      </w:r>
      <w:r>
        <w:t>projektas, pritaikant patalpas naujoms veikloms. Nuo 2016 m. liepos mėn. iki 2017 m. balandžio mėn. direktorė turėjo nedarbingumo pažymą.</w:t>
      </w:r>
    </w:p>
    <w:p w:rsidR="00230968" w:rsidRDefault="00230968" w:rsidP="00FF29CD">
      <w:pPr>
        <w:pStyle w:val="prastasiniatinklio"/>
        <w:spacing w:after="0" w:afterAutospacing="0"/>
        <w:ind w:firstLine="851"/>
        <w:jc w:val="both"/>
      </w:pPr>
      <w:r>
        <w:t>Įstaigos veiklos rezultatai</w:t>
      </w:r>
      <w:r w:rsidR="00E21B61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797"/>
        <w:gridCol w:w="1275"/>
      </w:tblGrid>
      <w:tr w:rsidR="00230968" w:rsidTr="00F12ECD">
        <w:trPr>
          <w:trHeight w:val="427"/>
        </w:trPr>
        <w:tc>
          <w:tcPr>
            <w:tcW w:w="567" w:type="dxa"/>
          </w:tcPr>
          <w:p w:rsidR="00230968" w:rsidRPr="00772254" w:rsidRDefault="00230968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7" w:type="dxa"/>
          </w:tcPr>
          <w:p w:rsidR="00230968" w:rsidRPr="00772254" w:rsidRDefault="00230968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230968" w:rsidTr="00F12ECD">
        <w:trPr>
          <w:trHeight w:val="290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7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14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724</w:t>
            </w:r>
          </w:p>
        </w:tc>
      </w:tr>
      <w:tr w:rsidR="00230968" w:rsidTr="00F12ECD">
        <w:trPr>
          <w:trHeight w:val="549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7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230968" w:rsidTr="00F12ECD">
        <w:trPr>
          <w:trHeight w:val="27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7" w:type="dxa"/>
          </w:tcPr>
          <w:p w:rsidR="00230968" w:rsidRPr="00772254" w:rsidRDefault="00230968" w:rsidP="001522C6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0968">
              <w:rPr>
                <w:sz w:val="20"/>
                <w:szCs w:val="20"/>
              </w:rPr>
              <w:t>5</w:t>
            </w:r>
          </w:p>
        </w:tc>
      </w:tr>
      <w:tr w:rsidR="00230968" w:rsidTr="00F12ECD">
        <w:trPr>
          <w:trHeight w:val="27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7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30968" w:rsidTr="00F12ECD">
        <w:trPr>
          <w:trHeight w:val="56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7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230968" w:rsidTr="00F12ECD">
        <w:trPr>
          <w:trHeight w:val="82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7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230968" w:rsidRPr="0015606C" w:rsidRDefault="00230968" w:rsidP="00DE23DB">
      <w:pPr>
        <w:pStyle w:val="Standard"/>
        <w:tabs>
          <w:tab w:val="left" w:pos="1338"/>
        </w:tabs>
        <w:rPr>
          <w:sz w:val="24"/>
          <w:szCs w:val="24"/>
        </w:rPr>
      </w:pPr>
    </w:p>
    <w:p w:rsidR="00230968" w:rsidRPr="0070430A" w:rsidRDefault="00230968" w:rsidP="00FF29CD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FF29CD">
        <w:t>Renginiai</w:t>
      </w:r>
      <w:r w:rsidR="00E21B61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646"/>
        <w:gridCol w:w="1276"/>
      </w:tblGrid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21B61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E21B61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E21B61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E21B61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</w:tcPr>
          <w:p w:rsidR="00230968" w:rsidRPr="00772254" w:rsidRDefault="00E21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230968">
              <w:rPr>
                <w:sz w:val="20"/>
                <w:szCs w:val="20"/>
              </w:rPr>
              <w:t>iti (dži</w:t>
            </w:r>
            <w:r w:rsidR="00230968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E21B61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</w:tcPr>
          <w:p w:rsidR="00230968" w:rsidRPr="00772254" w:rsidRDefault="00E21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230968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E21B61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230968" w:rsidRDefault="00230968" w:rsidP="00FF29CD">
      <w:pPr>
        <w:suppressAutoHyphens w:val="0"/>
        <w:spacing w:after="0" w:line="240" w:lineRule="auto"/>
        <w:ind w:firstLine="993"/>
        <w:jc w:val="both"/>
        <w:rPr>
          <w:b/>
          <w:color w:val="000000"/>
        </w:rPr>
      </w:pPr>
      <w:r w:rsidRPr="00FF29CD">
        <w:rPr>
          <w:color w:val="000000"/>
        </w:rPr>
        <w:t>Meno kolektyvai</w:t>
      </w:r>
      <w:r w:rsidR="00E21B61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"/>
        <w:gridCol w:w="7495"/>
        <w:gridCol w:w="1273"/>
      </w:tblGrid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21B61">
              <w:rPr>
                <w:sz w:val="20"/>
                <w:szCs w:val="20"/>
              </w:rPr>
              <w:t>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A1124E">
        <w:trPr>
          <w:trHeight w:val="520"/>
        </w:trPr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21B61">
              <w:rPr>
                <w:sz w:val="20"/>
                <w:szCs w:val="20"/>
              </w:rPr>
              <w:t>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230968" w:rsidRDefault="00230968" w:rsidP="0070430A">
      <w:pPr>
        <w:jc w:val="both"/>
        <w:rPr>
          <w:b/>
          <w:color w:val="000000"/>
        </w:rPr>
      </w:pPr>
    </w:p>
    <w:p w:rsidR="00230968" w:rsidRPr="0070430A" w:rsidRDefault="00230968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230968" w:rsidRPr="0070430A" w:rsidRDefault="00230968" w:rsidP="0070430A">
      <w:pPr>
        <w:suppressAutoHyphens w:val="0"/>
        <w:spacing w:after="0" w:line="240" w:lineRule="auto"/>
        <w:rPr>
          <w:b/>
        </w:rPr>
      </w:pPr>
      <w:bookmarkStart w:id="0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6294"/>
        <w:gridCol w:w="1276"/>
        <w:gridCol w:w="1269"/>
      </w:tblGrid>
      <w:tr w:rsidR="00230968" w:rsidTr="00F12ECD">
        <w:tc>
          <w:tcPr>
            <w:tcW w:w="681" w:type="dxa"/>
          </w:tcPr>
          <w:bookmarkEnd w:id="0"/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446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446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967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249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E21B61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E21B61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294" w:type="dxa"/>
          </w:tcPr>
          <w:p w:rsidR="00230968" w:rsidRPr="00772254" w:rsidRDefault="00230968" w:rsidP="00E21B6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580C2C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253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982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880</w:t>
            </w:r>
          </w:p>
        </w:tc>
      </w:tr>
    </w:tbl>
    <w:p w:rsidR="00230968" w:rsidRPr="00E458C7" w:rsidRDefault="00230968" w:rsidP="00E458C7">
      <w:pPr>
        <w:spacing w:after="0" w:line="240" w:lineRule="auto"/>
      </w:pPr>
    </w:p>
    <w:p w:rsidR="00230968" w:rsidRDefault="00F12ECD" w:rsidP="003309FF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230968">
        <w:rPr>
          <w:b/>
        </w:rPr>
        <w:t>V. VEIKLOS TOBULINIMO PERSPEKTYVOS</w:t>
      </w:r>
    </w:p>
    <w:p w:rsidR="00230968" w:rsidRPr="00E458C7" w:rsidRDefault="00230968" w:rsidP="00614B4A">
      <w:pPr>
        <w:spacing w:after="0" w:line="240" w:lineRule="auto"/>
      </w:pPr>
    </w:p>
    <w:p w:rsidR="00230968" w:rsidRDefault="00230968" w:rsidP="0015606C">
      <w:pPr>
        <w:spacing w:after="0" w:line="240" w:lineRule="auto"/>
        <w:ind w:firstLine="851"/>
        <w:jc w:val="both"/>
      </w:pPr>
      <w:r>
        <w:t xml:space="preserve">Krekenavos kultūros centro pastato pamatai, skylančios sienos, nesaugi elektros instaliacija kenkia įstaigos įvaizdžiui, renginių kokybei ir saugiam darbui. Apie šias problemas informuota Panevėžio rajono savivaldybės administracija, rengiamas </w:t>
      </w:r>
      <w:r w:rsidR="004E4060">
        <w:t xml:space="preserve">Krekenavos kultūros centro pastato rekonstrukcijos </w:t>
      </w:r>
      <w:r>
        <w:t xml:space="preserve">projektas. </w:t>
      </w:r>
    </w:p>
    <w:p w:rsidR="00230968" w:rsidRPr="00B572F7" w:rsidRDefault="00230968" w:rsidP="0015606C">
      <w:pPr>
        <w:spacing w:after="0" w:line="240" w:lineRule="auto"/>
        <w:ind w:firstLine="851"/>
        <w:jc w:val="both"/>
      </w:pPr>
      <w:r>
        <w:t>Mažėjantis gyventojų skaičius mažina ir meno mėgėjų gretas. Per projektą „Etnokultūrin</w:t>
      </w:r>
      <w:r w:rsidR="00580C2C">
        <w:t>ė</w:t>
      </w:r>
      <w:r>
        <w:t xml:space="preserve"> stovykl</w:t>
      </w:r>
      <w:r w:rsidR="00580C2C">
        <w:t>a</w:t>
      </w:r>
      <w:r>
        <w:t xml:space="preserve"> vaikams ir jaunimui“ planuojam</w:t>
      </w:r>
      <w:r w:rsidR="00580C2C">
        <w:t>a</w:t>
      </w:r>
      <w:r>
        <w:t xml:space="preserve"> pritraukti dalyvi</w:t>
      </w:r>
      <w:r w:rsidR="00580C2C">
        <w:t>ų</w:t>
      </w:r>
      <w:r>
        <w:t xml:space="preserve"> iš aplinkinių gyvenviečių, pasirūpinant jų pav</w:t>
      </w:r>
      <w:r w:rsidR="00580C2C">
        <w:t>ė</w:t>
      </w:r>
      <w:r>
        <w:t>žėjimu ir taip padedant pagrindus naujam vaikų ir jaunimo folkloro ansambli</w:t>
      </w:r>
      <w:r w:rsidR="00580C2C">
        <w:t>ui</w:t>
      </w:r>
      <w:r>
        <w:t xml:space="preserve"> susik</w:t>
      </w:r>
      <w:r w:rsidR="00580C2C">
        <w:t>u</w:t>
      </w:r>
      <w:r>
        <w:t>r</w:t>
      </w:r>
      <w:r w:rsidR="00580C2C">
        <w:t>t</w:t>
      </w:r>
      <w:r>
        <w:t>i.</w:t>
      </w:r>
    </w:p>
    <w:p w:rsidR="00230968" w:rsidRDefault="00230968" w:rsidP="00867F60">
      <w:pPr>
        <w:spacing w:after="0" w:line="240" w:lineRule="auto"/>
        <w:jc w:val="center"/>
      </w:pPr>
    </w:p>
    <w:p w:rsidR="00230968" w:rsidRDefault="00391EC1" w:rsidP="00391EC1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30968">
        <w:rPr>
          <w:sz w:val="24"/>
          <w:szCs w:val="24"/>
        </w:rPr>
        <w:t>Patvirtinu, kad pateikta informacija yra tiksli ir teisinga.</w:t>
      </w:r>
    </w:p>
    <w:p w:rsidR="00580C2C" w:rsidRDefault="00580C2C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F12ECD" w:rsidRDefault="00F12ECD" w:rsidP="00772254">
      <w:pPr>
        <w:pStyle w:val="Standard"/>
        <w:tabs>
          <w:tab w:val="left" w:pos="1338"/>
        </w:tabs>
        <w:rPr>
          <w:sz w:val="24"/>
          <w:szCs w:val="24"/>
        </w:rPr>
      </w:pPr>
      <w:bookmarkStart w:id="1" w:name="_GoBack"/>
      <w:bookmarkEnd w:id="1"/>
    </w:p>
    <w:p w:rsidR="00230968" w:rsidRDefault="00230968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580C2C">
        <w:rPr>
          <w:sz w:val="24"/>
        </w:rPr>
        <w:tab/>
      </w:r>
      <w:r w:rsidR="00580C2C">
        <w:rPr>
          <w:sz w:val="24"/>
        </w:rPr>
        <w:tab/>
      </w:r>
      <w:r w:rsidR="00580C2C">
        <w:rPr>
          <w:sz w:val="24"/>
        </w:rPr>
        <w:tab/>
      </w:r>
      <w:r w:rsidR="00580C2C">
        <w:rPr>
          <w:sz w:val="24"/>
        </w:rPr>
        <w:tab/>
      </w:r>
      <w:proofErr w:type="spellStart"/>
      <w:r>
        <w:rPr>
          <w:sz w:val="24"/>
        </w:rPr>
        <w:t>Miranda</w:t>
      </w:r>
      <w:proofErr w:type="spellEnd"/>
      <w:r>
        <w:rPr>
          <w:sz w:val="24"/>
        </w:rPr>
        <w:t xml:space="preserve"> Vaitkevičienė</w:t>
      </w:r>
    </w:p>
    <w:p w:rsidR="00230968" w:rsidRDefault="00230968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1522C6" w:rsidRPr="001522C6" w:rsidRDefault="001522C6" w:rsidP="001522C6">
      <w:pPr>
        <w:pStyle w:val="Standard"/>
        <w:rPr>
          <w:rFonts w:eastAsia="Calibri"/>
          <w:sz w:val="24"/>
          <w:szCs w:val="24"/>
        </w:rPr>
      </w:pPr>
      <w:r w:rsidRPr="001522C6">
        <w:rPr>
          <w:sz w:val="24"/>
          <w:szCs w:val="24"/>
        </w:rPr>
        <w:t>SUDERINTA</w:t>
      </w:r>
    </w:p>
    <w:p w:rsidR="001522C6" w:rsidRPr="001522C6" w:rsidRDefault="001522C6" w:rsidP="001522C6">
      <w:pPr>
        <w:pStyle w:val="Standard"/>
        <w:rPr>
          <w:sz w:val="24"/>
          <w:szCs w:val="24"/>
        </w:rPr>
      </w:pPr>
    </w:p>
    <w:p w:rsidR="001522C6" w:rsidRPr="001522C6" w:rsidRDefault="001522C6" w:rsidP="001522C6">
      <w:pPr>
        <w:pStyle w:val="Standard"/>
        <w:rPr>
          <w:sz w:val="24"/>
          <w:szCs w:val="24"/>
        </w:rPr>
      </w:pPr>
      <w:r w:rsidRPr="001522C6">
        <w:rPr>
          <w:sz w:val="24"/>
          <w:szCs w:val="24"/>
        </w:rPr>
        <w:t>Švietimo, kultūros ir sporto skyriaus vedėjas</w:t>
      </w:r>
    </w:p>
    <w:p w:rsidR="001522C6" w:rsidRPr="0015606C" w:rsidRDefault="001522C6" w:rsidP="001522C6">
      <w:pPr>
        <w:pStyle w:val="Standard"/>
        <w:rPr>
          <w:sz w:val="24"/>
          <w:szCs w:val="24"/>
        </w:rPr>
      </w:pPr>
      <w:r w:rsidRPr="001522C6">
        <w:rPr>
          <w:sz w:val="24"/>
          <w:szCs w:val="24"/>
        </w:rPr>
        <w:t>Algirdas Kęstutis Rimkus</w:t>
      </w:r>
    </w:p>
    <w:sectPr w:rsidR="001522C6" w:rsidRPr="0015606C" w:rsidSect="0029090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83" w:rsidRDefault="006C4283">
      <w:pPr>
        <w:spacing w:after="0" w:line="240" w:lineRule="auto"/>
      </w:pPr>
      <w:r>
        <w:separator/>
      </w:r>
    </w:p>
  </w:endnote>
  <w:endnote w:type="continuationSeparator" w:id="0">
    <w:p w:rsidR="006C4283" w:rsidRDefault="006C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83" w:rsidRDefault="006C4283">
      <w:pPr>
        <w:spacing w:after="0" w:line="240" w:lineRule="auto"/>
      </w:pPr>
      <w:r>
        <w:separator/>
      </w:r>
    </w:p>
  </w:footnote>
  <w:footnote w:type="continuationSeparator" w:id="0">
    <w:p w:rsidR="006C4283" w:rsidRDefault="006C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60" w:rsidRDefault="004E4060" w:rsidP="00FF29CD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F12EC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02F50"/>
    <w:rsid w:val="00017E43"/>
    <w:rsid w:val="000248C5"/>
    <w:rsid w:val="00056D10"/>
    <w:rsid w:val="00060DF0"/>
    <w:rsid w:val="0006200B"/>
    <w:rsid w:val="00071644"/>
    <w:rsid w:val="00087720"/>
    <w:rsid w:val="000A00AD"/>
    <w:rsid w:val="000B4EBF"/>
    <w:rsid w:val="0010596D"/>
    <w:rsid w:val="001522C6"/>
    <w:rsid w:val="001526E3"/>
    <w:rsid w:val="0015606C"/>
    <w:rsid w:val="00164961"/>
    <w:rsid w:val="00191C31"/>
    <w:rsid w:val="001A7078"/>
    <w:rsid w:val="001C3966"/>
    <w:rsid w:val="001F3DEC"/>
    <w:rsid w:val="001F4F83"/>
    <w:rsid w:val="00225DEE"/>
    <w:rsid w:val="002307C8"/>
    <w:rsid w:val="00230968"/>
    <w:rsid w:val="0028612E"/>
    <w:rsid w:val="00290900"/>
    <w:rsid w:val="002D25C6"/>
    <w:rsid w:val="002E01B8"/>
    <w:rsid w:val="002E43FC"/>
    <w:rsid w:val="003309FF"/>
    <w:rsid w:val="00335CAB"/>
    <w:rsid w:val="003550BD"/>
    <w:rsid w:val="00391EC1"/>
    <w:rsid w:val="003B0645"/>
    <w:rsid w:val="003E1DEF"/>
    <w:rsid w:val="003E5150"/>
    <w:rsid w:val="00401EF7"/>
    <w:rsid w:val="0040539F"/>
    <w:rsid w:val="00407453"/>
    <w:rsid w:val="00427DC0"/>
    <w:rsid w:val="00457A3D"/>
    <w:rsid w:val="004E4060"/>
    <w:rsid w:val="00512141"/>
    <w:rsid w:val="00525BD3"/>
    <w:rsid w:val="0055699B"/>
    <w:rsid w:val="005622AE"/>
    <w:rsid w:val="00580C2C"/>
    <w:rsid w:val="005A3DD1"/>
    <w:rsid w:val="005D2259"/>
    <w:rsid w:val="005D7067"/>
    <w:rsid w:val="005F181B"/>
    <w:rsid w:val="00614790"/>
    <w:rsid w:val="00614B4A"/>
    <w:rsid w:val="006367F4"/>
    <w:rsid w:val="00673721"/>
    <w:rsid w:val="006759A8"/>
    <w:rsid w:val="00677694"/>
    <w:rsid w:val="006B46F8"/>
    <w:rsid w:val="006C3043"/>
    <w:rsid w:val="006C4283"/>
    <w:rsid w:val="0070373A"/>
    <w:rsid w:val="0070430A"/>
    <w:rsid w:val="007062FB"/>
    <w:rsid w:val="00731F3B"/>
    <w:rsid w:val="007361B5"/>
    <w:rsid w:val="00744219"/>
    <w:rsid w:val="0076654A"/>
    <w:rsid w:val="00772254"/>
    <w:rsid w:val="007B3F9E"/>
    <w:rsid w:val="007C5330"/>
    <w:rsid w:val="007D42DE"/>
    <w:rsid w:val="007E5C17"/>
    <w:rsid w:val="008027F1"/>
    <w:rsid w:val="00802A14"/>
    <w:rsid w:val="00807812"/>
    <w:rsid w:val="00831511"/>
    <w:rsid w:val="008362AD"/>
    <w:rsid w:val="008565B3"/>
    <w:rsid w:val="00867F60"/>
    <w:rsid w:val="008726EA"/>
    <w:rsid w:val="008B3648"/>
    <w:rsid w:val="008D237F"/>
    <w:rsid w:val="008F64BC"/>
    <w:rsid w:val="009237CF"/>
    <w:rsid w:val="009649A1"/>
    <w:rsid w:val="00980683"/>
    <w:rsid w:val="009A469F"/>
    <w:rsid w:val="009B0C50"/>
    <w:rsid w:val="009E598B"/>
    <w:rsid w:val="00A1124E"/>
    <w:rsid w:val="00A22883"/>
    <w:rsid w:val="00A23974"/>
    <w:rsid w:val="00A41FA8"/>
    <w:rsid w:val="00A8332F"/>
    <w:rsid w:val="00A91346"/>
    <w:rsid w:val="00A96F90"/>
    <w:rsid w:val="00AB6F9B"/>
    <w:rsid w:val="00AD45E8"/>
    <w:rsid w:val="00AD4BC5"/>
    <w:rsid w:val="00B15440"/>
    <w:rsid w:val="00B46548"/>
    <w:rsid w:val="00B572F7"/>
    <w:rsid w:val="00BA7581"/>
    <w:rsid w:val="00BD7E3D"/>
    <w:rsid w:val="00BE6700"/>
    <w:rsid w:val="00BF7BD1"/>
    <w:rsid w:val="00C008CE"/>
    <w:rsid w:val="00C3200A"/>
    <w:rsid w:val="00C45C5A"/>
    <w:rsid w:val="00C548F9"/>
    <w:rsid w:val="00CB3A38"/>
    <w:rsid w:val="00CB79D3"/>
    <w:rsid w:val="00CC2C1B"/>
    <w:rsid w:val="00CC5C76"/>
    <w:rsid w:val="00CE3C72"/>
    <w:rsid w:val="00D04BBC"/>
    <w:rsid w:val="00D16F0C"/>
    <w:rsid w:val="00D35A77"/>
    <w:rsid w:val="00D35B09"/>
    <w:rsid w:val="00D66CD9"/>
    <w:rsid w:val="00D758BD"/>
    <w:rsid w:val="00D76F90"/>
    <w:rsid w:val="00D852C1"/>
    <w:rsid w:val="00DB27B2"/>
    <w:rsid w:val="00DD3320"/>
    <w:rsid w:val="00DE23DB"/>
    <w:rsid w:val="00DF2C74"/>
    <w:rsid w:val="00DF3EBD"/>
    <w:rsid w:val="00DF5CCD"/>
    <w:rsid w:val="00E03E4A"/>
    <w:rsid w:val="00E21B61"/>
    <w:rsid w:val="00E243CF"/>
    <w:rsid w:val="00E458C7"/>
    <w:rsid w:val="00ED1E25"/>
    <w:rsid w:val="00ED648A"/>
    <w:rsid w:val="00EE0B78"/>
    <w:rsid w:val="00EE30D2"/>
    <w:rsid w:val="00F10625"/>
    <w:rsid w:val="00F12ECD"/>
    <w:rsid w:val="00F43E22"/>
    <w:rsid w:val="00F80F0A"/>
    <w:rsid w:val="00FB0219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DFC9E-DE8A-417E-A842-5B33E740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0900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  <w:rsid w:val="00290900"/>
  </w:style>
  <w:style w:type="character" w:styleId="Hipersaitas">
    <w:name w:val="Hyperlink"/>
    <w:basedOn w:val="Numatytasispastraiposriftas"/>
    <w:uiPriority w:val="99"/>
    <w:rsid w:val="00290900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1"/>
    <w:uiPriority w:val="99"/>
    <w:rsid w:val="00290900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290900"/>
    <w:rPr>
      <w:rFonts w:cs="Times New Roman"/>
      <w:b/>
    </w:rPr>
  </w:style>
  <w:style w:type="character" w:customStyle="1" w:styleId="WW-Internetosaitas">
    <w:name w:val="WW-Interneto saitas"/>
    <w:uiPriority w:val="99"/>
    <w:rsid w:val="00290900"/>
    <w:rPr>
      <w:color w:val="0000FF"/>
      <w:u w:val="single"/>
    </w:rPr>
  </w:style>
  <w:style w:type="character" w:customStyle="1" w:styleId="DebesliotekstasDiagrama">
    <w:name w:val="Debesėlio tekstas Diagrama"/>
    <w:uiPriority w:val="99"/>
    <w:rsid w:val="00290900"/>
    <w:rPr>
      <w:rFonts w:ascii="Tahoma" w:eastAsia="SimSun" w:hAnsi="Tahoma"/>
      <w:sz w:val="16"/>
      <w:lang w:val="lt-LT" w:eastAsia="zh-CN"/>
    </w:rPr>
  </w:style>
  <w:style w:type="character" w:customStyle="1" w:styleId="AntratsDiagrama">
    <w:name w:val="Antraštės Diagrama"/>
    <w:uiPriority w:val="99"/>
    <w:rsid w:val="00290900"/>
    <w:rPr>
      <w:rFonts w:eastAsia="SimSun"/>
      <w:sz w:val="24"/>
      <w:lang w:eastAsia="zh-CN"/>
    </w:rPr>
  </w:style>
  <w:style w:type="character" w:customStyle="1" w:styleId="PoratDiagrama">
    <w:name w:val="Poraštė Diagrama"/>
    <w:uiPriority w:val="99"/>
    <w:rsid w:val="00290900"/>
    <w:rPr>
      <w:rFonts w:eastAsia="SimSun"/>
      <w:sz w:val="24"/>
      <w:lang w:eastAsia="zh-CN"/>
    </w:rPr>
  </w:style>
  <w:style w:type="character" w:customStyle="1" w:styleId="ListLabel1">
    <w:name w:val="ListLabel 1"/>
    <w:uiPriority w:val="99"/>
    <w:rsid w:val="00290900"/>
    <w:rPr>
      <w:sz w:val="20"/>
    </w:rPr>
  </w:style>
  <w:style w:type="character" w:customStyle="1" w:styleId="ListLabel2">
    <w:name w:val="ListLabel 2"/>
    <w:uiPriority w:val="99"/>
    <w:rsid w:val="00290900"/>
    <w:rPr>
      <w:sz w:val="20"/>
    </w:rPr>
  </w:style>
  <w:style w:type="character" w:customStyle="1" w:styleId="ListLabel3">
    <w:name w:val="ListLabel 3"/>
    <w:uiPriority w:val="99"/>
    <w:rsid w:val="00290900"/>
    <w:rPr>
      <w:sz w:val="20"/>
    </w:rPr>
  </w:style>
  <w:style w:type="character" w:customStyle="1" w:styleId="ListLabel4">
    <w:name w:val="ListLabel 4"/>
    <w:uiPriority w:val="99"/>
    <w:rsid w:val="00290900"/>
    <w:rPr>
      <w:sz w:val="20"/>
    </w:rPr>
  </w:style>
  <w:style w:type="character" w:customStyle="1" w:styleId="ListLabel5">
    <w:name w:val="ListLabel 5"/>
    <w:uiPriority w:val="99"/>
    <w:rsid w:val="00290900"/>
    <w:rPr>
      <w:sz w:val="20"/>
    </w:rPr>
  </w:style>
  <w:style w:type="character" w:customStyle="1" w:styleId="ListLabel6">
    <w:name w:val="ListLabel 6"/>
    <w:uiPriority w:val="99"/>
    <w:rsid w:val="00290900"/>
    <w:rPr>
      <w:sz w:val="20"/>
    </w:rPr>
  </w:style>
  <w:style w:type="character" w:customStyle="1" w:styleId="ListLabel7">
    <w:name w:val="ListLabel 7"/>
    <w:uiPriority w:val="99"/>
    <w:rsid w:val="00290900"/>
    <w:rPr>
      <w:sz w:val="20"/>
    </w:rPr>
  </w:style>
  <w:style w:type="character" w:customStyle="1" w:styleId="ListLabel8">
    <w:name w:val="ListLabel 8"/>
    <w:uiPriority w:val="99"/>
    <w:rsid w:val="00290900"/>
    <w:rPr>
      <w:sz w:val="20"/>
    </w:rPr>
  </w:style>
  <w:style w:type="character" w:customStyle="1" w:styleId="ListLabel9">
    <w:name w:val="ListLabel 9"/>
    <w:uiPriority w:val="99"/>
    <w:rsid w:val="00290900"/>
    <w:rPr>
      <w:sz w:val="20"/>
    </w:rPr>
  </w:style>
  <w:style w:type="character" w:customStyle="1" w:styleId="ListLabel10">
    <w:name w:val="ListLabel 10"/>
    <w:uiPriority w:val="99"/>
    <w:rsid w:val="00290900"/>
    <w:rPr>
      <w:rFonts w:eastAsia="SimSun"/>
    </w:rPr>
  </w:style>
  <w:style w:type="character" w:customStyle="1" w:styleId="ListLabel11">
    <w:name w:val="ListLabel 11"/>
    <w:uiPriority w:val="99"/>
    <w:rsid w:val="00290900"/>
  </w:style>
  <w:style w:type="character" w:customStyle="1" w:styleId="ListLabel12">
    <w:name w:val="ListLabel 12"/>
    <w:uiPriority w:val="99"/>
    <w:rsid w:val="00290900"/>
  </w:style>
  <w:style w:type="character" w:customStyle="1" w:styleId="ListLabel13">
    <w:name w:val="ListLabel 13"/>
    <w:uiPriority w:val="99"/>
    <w:rsid w:val="00290900"/>
  </w:style>
  <w:style w:type="character" w:customStyle="1" w:styleId="Komentaronuoroda1">
    <w:name w:val="Komentaro nuoroda1"/>
    <w:uiPriority w:val="99"/>
    <w:rsid w:val="00290900"/>
    <w:rPr>
      <w:sz w:val="16"/>
    </w:rPr>
  </w:style>
  <w:style w:type="character" w:customStyle="1" w:styleId="KomentarotekstasDiagrama">
    <w:name w:val="Komentaro tekstas Diagrama"/>
    <w:uiPriority w:val="99"/>
    <w:rsid w:val="00290900"/>
    <w:rPr>
      <w:lang w:eastAsia="zh-CN"/>
    </w:rPr>
  </w:style>
  <w:style w:type="character" w:customStyle="1" w:styleId="KomentarotemaDiagrama">
    <w:name w:val="Komentaro tema Diagrama"/>
    <w:uiPriority w:val="99"/>
    <w:rsid w:val="00290900"/>
    <w:rPr>
      <w:b/>
      <w:lang w:eastAsia="zh-CN"/>
    </w:rPr>
  </w:style>
  <w:style w:type="paragraph" w:customStyle="1" w:styleId="Antrat1">
    <w:name w:val="Antraštė1"/>
    <w:basedOn w:val="prastasis"/>
    <w:next w:val="Pagrindinistekstas"/>
    <w:uiPriority w:val="99"/>
    <w:rsid w:val="00290900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290900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eastAsia="SimSun" w:cs="Times New Roman"/>
      <w:sz w:val="24"/>
      <w:szCs w:val="24"/>
      <w:lang w:eastAsia="zh-CN"/>
    </w:rPr>
  </w:style>
  <w:style w:type="paragraph" w:styleId="Sraas">
    <w:name w:val="List"/>
    <w:basedOn w:val="Pagrindinistekstas"/>
    <w:uiPriority w:val="99"/>
    <w:rsid w:val="00290900"/>
    <w:rPr>
      <w:rFonts w:cs="Arial"/>
    </w:rPr>
  </w:style>
  <w:style w:type="paragraph" w:styleId="Antrat">
    <w:name w:val="caption"/>
    <w:basedOn w:val="prastasis"/>
    <w:uiPriority w:val="99"/>
    <w:qFormat/>
    <w:rsid w:val="00290900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uiPriority w:val="99"/>
    <w:rsid w:val="00290900"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1"/>
    <w:uiPriority w:val="99"/>
    <w:rsid w:val="00290900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locked/>
    <w:rPr>
      <w:rFonts w:eastAsia="SimSun" w:cs="Times New Roman"/>
      <w:sz w:val="2"/>
      <w:lang w:eastAsia="zh-CN"/>
    </w:rPr>
  </w:style>
  <w:style w:type="paragraph" w:styleId="Porat">
    <w:name w:val="footer"/>
    <w:basedOn w:val="prastasis"/>
    <w:link w:val="PoratDiagrama1"/>
    <w:uiPriority w:val="99"/>
    <w:rsid w:val="00290900"/>
  </w:style>
  <w:style w:type="character" w:customStyle="1" w:styleId="PoratDiagrama1">
    <w:name w:val="Poraštė Diagrama1"/>
    <w:basedOn w:val="Numatytasispastraiposriftas"/>
    <w:link w:val="Porat"/>
    <w:uiPriority w:val="99"/>
    <w:semiHidden/>
    <w:locked/>
    <w:rPr>
      <w:rFonts w:eastAsia="SimSun" w:cs="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1"/>
    <w:uiPriority w:val="99"/>
    <w:rsid w:val="00290900"/>
  </w:style>
  <w:style w:type="character" w:customStyle="1" w:styleId="AntratsDiagrama1">
    <w:name w:val="Antraštės Diagrama1"/>
    <w:basedOn w:val="Numatytasispastraiposriftas"/>
    <w:link w:val="Antrats"/>
    <w:uiPriority w:val="99"/>
    <w:semiHidden/>
    <w:locked/>
    <w:rPr>
      <w:rFonts w:eastAsia="SimSu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uiPriority w:val="99"/>
    <w:semiHidden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CharChar3">
    <w:name w:val="Char Char3"/>
    <w:basedOn w:val="prastasis"/>
    <w:uiPriority w:val="99"/>
    <w:rsid w:val="0029090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290900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uiPriority w:val="99"/>
    <w:rsid w:val="00290900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uiPriority w:val="99"/>
    <w:rsid w:val="00290900"/>
    <w:pPr>
      <w:suppressAutoHyphens/>
      <w:spacing w:after="200" w:line="276" w:lineRule="auto"/>
    </w:pPr>
    <w:rPr>
      <w:rFonts w:ascii="Calibri" w:eastAsia="SimSun" w:hAnsi="Calibri" w:cs="Calibri"/>
      <w:lang w:val="en-US" w:eastAsia="zh-CN"/>
    </w:rPr>
  </w:style>
  <w:style w:type="paragraph" w:customStyle="1" w:styleId="prastasistinklapis1">
    <w:name w:val="Įprastasis (tinklapis)1"/>
    <w:basedOn w:val="prastasis"/>
    <w:uiPriority w:val="99"/>
    <w:rsid w:val="00290900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uiPriority w:val="99"/>
    <w:rsid w:val="00290900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D35B09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locked/>
    <w:rPr>
      <w:rFonts w:eastAsia="SimSun" w:cs="Times New Roman"/>
      <w:sz w:val="20"/>
      <w:szCs w:val="20"/>
      <w:lang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290900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locked/>
    <w:rPr>
      <w:rFonts w:eastAsia="SimSun" w:cs="Times New Roman"/>
      <w:b/>
      <w:bCs/>
      <w:sz w:val="20"/>
      <w:szCs w:val="20"/>
      <w:lang w:eastAsia="zh-CN"/>
    </w:rPr>
  </w:style>
  <w:style w:type="paragraph" w:customStyle="1" w:styleId="Lentelsturinys">
    <w:name w:val="Lentelės turinys"/>
    <w:basedOn w:val="prastasis"/>
    <w:uiPriority w:val="99"/>
    <w:rsid w:val="00290900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290900"/>
    <w:pPr>
      <w:jc w:val="center"/>
    </w:pPr>
    <w:rPr>
      <w:b/>
      <w:bCs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sz w:val="20"/>
      <w:szCs w:val="20"/>
      <w:lang w:eastAsia="zh-CN"/>
    </w:rPr>
  </w:style>
  <w:style w:type="paragraph" w:styleId="Betarp">
    <w:name w:val="No Spacing"/>
    <w:uiPriority w:val="99"/>
    <w:qFormat/>
    <w:rsid w:val="00614B4A"/>
    <w:pPr>
      <w:suppressAutoHyphens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3923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PRITARTA</vt:lpstr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dc:description/>
  <cp:lastModifiedBy>Birute Goberiene</cp:lastModifiedBy>
  <cp:revision>12</cp:revision>
  <cp:lastPrinted>2017-03-17T13:14:00Z</cp:lastPrinted>
  <dcterms:created xsi:type="dcterms:W3CDTF">2017-05-31T08:18:00Z</dcterms:created>
  <dcterms:modified xsi:type="dcterms:W3CDTF">2017-06-05T06:37:00Z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