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04" w:rsidRDefault="006F7A67">
      <w:pPr>
        <w:pStyle w:val="Standard"/>
        <w:jc w:val="center"/>
        <w:rPr>
          <w:b/>
          <w:bCs/>
          <w:lang w:val="lt-LT"/>
        </w:rPr>
      </w:pPr>
      <w:r>
        <w:rPr>
          <w:b/>
          <w:lang w:val="lt-LT"/>
        </w:rPr>
        <w:t xml:space="preserve">PANEVĖŽIO R. </w:t>
      </w:r>
      <w:r w:rsidR="00C120D6">
        <w:rPr>
          <w:b/>
          <w:lang w:val="lt-LT"/>
        </w:rPr>
        <w:t>PAĮSTRIO JUOZO ZIKARO GIMNAZIJOS</w:t>
      </w:r>
      <w:r w:rsidR="00C120D6">
        <w:rPr>
          <w:b/>
          <w:bCs/>
          <w:lang w:val="lt-LT"/>
        </w:rPr>
        <w:t xml:space="preserve"> DIREKTORĖS </w:t>
      </w:r>
    </w:p>
    <w:p w:rsidR="00496C3E" w:rsidRDefault="00C120D6">
      <w:pPr>
        <w:pStyle w:val="Standard"/>
        <w:jc w:val="center"/>
      </w:pPr>
      <w:r>
        <w:rPr>
          <w:b/>
          <w:bCs/>
          <w:lang w:val="lt-LT"/>
        </w:rPr>
        <w:t xml:space="preserve">GITOS KUBILIENĖS 2016 METŲ </w:t>
      </w:r>
      <w:r w:rsidR="006F7A67">
        <w:rPr>
          <w:b/>
          <w:bCs/>
          <w:lang w:val="lt-LT"/>
        </w:rPr>
        <w:t xml:space="preserve">VEIKLOS </w:t>
      </w:r>
      <w:r>
        <w:rPr>
          <w:b/>
          <w:bCs/>
          <w:lang w:val="lt-LT"/>
        </w:rPr>
        <w:t>ATASKAITA</w:t>
      </w:r>
    </w:p>
    <w:p w:rsidR="00496C3E" w:rsidRDefault="00496C3E">
      <w:pPr>
        <w:pStyle w:val="Standard"/>
        <w:rPr>
          <w:lang w:val="lt-LT"/>
        </w:rPr>
      </w:pPr>
    </w:p>
    <w:p w:rsidR="00496C3E" w:rsidRDefault="005E6FC9" w:rsidP="005E6FC9">
      <w:pPr>
        <w:pStyle w:val="Standard"/>
        <w:tabs>
          <w:tab w:val="left" w:pos="709"/>
        </w:tabs>
        <w:ind w:left="284"/>
        <w:jc w:val="center"/>
        <w:rPr>
          <w:b/>
          <w:bCs/>
          <w:lang w:val="lt-LT"/>
        </w:rPr>
      </w:pPr>
      <w:r>
        <w:rPr>
          <w:b/>
          <w:bCs/>
          <w:lang w:val="lt-LT"/>
        </w:rPr>
        <w:t xml:space="preserve">I. </w:t>
      </w:r>
      <w:r w:rsidR="00C120D6">
        <w:rPr>
          <w:b/>
          <w:bCs/>
          <w:lang w:val="lt-LT"/>
        </w:rPr>
        <w:t>BENDRA INFORMACIJA APIE MOKYKLOS DIREKTORIŲ IR MOKYKLĄ</w:t>
      </w:r>
    </w:p>
    <w:p w:rsidR="00496C3E" w:rsidRPr="004F12BE" w:rsidRDefault="006F7A67" w:rsidP="006F7A67">
      <w:pPr>
        <w:pStyle w:val="Standard"/>
        <w:tabs>
          <w:tab w:val="left" w:pos="1134"/>
        </w:tabs>
        <w:ind w:firstLine="851"/>
        <w:jc w:val="both"/>
        <w:rPr>
          <w:lang w:val="lt-LT"/>
        </w:rPr>
      </w:pPr>
      <w:r>
        <w:rPr>
          <w:shd w:val="clear" w:color="auto" w:fill="FFFFFF"/>
          <w:lang w:val="lt-LT"/>
        </w:rPr>
        <w:t xml:space="preserve">Mokyklos direktoriaus </w:t>
      </w:r>
      <w:r w:rsidR="00EB27DC" w:rsidRPr="00405941">
        <w:rPr>
          <w:color w:val="auto"/>
          <w:shd w:val="clear" w:color="auto" w:fill="FFFFFF"/>
          <w:lang w:val="lt-LT"/>
        </w:rPr>
        <w:t>antr</w:t>
      </w:r>
      <w:r w:rsidRPr="00405941">
        <w:rPr>
          <w:color w:val="auto"/>
          <w:shd w:val="clear" w:color="auto" w:fill="FFFFFF"/>
          <w:lang w:val="lt-LT"/>
        </w:rPr>
        <w:t>oji</w:t>
      </w:r>
      <w:r w:rsidR="00405941">
        <w:rPr>
          <w:shd w:val="clear" w:color="auto" w:fill="FFFFFF"/>
          <w:lang w:val="lt-LT"/>
        </w:rPr>
        <w:t xml:space="preserve"> kvalifikacinė kategorija</w:t>
      </w:r>
      <w:r w:rsidR="00C120D6">
        <w:rPr>
          <w:shd w:val="clear" w:color="auto" w:fill="FFFFFF"/>
          <w:lang w:val="lt-LT"/>
        </w:rPr>
        <w:t xml:space="preserve">, </w:t>
      </w:r>
      <w:r>
        <w:rPr>
          <w:shd w:val="clear" w:color="auto" w:fill="FFFFFF"/>
          <w:lang w:val="lt-LT"/>
        </w:rPr>
        <w:t>vadybinis darbo stažas –</w:t>
      </w:r>
      <w:r w:rsidR="00842020">
        <w:rPr>
          <w:shd w:val="clear" w:color="auto" w:fill="FFFFFF"/>
          <w:lang w:val="lt-LT"/>
        </w:rPr>
        <w:t xml:space="preserve"> </w:t>
      </w:r>
      <w:r w:rsidR="00D04FA9">
        <w:rPr>
          <w:shd w:val="clear" w:color="auto" w:fill="FFFFFF"/>
          <w:lang w:val="lt-LT"/>
        </w:rPr>
        <w:t>17</w:t>
      </w:r>
      <w:r>
        <w:rPr>
          <w:shd w:val="clear" w:color="auto" w:fill="FFFFFF"/>
          <w:lang w:val="lt-LT"/>
        </w:rPr>
        <w:t xml:space="preserve"> metų, šioje gimnazijoje – 4 metai.</w:t>
      </w:r>
    </w:p>
    <w:p w:rsidR="00496C3E" w:rsidRPr="004F12BE" w:rsidRDefault="00B54FE4" w:rsidP="006F7A67">
      <w:pPr>
        <w:pStyle w:val="Standard"/>
        <w:tabs>
          <w:tab w:val="left" w:pos="1134"/>
        </w:tabs>
        <w:ind w:left="851"/>
        <w:jc w:val="both"/>
        <w:rPr>
          <w:lang w:val="lt-LT"/>
        </w:rPr>
      </w:pPr>
      <w:r>
        <w:rPr>
          <w:bCs/>
          <w:shd w:val="clear" w:color="auto" w:fill="FFFFFF"/>
          <w:lang w:val="lt-LT"/>
        </w:rPr>
        <w:t>M</w:t>
      </w:r>
      <w:r w:rsidR="00C120D6">
        <w:rPr>
          <w:bCs/>
          <w:shd w:val="clear" w:color="auto" w:fill="FFFFFF"/>
          <w:lang w:val="lt-LT"/>
        </w:rPr>
        <w:t>okyklos direktoriaus vadybinės veiklos pasiekim</w:t>
      </w:r>
      <w:r>
        <w:rPr>
          <w:bCs/>
          <w:shd w:val="clear" w:color="auto" w:fill="FFFFFF"/>
          <w:lang w:val="lt-LT"/>
        </w:rPr>
        <w:t>ai</w:t>
      </w:r>
      <w:r w:rsidR="00C120D6">
        <w:rPr>
          <w:bCs/>
          <w:shd w:val="clear" w:color="auto" w:fill="FFFFFF"/>
          <w:lang w:val="lt-LT"/>
        </w:rPr>
        <w:t>, įsimintin</w:t>
      </w:r>
      <w:r>
        <w:rPr>
          <w:bCs/>
          <w:shd w:val="clear" w:color="auto" w:fill="FFFFFF"/>
          <w:lang w:val="lt-LT"/>
        </w:rPr>
        <w:t>i</w:t>
      </w:r>
      <w:r w:rsidR="00C120D6">
        <w:rPr>
          <w:bCs/>
          <w:shd w:val="clear" w:color="auto" w:fill="FFFFFF"/>
          <w:lang w:val="lt-LT"/>
        </w:rPr>
        <w:t xml:space="preserve"> sėkmės atvej</w:t>
      </w:r>
      <w:r>
        <w:rPr>
          <w:bCs/>
          <w:shd w:val="clear" w:color="auto" w:fill="FFFFFF"/>
          <w:lang w:val="lt-LT"/>
        </w:rPr>
        <w:t>ai</w:t>
      </w:r>
      <w:r w:rsidR="006F7A67">
        <w:rPr>
          <w:bCs/>
          <w:shd w:val="clear" w:color="auto" w:fill="FFFFFF"/>
          <w:lang w:val="lt-LT"/>
        </w:rPr>
        <w:t>.</w:t>
      </w:r>
    </w:p>
    <w:p w:rsidR="00496C3E" w:rsidRDefault="00C120D6">
      <w:pPr>
        <w:pStyle w:val="Standard"/>
        <w:tabs>
          <w:tab w:val="left" w:pos="1134"/>
        </w:tabs>
        <w:ind w:firstLine="851"/>
        <w:jc w:val="both"/>
        <w:rPr>
          <w:shd w:val="clear" w:color="auto" w:fill="FFFFFF"/>
          <w:lang w:val="lt-LT"/>
        </w:rPr>
      </w:pPr>
      <w:r>
        <w:rPr>
          <w:bCs/>
          <w:shd w:val="clear" w:color="auto" w:fill="FFFFFF"/>
          <w:lang w:val="lt-LT"/>
        </w:rPr>
        <w:t xml:space="preserve">Kartu su darbo grupe parengtas 2016–2020 metų strateginis veiklos planas, įkurtos </w:t>
      </w:r>
      <w:r w:rsidR="006F7A67">
        <w:rPr>
          <w:bCs/>
          <w:shd w:val="clear" w:color="auto" w:fill="FFFFFF"/>
          <w:lang w:val="lt-LT"/>
        </w:rPr>
        <w:br/>
      </w:r>
      <w:r>
        <w:rPr>
          <w:bCs/>
          <w:shd w:val="clear" w:color="auto" w:fill="FFFFFF"/>
          <w:lang w:val="lt-LT"/>
        </w:rPr>
        <w:t xml:space="preserve">4 ikimokyklinio ir priešmokyklinio ugdymo grupės, </w:t>
      </w:r>
      <w:r w:rsidR="00B54FE4">
        <w:rPr>
          <w:bCs/>
          <w:shd w:val="clear" w:color="auto" w:fill="FFFFFF"/>
          <w:lang w:val="lt-LT"/>
        </w:rPr>
        <w:t xml:space="preserve">gauta </w:t>
      </w:r>
      <w:r>
        <w:rPr>
          <w:bCs/>
          <w:shd w:val="clear" w:color="auto" w:fill="FFFFFF"/>
          <w:lang w:val="lt-LT"/>
        </w:rPr>
        <w:t xml:space="preserve">1 050 Eur </w:t>
      </w:r>
      <w:r w:rsidR="00B54FE4">
        <w:rPr>
          <w:bCs/>
          <w:shd w:val="clear" w:color="auto" w:fill="FFFFFF"/>
          <w:lang w:val="lt-LT"/>
        </w:rPr>
        <w:t>projektinių</w:t>
      </w:r>
      <w:r>
        <w:rPr>
          <w:bCs/>
          <w:shd w:val="clear" w:color="auto" w:fill="FFFFFF"/>
          <w:lang w:val="lt-LT"/>
        </w:rPr>
        <w:t xml:space="preserve"> lėš</w:t>
      </w:r>
      <w:r w:rsidR="00B54FE4">
        <w:rPr>
          <w:bCs/>
          <w:shd w:val="clear" w:color="auto" w:fill="FFFFFF"/>
          <w:lang w:val="lt-LT"/>
        </w:rPr>
        <w:t>ų</w:t>
      </w:r>
      <w:r>
        <w:rPr>
          <w:bCs/>
          <w:shd w:val="clear" w:color="auto" w:fill="FFFFFF"/>
          <w:lang w:val="lt-LT"/>
        </w:rPr>
        <w:t xml:space="preserve">, kartu </w:t>
      </w:r>
      <w:r w:rsidR="006F7A67">
        <w:rPr>
          <w:bCs/>
          <w:shd w:val="clear" w:color="auto" w:fill="FFFFFF"/>
          <w:lang w:val="lt-LT"/>
        </w:rPr>
        <w:t>su gimnazijos taryba inicijuota</w:t>
      </w:r>
      <w:r>
        <w:rPr>
          <w:bCs/>
          <w:shd w:val="clear" w:color="auto" w:fill="FFFFFF"/>
          <w:lang w:val="lt-LT"/>
        </w:rPr>
        <w:t xml:space="preserve"> </w:t>
      </w:r>
      <w:r w:rsidR="00B54FE4">
        <w:rPr>
          <w:bCs/>
          <w:shd w:val="clear" w:color="auto" w:fill="FFFFFF"/>
          <w:lang w:val="lt-LT"/>
        </w:rPr>
        <w:t>gimnazijos</w:t>
      </w:r>
      <w:r>
        <w:rPr>
          <w:bCs/>
          <w:shd w:val="clear" w:color="auto" w:fill="FFFFFF"/>
          <w:lang w:val="lt-LT"/>
        </w:rPr>
        <w:t xml:space="preserve"> mokini</w:t>
      </w:r>
      <w:r w:rsidR="00B54FE4">
        <w:rPr>
          <w:bCs/>
          <w:shd w:val="clear" w:color="auto" w:fill="FFFFFF"/>
          <w:lang w:val="lt-LT"/>
        </w:rPr>
        <w:t>ų</w:t>
      </w:r>
      <w:r>
        <w:rPr>
          <w:bCs/>
          <w:shd w:val="clear" w:color="auto" w:fill="FFFFFF"/>
          <w:lang w:val="lt-LT"/>
        </w:rPr>
        <w:t xml:space="preserve"> uniforma. </w:t>
      </w:r>
      <w:r w:rsidR="006F7A67">
        <w:rPr>
          <w:bCs/>
          <w:shd w:val="clear" w:color="auto" w:fill="FFFFFF"/>
          <w:lang w:val="lt-LT"/>
        </w:rPr>
        <w:t>P</w:t>
      </w:r>
      <w:r>
        <w:rPr>
          <w:bCs/>
          <w:shd w:val="clear" w:color="auto" w:fill="FFFFFF"/>
          <w:lang w:val="lt-LT"/>
        </w:rPr>
        <w:t xml:space="preserve">akeistas ikimokyklinio </w:t>
      </w:r>
      <w:r w:rsidR="006F7A67">
        <w:rPr>
          <w:bCs/>
          <w:shd w:val="clear" w:color="auto" w:fill="FFFFFF"/>
          <w:lang w:val="lt-LT"/>
        </w:rPr>
        <w:t>ugdymo pastato stogas,</w:t>
      </w:r>
      <w:r>
        <w:rPr>
          <w:bCs/>
          <w:shd w:val="clear" w:color="auto" w:fill="FFFFFF"/>
          <w:lang w:val="lt-LT"/>
        </w:rPr>
        <w:t xml:space="preserve"> vandentiekio vamzdynas, </w:t>
      </w:r>
      <w:r>
        <w:rPr>
          <w:bCs/>
          <w:color w:val="auto"/>
          <w:shd w:val="clear" w:color="auto" w:fill="FFFFFF"/>
          <w:lang w:val="lt-LT"/>
        </w:rPr>
        <w:t>nupirktas automobilis mokiniams vežti,</w:t>
      </w:r>
      <w:r>
        <w:rPr>
          <w:bCs/>
          <w:shd w:val="clear" w:color="auto" w:fill="FFFFFF"/>
          <w:lang w:val="lt-LT"/>
        </w:rPr>
        <w:t xml:space="preserve"> kompiuterizuotos visų dalykų mokytojų darbo vietos. </w:t>
      </w:r>
      <w:r w:rsidRPr="00405941">
        <w:rPr>
          <w:bCs/>
          <w:color w:val="auto"/>
          <w:shd w:val="clear" w:color="auto" w:fill="FFFFFF"/>
          <w:lang w:val="lt-LT"/>
        </w:rPr>
        <w:t>Par</w:t>
      </w:r>
      <w:r w:rsidR="006F7A67" w:rsidRPr="00405941">
        <w:rPr>
          <w:bCs/>
          <w:color w:val="auto"/>
          <w:shd w:val="clear" w:color="auto" w:fill="FFFFFF"/>
          <w:lang w:val="lt-LT"/>
        </w:rPr>
        <w:t>tnerystė</w:t>
      </w:r>
      <w:r w:rsidRPr="00405941">
        <w:rPr>
          <w:bCs/>
          <w:color w:val="auto"/>
          <w:shd w:val="clear" w:color="auto" w:fill="FFFFFF"/>
          <w:lang w:val="lt-LT"/>
        </w:rPr>
        <w:t xml:space="preserve"> projekte „Štai koks mano kaimas“. </w:t>
      </w:r>
      <w:r>
        <w:rPr>
          <w:bCs/>
          <w:shd w:val="clear" w:color="auto" w:fill="FFFFFF"/>
          <w:lang w:val="lt-LT"/>
        </w:rPr>
        <w:t>Pagalba ir parama rengiant tradicinį Paįstrio kultūros centro teatrų festivalį „</w:t>
      </w:r>
      <w:r w:rsidR="006F7A67">
        <w:rPr>
          <w:bCs/>
          <w:shd w:val="clear" w:color="auto" w:fill="FFFFFF"/>
          <w:lang w:val="lt-LT"/>
        </w:rPr>
        <w:t xml:space="preserve">Tiltai“. </w:t>
      </w:r>
      <w:r>
        <w:rPr>
          <w:shd w:val="clear" w:color="auto" w:fill="FFFFFF"/>
          <w:lang w:val="lt-LT"/>
        </w:rPr>
        <w:t>Gimnazijoje yra kryptingas meninis ugdymas. Mokytojai dalijasi savo patirtimi su šalies, rajono kolegomis</w:t>
      </w:r>
      <w:r w:rsidR="006F7A67">
        <w:rPr>
          <w:shd w:val="clear" w:color="auto" w:fill="FFFFFF"/>
          <w:lang w:val="lt-LT"/>
        </w:rPr>
        <w:t xml:space="preserve">: </w:t>
      </w:r>
      <w:r>
        <w:rPr>
          <w:shd w:val="clear" w:color="auto" w:fill="FFFFFF"/>
          <w:lang w:val="lt-LT"/>
        </w:rPr>
        <w:t xml:space="preserve">suorganizuota mokinių darbų (verpsčių ir rankšluostinių) paroda Ramygalos dailės galerijoje, edukacinis dailės projektas „Mano Lietuva“, Lietuvos Respublikos Seimo inicijuotas atvirukų konkursas-projektas „Pasveikink vienišą senjorą“ ir daug kitų konkursų. </w:t>
      </w:r>
      <w:r w:rsidR="00B54FE4">
        <w:rPr>
          <w:shd w:val="clear" w:color="auto" w:fill="FFFFFF"/>
          <w:lang w:val="lt-LT"/>
        </w:rPr>
        <w:t>A</w:t>
      </w:r>
      <w:r>
        <w:rPr>
          <w:shd w:val="clear" w:color="auto" w:fill="FFFFFF"/>
          <w:lang w:val="lt-LT"/>
        </w:rPr>
        <w:t>ktyvi skautų organizacija. Galim</w:t>
      </w:r>
      <w:r w:rsidR="006F7A67">
        <w:rPr>
          <w:shd w:val="clear" w:color="auto" w:fill="FFFFFF"/>
          <w:lang w:val="lt-LT"/>
        </w:rPr>
        <w:t>a</w:t>
      </w:r>
      <w:r>
        <w:rPr>
          <w:shd w:val="clear" w:color="auto" w:fill="FFFFFF"/>
          <w:lang w:val="lt-LT"/>
        </w:rPr>
        <w:t xml:space="preserve"> pasidalyti mokyklos, turinčios skyrių, veiklos įvairiais kontekstais patirtimi. Švietimo ir mokslo ministerija tokias jungtines mokyklas pristato kaip vieną iš prioritetinių savo darbo sričių.</w:t>
      </w:r>
    </w:p>
    <w:p w:rsidR="00496C3E" w:rsidRPr="00B54FE4" w:rsidRDefault="00C120D6" w:rsidP="00405941">
      <w:pPr>
        <w:pStyle w:val="Standard"/>
        <w:tabs>
          <w:tab w:val="left" w:pos="1134"/>
        </w:tabs>
        <w:ind w:firstLine="851"/>
        <w:jc w:val="both"/>
        <w:rPr>
          <w:lang w:val="lt-LT"/>
        </w:rPr>
      </w:pPr>
      <w:r>
        <w:rPr>
          <w:shd w:val="clear" w:color="auto" w:fill="FFFFFF"/>
          <w:lang w:val="lt-LT"/>
        </w:rPr>
        <w:t xml:space="preserve">2015–2016 m. m. mokėsi </w:t>
      </w:r>
      <w:r>
        <w:rPr>
          <w:lang w:val="lt-LT"/>
        </w:rPr>
        <w:t xml:space="preserve">237 mokiniai, ikimokyklinio ir priešmokyklinio ugdymo grupėse </w:t>
      </w:r>
      <w:r w:rsidR="00B54FE4">
        <w:rPr>
          <w:lang w:val="lt-LT"/>
        </w:rPr>
        <w:t xml:space="preserve">buvo </w:t>
      </w:r>
      <w:r>
        <w:rPr>
          <w:lang w:val="lt-LT"/>
        </w:rPr>
        <w:t>ugdomi 64</w:t>
      </w:r>
      <w:r>
        <w:rPr>
          <w:color w:val="auto"/>
          <w:lang w:val="lt-LT"/>
        </w:rPr>
        <w:t xml:space="preserve"> </w:t>
      </w:r>
      <w:r>
        <w:rPr>
          <w:lang w:val="lt-LT"/>
        </w:rPr>
        <w:t>vaikai</w:t>
      </w:r>
      <w:r w:rsidR="00B54FE4">
        <w:rPr>
          <w:lang w:val="lt-LT"/>
        </w:rPr>
        <w:t xml:space="preserve"> (i</w:t>
      </w:r>
      <w:r>
        <w:rPr>
          <w:lang w:val="lt-LT"/>
        </w:rPr>
        <w:t>š viso 339 vaikai</w:t>
      </w:r>
      <w:r w:rsidR="00B54FE4">
        <w:rPr>
          <w:lang w:val="lt-LT"/>
        </w:rPr>
        <w:t>)</w:t>
      </w:r>
      <w:r>
        <w:rPr>
          <w:lang w:val="lt-LT"/>
        </w:rPr>
        <w:t>. D</w:t>
      </w:r>
      <w:r>
        <w:rPr>
          <w:shd w:val="clear" w:color="auto" w:fill="FFFFFF"/>
          <w:lang w:val="lt-LT"/>
        </w:rPr>
        <w:t xml:space="preserve">irbo 45 mokytojai, 32 aptarnaujančio </w:t>
      </w:r>
      <w:r>
        <w:rPr>
          <w:lang w:val="lt-LT"/>
        </w:rPr>
        <w:t>personalo darbuotojai.</w:t>
      </w:r>
    </w:p>
    <w:p w:rsidR="00496C3E" w:rsidRPr="006F7A67" w:rsidRDefault="006F7A67" w:rsidP="00405941">
      <w:pPr>
        <w:pStyle w:val="Standard"/>
        <w:tabs>
          <w:tab w:val="left" w:pos="1134"/>
        </w:tabs>
        <w:ind w:firstLine="851"/>
        <w:jc w:val="both"/>
        <w:rPr>
          <w:lang w:val="lt-LT"/>
        </w:rPr>
      </w:pPr>
      <w:r>
        <w:rPr>
          <w:bCs/>
          <w:lang w:val="lt-LT"/>
        </w:rPr>
        <w:t>K</w:t>
      </w:r>
      <w:r w:rsidR="00C120D6" w:rsidRPr="00B54FE4">
        <w:rPr>
          <w:bCs/>
          <w:lang w:val="lt-LT"/>
        </w:rPr>
        <w:t>ontekstin</w:t>
      </w:r>
      <w:r w:rsidR="00B54FE4" w:rsidRPr="00B54FE4">
        <w:rPr>
          <w:bCs/>
          <w:lang w:val="lt-LT"/>
        </w:rPr>
        <w:t>ė</w:t>
      </w:r>
      <w:r w:rsidR="00C120D6" w:rsidRPr="00B54FE4">
        <w:rPr>
          <w:bCs/>
          <w:lang w:val="lt-LT"/>
        </w:rPr>
        <w:t xml:space="preserve"> aplink</w:t>
      </w:r>
      <w:r w:rsidR="00B54FE4" w:rsidRPr="00B54FE4">
        <w:rPr>
          <w:bCs/>
          <w:lang w:val="lt-LT"/>
        </w:rPr>
        <w:t>a</w:t>
      </w:r>
      <w:r w:rsidR="00B54FE4">
        <w:rPr>
          <w:bCs/>
          <w:lang w:val="lt-LT"/>
        </w:rPr>
        <w:t>.</w:t>
      </w:r>
      <w:r>
        <w:rPr>
          <w:bCs/>
          <w:lang w:val="lt-LT"/>
        </w:rPr>
        <w:t xml:space="preserve"> </w:t>
      </w:r>
      <w:r w:rsidR="00C120D6" w:rsidRPr="006F7A67">
        <w:rPr>
          <w:bCs/>
          <w:lang w:val="lt-LT"/>
        </w:rPr>
        <w:t>Gimnazijai suteiktas žymaus kraštiečio, skulptoriaus Juozo Zikaro vardas. Mokykla netoli Panevėžio miesto. Kaip organizacija, gimnazija pasižymi tradicijų puoselėjimu ir glaudžiais ryšiais su vietos bendruomene. Ugdymo proceso metu mokiniai skatinami domėtis gyvenamosios aplinkos istorija. Labai gera sporto bazė, daug netradicinio sportinio inventoriaus, vyksta netradicinių sporto šakų šventės. Gimnazija yra svetinga, jauki, šilta, bendruomenės nariai jaučiasi saugiai. Atlikta gimnazijos išorės pastato ir dalinė vidaus renovacija. Mokiniai turi galimybę nuo 2 iki 19 metų ugdytis ir mokytis vienoje įstaigoje. Skaistgirių skyriaus ekonominę situaciją palankesn</w:t>
      </w:r>
      <w:r>
        <w:rPr>
          <w:bCs/>
          <w:lang w:val="lt-LT"/>
        </w:rPr>
        <w:t>ę</w:t>
      </w:r>
      <w:r w:rsidR="00C120D6" w:rsidRPr="006F7A67">
        <w:rPr>
          <w:bCs/>
          <w:lang w:val="lt-LT"/>
        </w:rPr>
        <w:t xml:space="preserve"> daugeliu atvej</w:t>
      </w:r>
      <w:r w:rsidR="00B54FE4" w:rsidRPr="006F7A67">
        <w:rPr>
          <w:bCs/>
          <w:lang w:val="lt-LT"/>
        </w:rPr>
        <w:t>ų</w:t>
      </w:r>
      <w:r w:rsidR="00C120D6" w:rsidRPr="006F7A67">
        <w:rPr>
          <w:bCs/>
          <w:lang w:val="lt-LT"/>
        </w:rPr>
        <w:t xml:space="preserve"> daro Grigaliūnų šeimynos labdaros organizacija GLOBĖJAS. Gaunam</w:t>
      </w:r>
      <w:r>
        <w:rPr>
          <w:bCs/>
          <w:lang w:val="lt-LT"/>
        </w:rPr>
        <w:t>i</w:t>
      </w:r>
      <w:r w:rsidR="00C120D6" w:rsidRPr="006F7A67">
        <w:rPr>
          <w:bCs/>
          <w:lang w:val="lt-LT"/>
        </w:rPr>
        <w:t xml:space="preserve"> mokyklini</w:t>
      </w:r>
      <w:r>
        <w:rPr>
          <w:bCs/>
          <w:lang w:val="lt-LT"/>
        </w:rPr>
        <w:t>ai</w:t>
      </w:r>
      <w:r w:rsidR="00C120D6" w:rsidRPr="006F7A67">
        <w:rPr>
          <w:bCs/>
          <w:lang w:val="lt-LT"/>
        </w:rPr>
        <w:t xml:space="preserve"> bald</w:t>
      </w:r>
      <w:r>
        <w:rPr>
          <w:bCs/>
          <w:lang w:val="lt-LT"/>
        </w:rPr>
        <w:t>ai</w:t>
      </w:r>
      <w:r w:rsidR="00C120D6" w:rsidRPr="006F7A67">
        <w:rPr>
          <w:bCs/>
          <w:lang w:val="lt-LT"/>
        </w:rPr>
        <w:t>, kanceliarini</w:t>
      </w:r>
      <w:r>
        <w:rPr>
          <w:bCs/>
          <w:lang w:val="lt-LT"/>
        </w:rPr>
        <w:t>ai</w:t>
      </w:r>
      <w:r w:rsidR="00C120D6" w:rsidRPr="006F7A67">
        <w:rPr>
          <w:bCs/>
          <w:lang w:val="lt-LT"/>
        </w:rPr>
        <w:t xml:space="preserve"> reikmen</w:t>
      </w:r>
      <w:r>
        <w:rPr>
          <w:bCs/>
          <w:lang w:val="lt-LT"/>
        </w:rPr>
        <w:t>ys</w:t>
      </w:r>
      <w:r w:rsidR="00C120D6" w:rsidRPr="006F7A67">
        <w:rPr>
          <w:bCs/>
          <w:lang w:val="lt-LT"/>
        </w:rPr>
        <w:t>,</w:t>
      </w:r>
      <w:r w:rsidR="00C120D6" w:rsidRPr="006F7A67">
        <w:rPr>
          <w:lang w:val="lt-LT"/>
        </w:rPr>
        <w:t xml:space="preserve"> </w:t>
      </w:r>
      <w:r w:rsidR="00C120D6" w:rsidRPr="006F7A67">
        <w:rPr>
          <w:bCs/>
          <w:lang w:val="lt-LT"/>
        </w:rPr>
        <w:t>sportini</w:t>
      </w:r>
      <w:r>
        <w:rPr>
          <w:bCs/>
          <w:lang w:val="lt-LT"/>
        </w:rPr>
        <w:t>s</w:t>
      </w:r>
      <w:r w:rsidR="00C120D6" w:rsidRPr="006F7A67">
        <w:rPr>
          <w:bCs/>
          <w:lang w:val="lt-LT"/>
        </w:rPr>
        <w:t xml:space="preserve"> inventorius, ugdymo priemon</w:t>
      </w:r>
      <w:r>
        <w:rPr>
          <w:bCs/>
          <w:lang w:val="lt-LT"/>
        </w:rPr>
        <w:t>ės</w:t>
      </w:r>
      <w:r w:rsidR="00C120D6" w:rsidRPr="006F7A67">
        <w:rPr>
          <w:bCs/>
          <w:lang w:val="lt-LT"/>
        </w:rPr>
        <w:t>, kasmet skyriaus mokiniai gauna Kalėdinių dovanų iš organizacijos partnerių Švedijoje.</w:t>
      </w:r>
    </w:p>
    <w:p w:rsidR="00496C3E" w:rsidRDefault="00496C3E">
      <w:pPr>
        <w:pStyle w:val="Standard"/>
        <w:ind w:left="3312" w:firstLine="576"/>
        <w:rPr>
          <w:b/>
          <w:bCs/>
          <w:lang w:val="lt-LT"/>
        </w:rPr>
      </w:pPr>
    </w:p>
    <w:p w:rsidR="00496C3E" w:rsidRDefault="00405941" w:rsidP="00405941">
      <w:pPr>
        <w:pStyle w:val="Standard"/>
        <w:tabs>
          <w:tab w:val="left" w:pos="1241"/>
          <w:tab w:val="left" w:pos="1383"/>
        </w:tabs>
        <w:ind w:left="1004"/>
        <w:jc w:val="center"/>
        <w:rPr>
          <w:b/>
          <w:bCs/>
          <w:lang w:val="lt-LT"/>
        </w:rPr>
      </w:pPr>
      <w:r>
        <w:rPr>
          <w:b/>
          <w:bCs/>
          <w:lang w:val="lt-LT"/>
        </w:rPr>
        <w:t xml:space="preserve">II. </w:t>
      </w:r>
      <w:r w:rsidR="00C120D6">
        <w:rPr>
          <w:b/>
          <w:bCs/>
          <w:lang w:val="lt-LT"/>
        </w:rPr>
        <w:t>MOKINIAI</w:t>
      </w:r>
    </w:p>
    <w:p w:rsidR="00496C3E" w:rsidRDefault="006F7A67" w:rsidP="00EB27DC">
      <w:pPr>
        <w:pStyle w:val="Standard"/>
        <w:tabs>
          <w:tab w:val="left" w:pos="1134"/>
        </w:tabs>
        <w:ind w:left="851"/>
        <w:jc w:val="both"/>
        <w:rPr>
          <w:bCs/>
          <w:lang w:val="lt-LT"/>
        </w:rPr>
      </w:pPr>
      <w:r>
        <w:rPr>
          <w:bCs/>
          <w:lang w:val="lt-LT"/>
        </w:rPr>
        <w:t>B</w:t>
      </w:r>
      <w:r w:rsidR="00C120D6">
        <w:rPr>
          <w:bCs/>
          <w:lang w:val="lt-LT"/>
        </w:rPr>
        <w:t>uvo pavežama į mokyklą ir iš jos 73</w:t>
      </w:r>
      <w:r w:rsidR="00B54FE4">
        <w:rPr>
          <w:bCs/>
          <w:lang w:val="lt-LT"/>
        </w:rPr>
        <w:t xml:space="preserve"> proc. mokinių.</w:t>
      </w:r>
    </w:p>
    <w:p w:rsidR="00496C3E" w:rsidRPr="004F12BE" w:rsidRDefault="00C120D6" w:rsidP="00182EED">
      <w:pPr>
        <w:pStyle w:val="Standard"/>
        <w:tabs>
          <w:tab w:val="left" w:pos="1134"/>
        </w:tabs>
        <w:ind w:firstLine="851"/>
        <w:jc w:val="both"/>
        <w:rPr>
          <w:lang w:val="lt-LT"/>
        </w:rPr>
      </w:pPr>
      <w:r>
        <w:rPr>
          <w:lang w:val="lt-LT"/>
        </w:rPr>
        <w:t>Mokinių lankomumas.</w:t>
      </w:r>
      <w:r w:rsidR="006F7A67">
        <w:rPr>
          <w:kern w:val="0"/>
          <w:lang w:val="lt-LT"/>
        </w:rPr>
        <w:t xml:space="preserve"> </w:t>
      </w:r>
      <w:r>
        <w:rPr>
          <w:kern w:val="0"/>
          <w:lang w:val="lt-LT"/>
        </w:rPr>
        <w:t xml:space="preserve">Praleistos 18 707 pamokos, arba 67,53 pamokos 1 mokiniui, iš jų </w:t>
      </w:r>
      <w:r w:rsidR="00182EED">
        <w:rPr>
          <w:kern w:val="0"/>
          <w:lang w:val="lt-LT"/>
        </w:rPr>
        <w:br/>
      </w:r>
      <w:r>
        <w:rPr>
          <w:kern w:val="0"/>
          <w:lang w:val="lt-LT"/>
        </w:rPr>
        <w:t>17 737 pamokos praleistos dėl ligos ir kitų priežasčių</w:t>
      </w:r>
      <w:r w:rsidR="006F7A67">
        <w:rPr>
          <w:kern w:val="0"/>
          <w:lang w:val="lt-LT"/>
        </w:rPr>
        <w:t xml:space="preserve"> (</w:t>
      </w:r>
      <w:r>
        <w:rPr>
          <w:kern w:val="0"/>
          <w:lang w:val="lt-LT"/>
        </w:rPr>
        <w:t xml:space="preserve">94,81 </w:t>
      </w:r>
      <w:r w:rsidR="00B54FE4">
        <w:rPr>
          <w:kern w:val="0"/>
          <w:lang w:val="lt-LT"/>
        </w:rPr>
        <w:t>proc.</w:t>
      </w:r>
      <w:r w:rsidR="006F7A67">
        <w:rPr>
          <w:kern w:val="0"/>
          <w:lang w:val="lt-LT"/>
        </w:rPr>
        <w:t>)</w:t>
      </w:r>
      <w:r>
        <w:rPr>
          <w:kern w:val="0"/>
          <w:lang w:val="lt-LT"/>
        </w:rPr>
        <w:t xml:space="preserve">. Nepateisinta 970 pamokų </w:t>
      </w:r>
      <w:r w:rsidR="00182EED">
        <w:rPr>
          <w:kern w:val="0"/>
          <w:lang w:val="lt-LT"/>
        </w:rPr>
        <w:br/>
      </w:r>
      <w:r w:rsidR="006F7A67">
        <w:rPr>
          <w:kern w:val="0"/>
          <w:lang w:val="lt-LT"/>
        </w:rPr>
        <w:t>(</w:t>
      </w:r>
      <w:r>
        <w:rPr>
          <w:kern w:val="0"/>
          <w:lang w:val="lt-LT"/>
        </w:rPr>
        <w:t xml:space="preserve">5,18 </w:t>
      </w:r>
      <w:r w:rsidR="00B54FE4">
        <w:rPr>
          <w:kern w:val="0"/>
          <w:lang w:val="lt-LT"/>
        </w:rPr>
        <w:t>proc.</w:t>
      </w:r>
      <w:r w:rsidR="006F7A67">
        <w:rPr>
          <w:kern w:val="0"/>
          <w:lang w:val="lt-LT"/>
        </w:rPr>
        <w:t>)</w:t>
      </w:r>
      <w:r>
        <w:rPr>
          <w:kern w:val="0"/>
          <w:lang w:val="lt-LT"/>
        </w:rPr>
        <w:t xml:space="preserve">. Skaistgirių skyriuje problemų dėl lankomumo nėra. Daugiausia pamokų praleidžia </w:t>
      </w:r>
      <w:r w:rsidR="00182EED">
        <w:rPr>
          <w:kern w:val="0"/>
          <w:lang w:val="lt-LT"/>
        </w:rPr>
        <w:br/>
      </w:r>
      <w:r>
        <w:rPr>
          <w:kern w:val="0"/>
          <w:lang w:val="lt-LT"/>
        </w:rPr>
        <w:t>11–12 kl</w:t>
      </w:r>
      <w:r w:rsidR="006F7A67">
        <w:rPr>
          <w:kern w:val="0"/>
          <w:lang w:val="lt-LT"/>
        </w:rPr>
        <w:t>.</w:t>
      </w:r>
      <w:r>
        <w:rPr>
          <w:kern w:val="0"/>
          <w:lang w:val="lt-LT"/>
        </w:rPr>
        <w:t xml:space="preserve"> mokiniai. Yra sugriežtinta kontrolė</w:t>
      </w:r>
      <w:r w:rsidR="00B54FE4">
        <w:rPr>
          <w:kern w:val="0"/>
          <w:lang w:val="lt-LT"/>
        </w:rPr>
        <w:t>. S</w:t>
      </w:r>
      <w:r>
        <w:rPr>
          <w:kern w:val="0"/>
          <w:lang w:val="lt-LT"/>
        </w:rPr>
        <w:t>u tėvų pagalba</w:t>
      </w:r>
      <w:r w:rsidR="00B54FE4">
        <w:rPr>
          <w:kern w:val="0"/>
          <w:lang w:val="lt-LT"/>
        </w:rPr>
        <w:t xml:space="preserve"> ji</w:t>
      </w:r>
      <w:r>
        <w:rPr>
          <w:kern w:val="0"/>
          <w:lang w:val="lt-LT"/>
        </w:rPr>
        <w:t xml:space="preserve"> veikia teigiamai. </w:t>
      </w:r>
    </w:p>
    <w:p w:rsidR="00496C3E" w:rsidRDefault="00496C3E" w:rsidP="00182EED">
      <w:pPr>
        <w:pStyle w:val="Standard"/>
        <w:ind w:left="502"/>
        <w:rPr>
          <w:lang w:val="lt-LT"/>
        </w:rPr>
      </w:pPr>
    </w:p>
    <w:tbl>
      <w:tblPr>
        <w:tblW w:w="9639" w:type="dxa"/>
        <w:tblInd w:w="137" w:type="dxa"/>
        <w:tblLayout w:type="fixed"/>
        <w:tblCellMar>
          <w:left w:w="10" w:type="dxa"/>
          <w:right w:w="10" w:type="dxa"/>
        </w:tblCellMar>
        <w:tblLook w:val="0000" w:firstRow="0" w:lastRow="0" w:firstColumn="0" w:lastColumn="0" w:noHBand="0" w:noVBand="0"/>
      </w:tblPr>
      <w:tblGrid>
        <w:gridCol w:w="2552"/>
        <w:gridCol w:w="4255"/>
        <w:gridCol w:w="2832"/>
      </w:tblGrid>
      <w:tr w:rsidR="00496C3E" w:rsidTr="00182EED">
        <w:tc>
          <w:tcPr>
            <w:tcW w:w="25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96C3E" w:rsidRDefault="00C120D6">
            <w:pPr>
              <w:pStyle w:val="Standard"/>
              <w:jc w:val="center"/>
              <w:rPr>
                <w:bCs/>
                <w:lang w:val="lt-LT"/>
              </w:rPr>
            </w:pPr>
            <w:r>
              <w:rPr>
                <w:bCs/>
                <w:lang w:val="lt-LT"/>
              </w:rPr>
              <w:t>Šeimos</w:t>
            </w:r>
          </w:p>
        </w:tc>
        <w:tc>
          <w:tcPr>
            <w:tcW w:w="42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96C3E" w:rsidRDefault="00C120D6">
            <w:pPr>
              <w:pStyle w:val="Standard"/>
              <w:jc w:val="center"/>
              <w:rPr>
                <w:bCs/>
                <w:lang w:val="lt-LT"/>
              </w:rPr>
            </w:pPr>
            <w:r>
              <w:rPr>
                <w:bCs/>
                <w:lang w:val="lt-LT"/>
              </w:rPr>
              <w:t>Mokinių, gyvenančių šeimose</w:t>
            </w:r>
            <w:r w:rsidR="006F7A67">
              <w:rPr>
                <w:bCs/>
                <w:lang w:val="lt-LT"/>
              </w:rPr>
              <w:t>,</w:t>
            </w:r>
            <w:r>
              <w:rPr>
                <w:bCs/>
                <w:lang w:val="lt-LT"/>
              </w:rPr>
              <w:t xml:space="preserve"> skaičius</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6C3E" w:rsidRDefault="00C120D6">
            <w:pPr>
              <w:pStyle w:val="Standard"/>
              <w:jc w:val="center"/>
              <w:rPr>
                <w:bCs/>
                <w:lang w:val="lt-LT"/>
              </w:rPr>
            </w:pPr>
            <w:r>
              <w:rPr>
                <w:bCs/>
                <w:lang w:val="lt-LT"/>
              </w:rPr>
              <w:t>Proc. nuo mokinių skaičiaus</w:t>
            </w:r>
          </w:p>
        </w:tc>
      </w:tr>
      <w:tr w:rsidR="00496C3E" w:rsidTr="00182EED">
        <w:tc>
          <w:tcPr>
            <w:tcW w:w="25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96C3E" w:rsidRDefault="00C120D6">
            <w:pPr>
              <w:pStyle w:val="Standard"/>
              <w:jc w:val="both"/>
              <w:rPr>
                <w:bCs/>
                <w:lang w:val="lt-LT"/>
              </w:rPr>
            </w:pPr>
            <w:r>
              <w:rPr>
                <w:bCs/>
                <w:lang w:val="lt-LT"/>
              </w:rPr>
              <w:t>Socialiai remtinos šeimos</w:t>
            </w:r>
          </w:p>
        </w:tc>
        <w:tc>
          <w:tcPr>
            <w:tcW w:w="42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96C3E" w:rsidRDefault="00C120D6">
            <w:pPr>
              <w:pStyle w:val="Standard"/>
              <w:jc w:val="center"/>
              <w:rPr>
                <w:iCs/>
                <w:lang w:val="lt-LT"/>
              </w:rPr>
            </w:pPr>
            <w:r>
              <w:rPr>
                <w:iCs/>
                <w:lang w:val="lt-LT"/>
              </w:rPr>
              <w:t>93</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6C3E" w:rsidRDefault="00C120D6">
            <w:pPr>
              <w:pStyle w:val="Standard"/>
              <w:jc w:val="center"/>
              <w:rPr>
                <w:iCs/>
                <w:lang w:val="lt-LT"/>
              </w:rPr>
            </w:pPr>
            <w:r>
              <w:rPr>
                <w:iCs/>
                <w:lang w:val="lt-LT"/>
              </w:rPr>
              <w:t>27</w:t>
            </w:r>
            <w:r w:rsidR="00C27167">
              <w:rPr>
                <w:iCs/>
                <w:lang w:val="lt-LT"/>
              </w:rPr>
              <w:t xml:space="preserve"> proc.</w:t>
            </w:r>
          </w:p>
        </w:tc>
      </w:tr>
      <w:tr w:rsidR="00496C3E" w:rsidTr="00182EED">
        <w:tc>
          <w:tcPr>
            <w:tcW w:w="25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96C3E" w:rsidRDefault="00C120D6">
            <w:pPr>
              <w:pStyle w:val="Standard"/>
              <w:jc w:val="both"/>
              <w:rPr>
                <w:bCs/>
                <w:lang w:val="lt-LT"/>
              </w:rPr>
            </w:pPr>
            <w:r>
              <w:rPr>
                <w:bCs/>
                <w:lang w:val="lt-LT"/>
              </w:rPr>
              <w:t>Socialinės rizikos šeimos</w:t>
            </w:r>
          </w:p>
        </w:tc>
        <w:tc>
          <w:tcPr>
            <w:tcW w:w="42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96C3E" w:rsidRDefault="00C120D6">
            <w:pPr>
              <w:pStyle w:val="Standard"/>
              <w:jc w:val="center"/>
            </w:pPr>
            <w:r>
              <w:t>36 (dar 3 stebimos)</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6C3E" w:rsidRDefault="00C120D6">
            <w:pPr>
              <w:pStyle w:val="Standard"/>
              <w:jc w:val="center"/>
            </w:pPr>
            <w:r>
              <w:t>10</w:t>
            </w:r>
            <w:r w:rsidR="00C27167">
              <w:t xml:space="preserve"> proc.</w:t>
            </w:r>
          </w:p>
        </w:tc>
      </w:tr>
    </w:tbl>
    <w:p w:rsidR="00496C3E" w:rsidRDefault="00496C3E">
      <w:pPr>
        <w:pStyle w:val="Standard"/>
        <w:jc w:val="both"/>
        <w:rPr>
          <w:b/>
          <w:bCs/>
          <w:lang w:val="lt-LT"/>
        </w:rPr>
      </w:pPr>
    </w:p>
    <w:tbl>
      <w:tblPr>
        <w:tblW w:w="9639" w:type="dxa"/>
        <w:tblInd w:w="137" w:type="dxa"/>
        <w:tblLayout w:type="fixed"/>
        <w:tblCellMar>
          <w:left w:w="10" w:type="dxa"/>
          <w:right w:w="10" w:type="dxa"/>
        </w:tblCellMar>
        <w:tblLook w:val="0000" w:firstRow="0" w:lastRow="0" w:firstColumn="0" w:lastColumn="0" w:noHBand="0" w:noVBand="0"/>
      </w:tblPr>
      <w:tblGrid>
        <w:gridCol w:w="5839"/>
        <w:gridCol w:w="3800"/>
      </w:tblGrid>
      <w:tr w:rsidR="00496C3E" w:rsidTr="00182EED">
        <w:tc>
          <w:tcPr>
            <w:tcW w:w="5839" w:type="dxa"/>
            <w:vMerge w:val="restart"/>
            <w:tcBorders>
              <w:top w:val="single" w:sz="4" w:space="0" w:color="000000"/>
              <w:left w:val="single" w:sz="4" w:space="0" w:color="000000"/>
              <w:bottom w:val="single" w:sz="4" w:space="0" w:color="000001"/>
              <w:right w:val="single" w:sz="4" w:space="0" w:color="000000"/>
            </w:tcBorders>
            <w:shd w:val="clear" w:color="auto" w:fill="FFFFFF"/>
            <w:tcMar>
              <w:top w:w="15" w:type="dxa"/>
              <w:left w:w="15" w:type="dxa"/>
              <w:bottom w:w="15" w:type="dxa"/>
              <w:right w:w="15" w:type="dxa"/>
            </w:tcMar>
          </w:tcPr>
          <w:p w:rsidR="00496C3E" w:rsidRDefault="00C120D6">
            <w:pPr>
              <w:pStyle w:val="Standard"/>
            </w:pPr>
            <w:r>
              <w:t>Mokinių, paliktų kartoti ugdymo programos kursą, skaičius</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Proc. nuo mokinių skaičiaus</w:t>
            </w:r>
          </w:p>
        </w:tc>
      </w:tr>
      <w:tr w:rsidR="00496C3E" w:rsidTr="00182EED">
        <w:tc>
          <w:tcPr>
            <w:tcW w:w="5839" w:type="dxa"/>
            <w:vMerge/>
            <w:tcBorders>
              <w:top w:val="single" w:sz="4" w:space="0" w:color="000000"/>
              <w:left w:val="single" w:sz="4" w:space="0" w:color="000000"/>
              <w:bottom w:val="single" w:sz="4" w:space="0" w:color="000001"/>
              <w:right w:val="single" w:sz="4" w:space="0" w:color="000000"/>
            </w:tcBorders>
            <w:shd w:val="clear" w:color="auto" w:fill="FFFFFF"/>
            <w:tcMar>
              <w:top w:w="15" w:type="dxa"/>
              <w:left w:w="15" w:type="dxa"/>
              <w:bottom w:w="15" w:type="dxa"/>
              <w:right w:w="15" w:type="dxa"/>
            </w:tcMar>
          </w:tcPr>
          <w:p w:rsidR="00496C3E" w:rsidRDefault="00496C3E">
            <w:pPr>
              <w:suppressAutoHyphens w:val="0"/>
            </w:pPr>
          </w:p>
        </w:tc>
        <w:tc>
          <w:tcPr>
            <w:tcW w:w="3800" w:type="dxa"/>
            <w:tcBorders>
              <w:top w:val="single" w:sz="4" w:space="0" w:color="000000"/>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t xml:space="preserve">0,2 </w:t>
            </w:r>
            <w:r w:rsidR="00C27167">
              <w:t xml:space="preserve">proc. </w:t>
            </w:r>
            <w:r>
              <w:t>(1 mok. 1 klasė)</w:t>
            </w:r>
          </w:p>
        </w:tc>
      </w:tr>
    </w:tbl>
    <w:p w:rsidR="00496C3E" w:rsidRDefault="00496C3E">
      <w:pPr>
        <w:pStyle w:val="Standard"/>
        <w:jc w:val="both"/>
        <w:rPr>
          <w:b/>
          <w:bCs/>
          <w:lang w:val="lt-LT"/>
        </w:rPr>
      </w:pPr>
    </w:p>
    <w:tbl>
      <w:tblPr>
        <w:tblW w:w="9497" w:type="dxa"/>
        <w:tblInd w:w="137" w:type="dxa"/>
        <w:tblLayout w:type="fixed"/>
        <w:tblCellMar>
          <w:left w:w="10" w:type="dxa"/>
          <w:right w:w="10" w:type="dxa"/>
        </w:tblCellMar>
        <w:tblLook w:val="0000" w:firstRow="0" w:lastRow="0" w:firstColumn="0" w:lastColumn="0" w:noHBand="0" w:noVBand="0"/>
      </w:tblPr>
      <w:tblGrid>
        <w:gridCol w:w="2977"/>
        <w:gridCol w:w="2693"/>
        <w:gridCol w:w="3827"/>
      </w:tblGrid>
      <w:tr w:rsidR="00496C3E" w:rsidTr="00182EED">
        <w:tc>
          <w:tcPr>
            <w:tcW w:w="2977" w:type="dxa"/>
            <w:vMerge w:val="restart"/>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Mokiniai, gaunantys nemokamą</w:t>
            </w:r>
          </w:p>
          <w:p w:rsidR="00496C3E" w:rsidRDefault="00C120D6">
            <w:pPr>
              <w:pStyle w:val="Standard"/>
            </w:pPr>
            <w:r>
              <w:rPr>
                <w:bCs/>
                <w:lang w:val="lt-LT" w:eastAsia="lt-LT"/>
              </w:rPr>
              <w:t>maitinimą</w:t>
            </w:r>
          </w:p>
        </w:tc>
        <w:tc>
          <w:tcPr>
            <w:tcW w:w="269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Mokinių skaičius</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Proc. nuo mokinių skaičiaus</w:t>
            </w:r>
          </w:p>
        </w:tc>
      </w:tr>
      <w:tr w:rsidR="00496C3E" w:rsidTr="00182EED">
        <w:tc>
          <w:tcPr>
            <w:tcW w:w="2977" w:type="dxa"/>
            <w:vMerge/>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496C3E">
            <w:pPr>
              <w:suppressAutoHyphens w:val="0"/>
            </w:pPr>
          </w:p>
        </w:tc>
        <w:tc>
          <w:tcPr>
            <w:tcW w:w="269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89</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t>26</w:t>
            </w:r>
            <w:r w:rsidR="00C27167">
              <w:t xml:space="preserve"> proc.</w:t>
            </w:r>
          </w:p>
        </w:tc>
      </w:tr>
    </w:tbl>
    <w:p w:rsidR="00496C3E" w:rsidRDefault="00496C3E">
      <w:pPr>
        <w:pStyle w:val="Standard"/>
        <w:rPr>
          <w:lang w:val="lt-LT" w:eastAsia="lt-LT"/>
        </w:rPr>
      </w:pPr>
    </w:p>
    <w:tbl>
      <w:tblPr>
        <w:tblW w:w="9497" w:type="dxa"/>
        <w:tblInd w:w="137" w:type="dxa"/>
        <w:tblLayout w:type="fixed"/>
        <w:tblCellMar>
          <w:left w:w="10" w:type="dxa"/>
          <w:right w:w="10" w:type="dxa"/>
        </w:tblCellMar>
        <w:tblLook w:val="0000" w:firstRow="0" w:lastRow="0" w:firstColumn="0" w:lastColumn="0" w:noHBand="0" w:noVBand="0"/>
      </w:tblPr>
      <w:tblGrid>
        <w:gridCol w:w="2835"/>
        <w:gridCol w:w="3122"/>
        <w:gridCol w:w="3540"/>
      </w:tblGrid>
      <w:tr w:rsidR="00496C3E" w:rsidTr="00182EED">
        <w:tc>
          <w:tcPr>
            <w:tcW w:w="283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Neformalusis švietimas</w:t>
            </w:r>
          </w:p>
        </w:tc>
        <w:tc>
          <w:tcPr>
            <w:tcW w:w="31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Mokykloje</w:t>
            </w:r>
          </w:p>
          <w:p w:rsidR="00496C3E" w:rsidRDefault="00C120D6">
            <w:pPr>
              <w:pStyle w:val="Standard"/>
              <w:jc w:val="center"/>
              <w:rPr>
                <w:lang w:val="lt-LT" w:eastAsia="lt-LT"/>
              </w:rPr>
            </w:pPr>
            <w:r>
              <w:rPr>
                <w:lang w:val="lt-LT" w:eastAsia="lt-LT"/>
              </w:rPr>
              <w:t>Proc. nuo mokinių skaičiaus</w:t>
            </w:r>
          </w:p>
        </w:tc>
        <w:tc>
          <w:tcPr>
            <w:tcW w:w="3540"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Už mokyklos ribų</w:t>
            </w:r>
          </w:p>
          <w:p w:rsidR="00496C3E" w:rsidRDefault="00C120D6">
            <w:pPr>
              <w:pStyle w:val="Standard"/>
              <w:jc w:val="center"/>
              <w:rPr>
                <w:lang w:val="lt-LT" w:eastAsia="lt-LT"/>
              </w:rPr>
            </w:pPr>
            <w:r>
              <w:rPr>
                <w:lang w:val="lt-LT" w:eastAsia="lt-LT"/>
              </w:rPr>
              <w:t>Proc. nuo mokinių skaičiaus</w:t>
            </w:r>
          </w:p>
        </w:tc>
      </w:tr>
      <w:tr w:rsidR="00496C3E" w:rsidTr="00182EED">
        <w:tc>
          <w:tcPr>
            <w:tcW w:w="283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Lankančiųjų mokinių skaičius</w:t>
            </w:r>
          </w:p>
        </w:tc>
        <w:tc>
          <w:tcPr>
            <w:tcW w:w="31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97,5</w:t>
            </w:r>
            <w:r w:rsidR="00C27167">
              <w:rPr>
                <w:lang w:val="lt-LT" w:eastAsia="lt-LT"/>
              </w:rPr>
              <w:t xml:space="preserve"> proc.</w:t>
            </w:r>
          </w:p>
        </w:tc>
        <w:tc>
          <w:tcPr>
            <w:tcW w:w="3540"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t>16</w:t>
            </w:r>
            <w:r w:rsidR="00C27167">
              <w:t xml:space="preserve"> proc.</w:t>
            </w:r>
          </w:p>
        </w:tc>
      </w:tr>
    </w:tbl>
    <w:p w:rsidR="00496C3E" w:rsidRDefault="00496C3E">
      <w:pPr>
        <w:pStyle w:val="Standard"/>
        <w:jc w:val="both"/>
        <w:rPr>
          <w:lang w:val="lt-LT" w:eastAsia="lt-LT"/>
        </w:rPr>
      </w:pPr>
    </w:p>
    <w:p w:rsidR="00496C3E" w:rsidRDefault="00C120D6" w:rsidP="00182EED">
      <w:pPr>
        <w:pStyle w:val="Standard"/>
        <w:ind w:left="502"/>
        <w:jc w:val="both"/>
      </w:pPr>
      <w:r>
        <w:rPr>
          <w:lang w:val="lt-LT" w:eastAsia="lt-LT"/>
        </w:rPr>
        <w:t xml:space="preserve">Dalyvavimas </w:t>
      </w:r>
      <w:r>
        <w:rPr>
          <w:bCs/>
          <w:lang w:val="lt-LT" w:eastAsia="lt-LT"/>
        </w:rPr>
        <w:t>renginiuose:</w:t>
      </w:r>
    </w:p>
    <w:tbl>
      <w:tblPr>
        <w:tblW w:w="9497" w:type="dxa"/>
        <w:tblInd w:w="137" w:type="dxa"/>
        <w:tblLayout w:type="fixed"/>
        <w:tblCellMar>
          <w:left w:w="10" w:type="dxa"/>
          <w:right w:w="10" w:type="dxa"/>
        </w:tblCellMar>
        <w:tblLook w:val="0000" w:firstRow="0" w:lastRow="0" w:firstColumn="0" w:lastColumn="0" w:noHBand="0" w:noVBand="0"/>
      </w:tblPr>
      <w:tblGrid>
        <w:gridCol w:w="2722"/>
        <w:gridCol w:w="1461"/>
        <w:gridCol w:w="1544"/>
        <w:gridCol w:w="1337"/>
        <w:gridCol w:w="1500"/>
        <w:gridCol w:w="933"/>
      </w:tblGrid>
      <w:tr w:rsidR="00496C3E" w:rsidTr="00182EED">
        <w:tc>
          <w:tcPr>
            <w:tcW w:w="4183"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bCs/>
                <w:lang w:val="lt-LT" w:eastAsia="lt-LT"/>
              </w:rPr>
            </w:pPr>
            <w:r>
              <w:rPr>
                <w:bCs/>
                <w:lang w:val="lt-LT" w:eastAsia="lt-LT"/>
              </w:rPr>
              <w:t>Rajono (miesto)</w:t>
            </w:r>
          </w:p>
        </w:tc>
        <w:tc>
          <w:tcPr>
            <w:tcW w:w="2881"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bCs/>
                <w:lang w:val="lt-LT" w:eastAsia="lt-LT"/>
              </w:rPr>
            </w:pPr>
            <w:r>
              <w:rPr>
                <w:bCs/>
                <w:lang w:val="lt-LT" w:eastAsia="lt-LT"/>
              </w:rPr>
              <w:t>Šalies</w:t>
            </w:r>
          </w:p>
        </w:tc>
        <w:tc>
          <w:tcPr>
            <w:tcW w:w="2433" w:type="dxa"/>
            <w:gridSpan w:val="2"/>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rPr>
                <w:bCs/>
                <w:lang w:val="lt-LT" w:eastAsia="lt-LT"/>
              </w:rPr>
              <w:t>Tarptautiniuose</w:t>
            </w:r>
          </w:p>
        </w:tc>
      </w:tr>
      <w:tr w:rsidR="00496C3E" w:rsidTr="00182EED">
        <w:trPr>
          <w:trHeight w:val="975"/>
        </w:trPr>
        <w:tc>
          <w:tcPr>
            <w:tcW w:w="27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Dalyvavusių</w:t>
            </w:r>
          </w:p>
          <w:p w:rsidR="00496C3E" w:rsidRDefault="00C120D6">
            <w:pPr>
              <w:pStyle w:val="Standard"/>
              <w:rPr>
                <w:bCs/>
                <w:lang w:val="lt-LT" w:eastAsia="lt-LT"/>
              </w:rPr>
            </w:pPr>
            <w:r>
              <w:rPr>
                <w:bCs/>
                <w:lang w:val="lt-LT" w:eastAsia="lt-LT"/>
              </w:rPr>
              <w:t>mokinių</w:t>
            </w:r>
          </w:p>
          <w:p w:rsidR="00496C3E" w:rsidRDefault="00C120D6">
            <w:pPr>
              <w:pStyle w:val="Standard"/>
            </w:pPr>
            <w:r>
              <w:rPr>
                <w:bCs/>
                <w:lang w:val="lt-LT" w:eastAsia="lt-LT"/>
              </w:rPr>
              <w:t>skaičius</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Prizininkų /</w:t>
            </w:r>
          </w:p>
          <w:p w:rsidR="00496C3E" w:rsidRDefault="00C120D6">
            <w:pPr>
              <w:pStyle w:val="Standard"/>
              <w:rPr>
                <w:bCs/>
                <w:lang w:val="lt-LT" w:eastAsia="lt-LT"/>
              </w:rPr>
            </w:pPr>
            <w:r>
              <w:rPr>
                <w:bCs/>
                <w:lang w:val="lt-LT" w:eastAsia="lt-LT"/>
              </w:rPr>
              <w:t>laureatų skaičius</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Dalyvavusių</w:t>
            </w:r>
          </w:p>
          <w:p w:rsidR="00496C3E" w:rsidRDefault="00C120D6">
            <w:pPr>
              <w:pStyle w:val="Standard"/>
              <w:rPr>
                <w:bCs/>
                <w:lang w:val="lt-LT" w:eastAsia="lt-LT"/>
              </w:rPr>
            </w:pPr>
            <w:r>
              <w:rPr>
                <w:bCs/>
                <w:lang w:val="lt-LT" w:eastAsia="lt-LT"/>
              </w:rPr>
              <w:t>mokinių</w:t>
            </w:r>
          </w:p>
          <w:p w:rsidR="00496C3E" w:rsidRDefault="00C120D6">
            <w:pPr>
              <w:pStyle w:val="Standard"/>
              <w:rPr>
                <w:bCs/>
                <w:lang w:val="lt-LT" w:eastAsia="lt-LT"/>
              </w:rPr>
            </w:pPr>
            <w:r>
              <w:rPr>
                <w:bCs/>
                <w:lang w:val="lt-LT" w:eastAsia="lt-LT"/>
              </w:rPr>
              <w:t>skaičius</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Prizininkų /</w:t>
            </w:r>
          </w:p>
          <w:p w:rsidR="00496C3E" w:rsidRDefault="00C120D6">
            <w:pPr>
              <w:pStyle w:val="Standard"/>
              <w:rPr>
                <w:bCs/>
                <w:lang w:val="lt-LT" w:eastAsia="lt-LT"/>
              </w:rPr>
            </w:pPr>
            <w:r>
              <w:rPr>
                <w:bCs/>
                <w:lang w:val="lt-LT" w:eastAsia="lt-LT"/>
              </w:rPr>
              <w:t>laureatų skaičius</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Dalyvavusių</w:t>
            </w:r>
          </w:p>
          <w:p w:rsidR="00496C3E" w:rsidRDefault="00C120D6">
            <w:pPr>
              <w:pStyle w:val="Standard"/>
              <w:rPr>
                <w:bCs/>
                <w:lang w:val="lt-LT" w:eastAsia="lt-LT"/>
              </w:rPr>
            </w:pPr>
            <w:r>
              <w:rPr>
                <w:bCs/>
                <w:lang w:val="lt-LT" w:eastAsia="lt-LT"/>
              </w:rPr>
              <w:t>mokinių</w:t>
            </w:r>
          </w:p>
          <w:p w:rsidR="00496C3E" w:rsidRDefault="00C120D6">
            <w:pPr>
              <w:pStyle w:val="Standard"/>
              <w:rPr>
                <w:bCs/>
                <w:lang w:val="lt-LT" w:eastAsia="lt-LT"/>
              </w:rPr>
            </w:pPr>
            <w:r>
              <w:rPr>
                <w:bCs/>
                <w:lang w:val="lt-LT" w:eastAsia="lt-LT"/>
              </w:rPr>
              <w:t>skaičius</w:t>
            </w:r>
          </w:p>
        </w:tc>
        <w:tc>
          <w:tcPr>
            <w:tcW w:w="933"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Prizi</w:t>
            </w:r>
            <w:r w:rsidR="00182EED">
              <w:rPr>
                <w:bCs/>
                <w:lang w:val="lt-LT" w:eastAsia="lt-LT"/>
              </w:rPr>
              <w:t>-</w:t>
            </w:r>
            <w:r>
              <w:rPr>
                <w:bCs/>
                <w:lang w:val="lt-LT" w:eastAsia="lt-LT"/>
              </w:rPr>
              <w:t>ninkų/</w:t>
            </w:r>
          </w:p>
          <w:p w:rsidR="00496C3E" w:rsidRDefault="00C120D6">
            <w:pPr>
              <w:pStyle w:val="Standard"/>
              <w:rPr>
                <w:bCs/>
                <w:lang w:val="lt-LT" w:eastAsia="lt-LT"/>
              </w:rPr>
            </w:pPr>
            <w:r>
              <w:rPr>
                <w:bCs/>
                <w:lang w:val="lt-LT" w:eastAsia="lt-LT"/>
              </w:rPr>
              <w:t>laureatų skaičius</w:t>
            </w:r>
          </w:p>
        </w:tc>
      </w:tr>
      <w:tr w:rsidR="00496C3E" w:rsidTr="00182EED">
        <w:trPr>
          <w:trHeight w:val="300"/>
        </w:trPr>
        <w:tc>
          <w:tcPr>
            <w:tcW w:w="27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147</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55</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13</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13</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496C3E">
            <w:pPr>
              <w:pStyle w:val="Standard"/>
              <w:jc w:val="center"/>
              <w:rPr>
                <w:lang w:val="lt-LT" w:eastAsia="lt-LT"/>
              </w:rPr>
            </w:pPr>
          </w:p>
        </w:tc>
        <w:tc>
          <w:tcPr>
            <w:tcW w:w="933"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496C3E">
            <w:pPr>
              <w:pStyle w:val="Standard"/>
              <w:jc w:val="center"/>
            </w:pPr>
          </w:p>
        </w:tc>
      </w:tr>
    </w:tbl>
    <w:p w:rsidR="00496C3E" w:rsidRDefault="00496C3E">
      <w:pPr>
        <w:pStyle w:val="Standard"/>
        <w:ind w:left="360"/>
        <w:rPr>
          <w:b/>
        </w:rPr>
      </w:pPr>
    </w:p>
    <w:tbl>
      <w:tblPr>
        <w:tblW w:w="9355" w:type="dxa"/>
        <w:tblInd w:w="279" w:type="dxa"/>
        <w:tblLayout w:type="fixed"/>
        <w:tblCellMar>
          <w:left w:w="10" w:type="dxa"/>
          <w:right w:w="10" w:type="dxa"/>
        </w:tblCellMar>
        <w:tblLook w:val="0000" w:firstRow="0" w:lastRow="0" w:firstColumn="0" w:lastColumn="0" w:noHBand="0" w:noVBand="0"/>
      </w:tblPr>
      <w:tblGrid>
        <w:gridCol w:w="1483"/>
        <w:gridCol w:w="1095"/>
        <w:gridCol w:w="1303"/>
        <w:gridCol w:w="1475"/>
        <w:gridCol w:w="1598"/>
        <w:gridCol w:w="1475"/>
        <w:gridCol w:w="926"/>
      </w:tblGrid>
      <w:tr w:rsidR="00496C3E" w:rsidTr="00182EED">
        <w:tc>
          <w:tcPr>
            <w:tcW w:w="148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both"/>
              <w:rPr>
                <w:bCs/>
                <w:lang w:val="lt-LT" w:eastAsia="lt-LT"/>
              </w:rPr>
            </w:pPr>
            <w:r>
              <w:rPr>
                <w:bCs/>
                <w:lang w:val="lt-LT" w:eastAsia="lt-LT"/>
              </w:rPr>
              <w:t>Projektai</w:t>
            </w:r>
          </w:p>
        </w:tc>
        <w:tc>
          <w:tcPr>
            <w:tcW w:w="109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Socialiniai</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shd w:val="clear" w:color="auto" w:fill="FFFFFF"/>
                <w:lang w:val="lt-LT" w:eastAsia="lt-LT"/>
              </w:rPr>
            </w:pPr>
            <w:r>
              <w:rPr>
                <w:shd w:val="clear" w:color="auto" w:fill="FFFFFF"/>
                <w:lang w:val="lt-LT" w:eastAsia="lt-LT"/>
              </w:rPr>
              <w:t>Prevenciniai</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Mokomieji</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Bendruomenės</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Tarptautiniai</w:t>
            </w:r>
          </w:p>
        </w:tc>
        <w:tc>
          <w:tcPr>
            <w:tcW w:w="926"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Kiti</w:t>
            </w:r>
          </w:p>
        </w:tc>
      </w:tr>
      <w:tr w:rsidR="00496C3E" w:rsidTr="00182EED">
        <w:tc>
          <w:tcPr>
            <w:tcW w:w="148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Pr="004F12BE" w:rsidRDefault="00C120D6" w:rsidP="00EB27DC">
            <w:pPr>
              <w:pStyle w:val="Standard"/>
              <w:rPr>
                <w:lang w:val="lt-LT"/>
              </w:rPr>
            </w:pPr>
            <w:r>
              <w:rPr>
                <w:bCs/>
                <w:lang w:val="lt-LT" w:eastAsia="lt-LT"/>
              </w:rPr>
              <w:t>Vykdytų projektų skaičius ir dalyvavusių mokinių skaičius (proc. nuo bendro mokinių skaičiaus)</w:t>
            </w:r>
          </w:p>
        </w:tc>
        <w:tc>
          <w:tcPr>
            <w:tcW w:w="109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F12BE" w:rsidRDefault="00C120D6" w:rsidP="004F12BE">
            <w:pPr>
              <w:pStyle w:val="Standard"/>
              <w:jc w:val="center"/>
              <w:rPr>
                <w:bCs/>
                <w:lang w:val="lt-LT"/>
              </w:rPr>
            </w:pPr>
            <w:r>
              <w:rPr>
                <w:bCs/>
                <w:lang w:val="lt-LT"/>
              </w:rPr>
              <w:t>1</w:t>
            </w:r>
            <w:r w:rsidR="00C27167">
              <w:rPr>
                <w:bCs/>
                <w:lang w:val="lt-LT"/>
              </w:rPr>
              <w:t xml:space="preserve"> </w:t>
            </w:r>
            <w:r>
              <w:rPr>
                <w:bCs/>
                <w:lang w:val="lt-LT"/>
              </w:rPr>
              <w:t>/</w:t>
            </w:r>
            <w:r w:rsidR="00C27167">
              <w:rPr>
                <w:bCs/>
                <w:lang w:val="lt-LT"/>
              </w:rPr>
              <w:t xml:space="preserve"> </w:t>
            </w:r>
            <w:r>
              <w:rPr>
                <w:bCs/>
                <w:lang w:val="lt-LT"/>
              </w:rPr>
              <w:t>5</w:t>
            </w:r>
          </w:p>
          <w:p w:rsidR="00496C3E" w:rsidRDefault="00C120D6" w:rsidP="004F12BE">
            <w:pPr>
              <w:pStyle w:val="Standard"/>
              <w:jc w:val="center"/>
              <w:rPr>
                <w:bCs/>
                <w:lang w:val="lt-LT"/>
              </w:rPr>
            </w:pPr>
            <w:r>
              <w:rPr>
                <w:bCs/>
                <w:lang w:val="lt-LT"/>
              </w:rPr>
              <w:t xml:space="preserve">1 </w:t>
            </w:r>
            <w:r w:rsidR="00C27167">
              <w:rPr>
                <w:bCs/>
                <w:lang w:val="lt-LT"/>
              </w:rPr>
              <w:t>proc.</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96C3E" w:rsidRDefault="00C120D6" w:rsidP="004F12BE">
            <w:pPr>
              <w:pStyle w:val="Standard"/>
              <w:jc w:val="center"/>
              <w:rPr>
                <w:bCs/>
                <w:lang w:val="lt-LT"/>
              </w:rPr>
            </w:pPr>
            <w:r>
              <w:rPr>
                <w:bCs/>
                <w:lang w:val="lt-LT"/>
              </w:rPr>
              <w:t>8</w:t>
            </w:r>
            <w:r w:rsidR="00C27167">
              <w:rPr>
                <w:bCs/>
                <w:lang w:val="lt-LT"/>
              </w:rPr>
              <w:t xml:space="preserve"> </w:t>
            </w:r>
            <w:r>
              <w:rPr>
                <w:bCs/>
                <w:lang w:val="lt-LT"/>
              </w:rPr>
              <w:t>/</w:t>
            </w:r>
            <w:r w:rsidR="00C27167">
              <w:rPr>
                <w:bCs/>
                <w:lang w:val="lt-LT"/>
              </w:rPr>
              <w:t xml:space="preserve"> </w:t>
            </w:r>
            <w:r>
              <w:rPr>
                <w:bCs/>
                <w:lang w:val="lt-LT"/>
              </w:rPr>
              <w:t xml:space="preserve">524 155 </w:t>
            </w:r>
            <w:r w:rsidR="00C27167">
              <w:rPr>
                <w:bCs/>
                <w:lang w:val="lt-LT"/>
              </w:rPr>
              <w:t>proc.</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F12BE" w:rsidRDefault="00C120D6" w:rsidP="004F12BE">
            <w:pPr>
              <w:pStyle w:val="Standard"/>
              <w:jc w:val="center"/>
              <w:rPr>
                <w:bCs/>
                <w:lang w:val="lt-LT"/>
              </w:rPr>
            </w:pPr>
            <w:r>
              <w:rPr>
                <w:bCs/>
                <w:lang w:val="lt-LT"/>
              </w:rPr>
              <w:t>5</w:t>
            </w:r>
            <w:r w:rsidR="00C27167">
              <w:rPr>
                <w:bCs/>
                <w:lang w:val="lt-LT"/>
              </w:rPr>
              <w:t xml:space="preserve"> </w:t>
            </w:r>
            <w:r>
              <w:rPr>
                <w:bCs/>
                <w:lang w:val="lt-LT"/>
              </w:rPr>
              <w:t>/</w:t>
            </w:r>
            <w:r w:rsidR="00C27167">
              <w:rPr>
                <w:bCs/>
                <w:lang w:val="lt-LT"/>
              </w:rPr>
              <w:t xml:space="preserve"> </w:t>
            </w:r>
            <w:r>
              <w:rPr>
                <w:bCs/>
                <w:lang w:val="lt-LT"/>
              </w:rPr>
              <w:t>110</w:t>
            </w:r>
          </w:p>
          <w:p w:rsidR="00496C3E" w:rsidRDefault="00C120D6" w:rsidP="004F12BE">
            <w:pPr>
              <w:pStyle w:val="Standard"/>
              <w:jc w:val="center"/>
              <w:rPr>
                <w:bCs/>
                <w:lang w:val="lt-LT"/>
              </w:rPr>
            </w:pPr>
            <w:r>
              <w:rPr>
                <w:bCs/>
                <w:lang w:val="lt-LT"/>
              </w:rPr>
              <w:t xml:space="preserve">32 </w:t>
            </w:r>
            <w:r w:rsidR="00C27167">
              <w:rPr>
                <w:bCs/>
                <w:lang w:val="lt-LT"/>
              </w:rPr>
              <w:t>proc.</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F12BE" w:rsidRDefault="00C120D6" w:rsidP="004F12BE">
            <w:pPr>
              <w:pStyle w:val="Standard"/>
              <w:jc w:val="center"/>
              <w:rPr>
                <w:lang w:val="lt-LT" w:eastAsia="lt-LT"/>
              </w:rPr>
            </w:pPr>
            <w:r>
              <w:rPr>
                <w:lang w:val="lt-LT" w:eastAsia="lt-LT"/>
              </w:rPr>
              <w:t>6</w:t>
            </w:r>
            <w:r w:rsidR="00C27167">
              <w:rPr>
                <w:lang w:val="lt-LT" w:eastAsia="lt-LT"/>
              </w:rPr>
              <w:t xml:space="preserve"> </w:t>
            </w:r>
            <w:r>
              <w:rPr>
                <w:lang w:val="lt-LT" w:eastAsia="lt-LT"/>
              </w:rPr>
              <w:t>/</w:t>
            </w:r>
            <w:r w:rsidR="00C27167">
              <w:rPr>
                <w:lang w:val="lt-LT" w:eastAsia="lt-LT"/>
              </w:rPr>
              <w:t xml:space="preserve"> </w:t>
            </w:r>
            <w:r>
              <w:rPr>
                <w:lang w:val="lt-LT" w:eastAsia="lt-LT"/>
              </w:rPr>
              <w:t>453</w:t>
            </w:r>
          </w:p>
          <w:p w:rsidR="00496C3E" w:rsidRDefault="00C120D6" w:rsidP="004F12BE">
            <w:pPr>
              <w:pStyle w:val="Standard"/>
              <w:jc w:val="center"/>
              <w:rPr>
                <w:lang w:val="lt-LT" w:eastAsia="lt-LT"/>
              </w:rPr>
            </w:pPr>
            <w:r>
              <w:rPr>
                <w:lang w:val="lt-LT" w:eastAsia="lt-LT"/>
              </w:rPr>
              <w:t xml:space="preserve">133 </w:t>
            </w:r>
            <w:r w:rsidR="00C27167">
              <w:rPr>
                <w:lang w:val="lt-LT" w:eastAsia="lt-LT"/>
              </w:rPr>
              <w:t>proc.</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96C3E" w:rsidRDefault="00C27167" w:rsidP="004F12BE">
            <w:pPr>
              <w:pStyle w:val="Standard"/>
              <w:jc w:val="center"/>
              <w:rPr>
                <w:lang w:val="lt-LT" w:eastAsia="lt-LT"/>
              </w:rPr>
            </w:pPr>
            <w:r>
              <w:rPr>
                <w:lang w:val="lt-LT" w:eastAsia="lt-LT"/>
              </w:rPr>
              <w:t>–</w:t>
            </w:r>
          </w:p>
        </w:tc>
        <w:tc>
          <w:tcPr>
            <w:tcW w:w="926"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vAlign w:val="center"/>
          </w:tcPr>
          <w:p w:rsidR="004F12BE" w:rsidRDefault="00C120D6" w:rsidP="004F12BE">
            <w:pPr>
              <w:widowControl/>
              <w:spacing w:after="0" w:line="240" w:lineRule="auto"/>
              <w:jc w:val="center"/>
              <w:rPr>
                <w:rFonts w:ascii="Times New Roman" w:eastAsia="Calibri" w:hAnsi="Times New Roman" w:cs="Times New Roman"/>
                <w:color w:val="000000"/>
                <w:sz w:val="24"/>
                <w:szCs w:val="24"/>
                <w:lang w:val="en-GB" w:eastAsia="zh-CN"/>
              </w:rPr>
            </w:pPr>
            <w:r>
              <w:rPr>
                <w:rFonts w:ascii="Times New Roman" w:eastAsia="Calibri" w:hAnsi="Times New Roman" w:cs="Times New Roman"/>
                <w:color w:val="000000"/>
                <w:sz w:val="24"/>
                <w:szCs w:val="24"/>
                <w:lang w:val="en-GB" w:eastAsia="zh-CN"/>
              </w:rPr>
              <w:t>8</w:t>
            </w:r>
            <w:r w:rsidR="00C27167">
              <w:rPr>
                <w:rFonts w:ascii="Times New Roman" w:eastAsia="Calibri" w:hAnsi="Times New Roman" w:cs="Times New Roman"/>
                <w:color w:val="000000"/>
                <w:sz w:val="24"/>
                <w:szCs w:val="24"/>
                <w:lang w:val="en-GB" w:eastAsia="zh-CN"/>
              </w:rPr>
              <w:t xml:space="preserve"> </w:t>
            </w:r>
            <w:r>
              <w:rPr>
                <w:rFonts w:ascii="Times New Roman" w:eastAsia="Calibri" w:hAnsi="Times New Roman" w:cs="Times New Roman"/>
                <w:color w:val="000000"/>
                <w:sz w:val="24"/>
                <w:szCs w:val="24"/>
                <w:lang w:val="en-GB" w:eastAsia="zh-CN"/>
              </w:rPr>
              <w:t>/</w:t>
            </w:r>
            <w:r w:rsidR="00C27167">
              <w:rPr>
                <w:rFonts w:ascii="Times New Roman" w:eastAsia="Calibri" w:hAnsi="Times New Roman" w:cs="Times New Roman"/>
                <w:color w:val="000000"/>
                <w:sz w:val="24"/>
                <w:szCs w:val="24"/>
                <w:lang w:val="en-GB" w:eastAsia="zh-CN"/>
              </w:rPr>
              <w:t xml:space="preserve"> </w:t>
            </w:r>
            <w:r>
              <w:rPr>
                <w:rFonts w:ascii="Times New Roman" w:eastAsia="Calibri" w:hAnsi="Times New Roman" w:cs="Times New Roman"/>
                <w:color w:val="000000"/>
                <w:sz w:val="24"/>
                <w:szCs w:val="24"/>
                <w:lang w:val="en-GB" w:eastAsia="zh-CN"/>
              </w:rPr>
              <w:t>311</w:t>
            </w:r>
          </w:p>
          <w:p w:rsidR="00496C3E" w:rsidRDefault="00C120D6" w:rsidP="004F12BE">
            <w:pPr>
              <w:widowControl/>
              <w:spacing w:after="0" w:line="240" w:lineRule="auto"/>
              <w:jc w:val="center"/>
            </w:pPr>
            <w:r>
              <w:rPr>
                <w:rFonts w:ascii="Times New Roman" w:eastAsia="Calibri" w:hAnsi="Times New Roman" w:cs="Times New Roman"/>
                <w:kern w:val="0"/>
              </w:rPr>
              <w:t xml:space="preserve">122 </w:t>
            </w:r>
            <w:r w:rsidR="00C27167">
              <w:rPr>
                <w:rFonts w:ascii="Times New Roman" w:eastAsia="Calibri" w:hAnsi="Times New Roman" w:cs="Times New Roman"/>
                <w:kern w:val="0"/>
              </w:rPr>
              <w:t>proc.</w:t>
            </w:r>
          </w:p>
        </w:tc>
      </w:tr>
    </w:tbl>
    <w:p w:rsidR="00496C3E" w:rsidRDefault="00496C3E">
      <w:pPr>
        <w:pStyle w:val="Standard"/>
        <w:rPr>
          <w:b/>
          <w:bCs/>
          <w:lang w:val="lt-LT"/>
        </w:rPr>
      </w:pPr>
    </w:p>
    <w:p w:rsidR="00496C3E" w:rsidRDefault="00C120D6" w:rsidP="00182EED">
      <w:pPr>
        <w:widowControl/>
        <w:tabs>
          <w:tab w:val="left" w:pos="1134"/>
        </w:tabs>
        <w:spacing w:after="0" w:line="240" w:lineRule="auto"/>
        <w:ind w:left="284" w:firstLine="567"/>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Su specialiųjų poreikių mokiniais gimnazijoje sėkmingai dirba specialistų komanda, pedagogai. Stebima mokinių asmeninė pažanga, individualiai konsultuojama ir tiriamos mokymosi sunkumų priežastys, aptariamas mokymosi planas. Gabūs ir talentingi mokiniai paskatinami padėkomis, gimnazija organizuoja pažintines keliones, yra geriausių mokinių stendas. Kiekvienas vaikas stebi savo pažangą (turi aplanką).</w:t>
      </w:r>
    </w:p>
    <w:p w:rsidR="00496C3E" w:rsidRDefault="00496C3E">
      <w:pPr>
        <w:widowControl/>
        <w:spacing w:after="0" w:line="240" w:lineRule="auto"/>
        <w:ind w:firstLine="720"/>
        <w:jc w:val="both"/>
        <w:rPr>
          <w:b/>
          <w:bCs/>
        </w:rPr>
      </w:pPr>
    </w:p>
    <w:tbl>
      <w:tblPr>
        <w:tblW w:w="9355" w:type="dxa"/>
        <w:tblInd w:w="279" w:type="dxa"/>
        <w:tblLayout w:type="fixed"/>
        <w:tblCellMar>
          <w:left w:w="10" w:type="dxa"/>
          <w:right w:w="10" w:type="dxa"/>
        </w:tblCellMar>
        <w:tblLook w:val="0000" w:firstRow="0" w:lastRow="0" w:firstColumn="0" w:lastColumn="0" w:noHBand="0" w:noVBand="0"/>
      </w:tblPr>
      <w:tblGrid>
        <w:gridCol w:w="2493"/>
        <w:gridCol w:w="1386"/>
        <w:gridCol w:w="1351"/>
        <w:gridCol w:w="4125"/>
      </w:tblGrid>
      <w:tr w:rsidR="00496C3E" w:rsidTr="00182EED">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Mokinių, turinčių specialiųjų ugdymosi poreikių, skaičius</w:t>
            </w:r>
          </w:p>
          <w:p w:rsidR="00496C3E" w:rsidRDefault="00C120D6">
            <w:pPr>
              <w:pStyle w:val="Standard"/>
            </w:pPr>
            <w:r>
              <w:rPr>
                <w:bCs/>
                <w:lang w:val="lt-LT" w:eastAsia="lt-LT"/>
              </w:rPr>
              <w:t>mokykloje</w:t>
            </w:r>
          </w:p>
        </w:tc>
        <w:tc>
          <w:tcPr>
            <w:tcW w:w="6862" w:type="dxa"/>
            <w:gridSpan w:val="3"/>
            <w:tcBorders>
              <w:top w:val="single" w:sz="4" w:space="0" w:color="000001"/>
              <w:left w:val="single" w:sz="4" w:space="0" w:color="000000"/>
              <w:bottom w:val="single" w:sz="4" w:space="0" w:color="000001"/>
              <w:right w:val="double" w:sz="2"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Proc. nuo mokinių skaičiaus</w:t>
            </w:r>
          </w:p>
        </w:tc>
      </w:tr>
      <w:tr w:rsidR="00496C3E" w:rsidTr="00182EED">
        <w:trPr>
          <w:trHeight w:val="285"/>
        </w:trPr>
        <w:tc>
          <w:tcPr>
            <w:tcW w:w="24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496C3E">
            <w:pPr>
              <w:suppressAutoHyphens w:val="0"/>
            </w:pPr>
          </w:p>
        </w:tc>
        <w:tc>
          <w:tcPr>
            <w:tcW w:w="1386" w:type="dxa"/>
            <w:tcBorders>
              <w:top w:val="single" w:sz="4" w:space="0" w:color="000001"/>
              <w:left w:val="single" w:sz="4" w:space="0" w:color="000000"/>
              <w:bottom w:val="single" w:sz="4" w:space="0" w:color="00000A"/>
              <w:right w:val="single" w:sz="4"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Didelių poreikių</w:t>
            </w:r>
          </w:p>
        </w:tc>
        <w:tc>
          <w:tcPr>
            <w:tcW w:w="1351" w:type="dxa"/>
            <w:tcBorders>
              <w:top w:val="single" w:sz="4" w:space="0" w:color="000001"/>
              <w:left w:val="single" w:sz="4" w:space="0" w:color="00000A"/>
              <w:bottom w:val="single" w:sz="4"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Vidutinių poreikių</w:t>
            </w:r>
          </w:p>
        </w:tc>
        <w:tc>
          <w:tcPr>
            <w:tcW w:w="4125" w:type="dxa"/>
            <w:tcBorders>
              <w:top w:val="single" w:sz="4" w:space="0" w:color="000001"/>
              <w:left w:val="single" w:sz="4" w:space="0" w:color="00000A"/>
              <w:bottom w:val="single" w:sz="4" w:space="0" w:color="00000A"/>
              <w:right w:val="double" w:sz="2"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 xml:space="preserve">Nedidelių poreikių  </w:t>
            </w:r>
          </w:p>
        </w:tc>
      </w:tr>
      <w:tr w:rsidR="00496C3E" w:rsidTr="00182EED">
        <w:trPr>
          <w:trHeight w:val="375"/>
        </w:trPr>
        <w:tc>
          <w:tcPr>
            <w:tcW w:w="24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496C3E">
            <w:pPr>
              <w:suppressAutoHyphens w:val="0"/>
            </w:pPr>
          </w:p>
        </w:tc>
        <w:tc>
          <w:tcPr>
            <w:tcW w:w="1386" w:type="dxa"/>
            <w:tcBorders>
              <w:top w:val="single" w:sz="4" w:space="0" w:color="00000A"/>
              <w:left w:val="single" w:sz="4" w:space="0" w:color="000000"/>
              <w:bottom w:val="single" w:sz="4" w:space="0" w:color="000001"/>
              <w:right w:val="single" w:sz="4" w:space="0" w:color="00000A"/>
            </w:tcBorders>
            <w:shd w:val="clear" w:color="auto" w:fill="FFFFFF"/>
            <w:tcMar>
              <w:top w:w="15" w:type="dxa"/>
              <w:left w:w="15" w:type="dxa"/>
              <w:bottom w:w="15" w:type="dxa"/>
              <w:right w:w="15" w:type="dxa"/>
            </w:tcMar>
          </w:tcPr>
          <w:p w:rsidR="00496C3E" w:rsidRDefault="00C120D6" w:rsidP="00286392">
            <w:pPr>
              <w:pStyle w:val="Standard"/>
              <w:spacing w:line="360" w:lineRule="auto"/>
              <w:jc w:val="center"/>
              <w:rPr>
                <w:lang w:val="lt-LT" w:eastAsia="lt-LT"/>
              </w:rPr>
            </w:pPr>
            <w:r>
              <w:rPr>
                <w:lang w:val="lt-LT" w:eastAsia="lt-LT"/>
              </w:rPr>
              <w:t xml:space="preserve">2 (0,6 </w:t>
            </w:r>
            <w:r w:rsidR="00286392">
              <w:rPr>
                <w:lang w:val="lt-LT" w:eastAsia="lt-LT"/>
              </w:rPr>
              <w:t>proc.</w:t>
            </w:r>
            <w:r>
              <w:rPr>
                <w:lang w:val="lt-LT" w:eastAsia="lt-LT"/>
              </w:rPr>
              <w:t>)</w:t>
            </w:r>
          </w:p>
        </w:tc>
        <w:tc>
          <w:tcPr>
            <w:tcW w:w="1351" w:type="dxa"/>
            <w:tcBorders>
              <w:top w:val="single" w:sz="4" w:space="0" w:color="00000A"/>
              <w:left w:val="single" w:sz="4" w:space="0" w:color="00000A"/>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 xml:space="preserve">24 (7 </w:t>
            </w:r>
            <w:r w:rsidR="00286392">
              <w:rPr>
                <w:lang w:val="lt-LT" w:eastAsia="lt-LT"/>
              </w:rPr>
              <w:t>proc.</w:t>
            </w:r>
            <w:r>
              <w:rPr>
                <w:lang w:val="lt-LT" w:eastAsia="lt-LT"/>
              </w:rPr>
              <w:t>)</w:t>
            </w:r>
          </w:p>
        </w:tc>
        <w:tc>
          <w:tcPr>
            <w:tcW w:w="4125" w:type="dxa"/>
            <w:tcBorders>
              <w:top w:val="single" w:sz="4" w:space="0" w:color="00000A"/>
              <w:left w:val="single" w:sz="4" w:space="0" w:color="00000A"/>
              <w:bottom w:val="single" w:sz="4" w:space="0" w:color="000001"/>
              <w:right w:val="double" w:sz="2" w:space="0" w:color="00000A"/>
            </w:tcBorders>
            <w:shd w:val="clear" w:color="auto" w:fill="FFFFFF"/>
            <w:tcMar>
              <w:top w:w="15" w:type="dxa"/>
              <w:left w:w="15" w:type="dxa"/>
              <w:bottom w:w="15" w:type="dxa"/>
              <w:right w:w="15" w:type="dxa"/>
            </w:tcMar>
          </w:tcPr>
          <w:p w:rsidR="00496C3E" w:rsidRDefault="00C120D6" w:rsidP="00182EED">
            <w:pPr>
              <w:pStyle w:val="Standard"/>
              <w:numPr>
                <w:ilvl w:val="0"/>
                <w:numId w:val="11"/>
              </w:numPr>
              <w:jc w:val="center"/>
            </w:pPr>
            <w:r>
              <w:rPr>
                <w:lang w:val="lt-LT" w:eastAsia="lt-LT"/>
              </w:rPr>
              <w:t xml:space="preserve">(23 </w:t>
            </w:r>
            <w:r w:rsidR="00286392">
              <w:rPr>
                <w:lang w:val="lt-LT" w:eastAsia="lt-LT"/>
              </w:rPr>
              <w:t>proc.</w:t>
            </w:r>
            <w:r>
              <w:rPr>
                <w:lang w:val="lt-LT" w:eastAsia="lt-LT"/>
              </w:rPr>
              <w:t>)</w:t>
            </w:r>
          </w:p>
        </w:tc>
      </w:tr>
    </w:tbl>
    <w:p w:rsidR="00496C3E" w:rsidRDefault="00496C3E">
      <w:pPr>
        <w:pStyle w:val="Standard"/>
        <w:rPr>
          <w:b/>
        </w:rPr>
      </w:pPr>
    </w:p>
    <w:p w:rsidR="00496C3E" w:rsidRDefault="00182EED" w:rsidP="00182EED">
      <w:pPr>
        <w:pStyle w:val="Standard"/>
        <w:ind w:left="1004"/>
        <w:jc w:val="center"/>
      </w:pPr>
      <w:r>
        <w:rPr>
          <w:b/>
          <w:bCs/>
          <w:lang w:val="lt-LT"/>
        </w:rPr>
        <w:t xml:space="preserve">III. </w:t>
      </w:r>
      <w:r w:rsidR="00C120D6">
        <w:rPr>
          <w:b/>
          <w:bCs/>
          <w:lang w:val="lt-LT"/>
        </w:rPr>
        <w:t>PEDAGOGAI</w:t>
      </w:r>
    </w:p>
    <w:p w:rsidR="00182EED" w:rsidRDefault="00C27167" w:rsidP="00E162AD">
      <w:pPr>
        <w:pStyle w:val="Standard"/>
        <w:ind w:left="284" w:firstLine="567"/>
        <w:jc w:val="both"/>
      </w:pPr>
      <w:r>
        <w:rPr>
          <w:bCs/>
          <w:lang w:val="lt-LT"/>
        </w:rPr>
        <w:t>P</w:t>
      </w:r>
      <w:r w:rsidR="00C120D6">
        <w:rPr>
          <w:bCs/>
          <w:lang w:val="lt-LT"/>
        </w:rPr>
        <w:t>edagogų kvalifikacijos tobulinimo prioritetai</w:t>
      </w:r>
      <w:r>
        <w:rPr>
          <w:bCs/>
          <w:lang w:val="lt-LT"/>
        </w:rPr>
        <w:t>: v</w:t>
      </w:r>
      <w:r w:rsidR="00182EED">
        <w:t>eiksmingo k</w:t>
      </w:r>
      <w:r w:rsidR="00C120D6">
        <w:t>okybiško ugdymo(si) užtikrinimas</w:t>
      </w:r>
      <w:r>
        <w:t>; s</w:t>
      </w:r>
      <w:r w:rsidR="00C120D6">
        <w:t>augios ugdymo(si) aplinkos kūrimas.</w:t>
      </w:r>
    </w:p>
    <w:p w:rsidR="00496C3E" w:rsidRDefault="00286392" w:rsidP="00E162AD">
      <w:pPr>
        <w:pStyle w:val="Standard"/>
        <w:ind w:left="284" w:firstLine="567"/>
        <w:jc w:val="both"/>
      </w:pPr>
      <w:r w:rsidRPr="00286392">
        <w:rPr>
          <w:bCs/>
          <w:lang w:val="lt-LT"/>
        </w:rPr>
        <w:t>D</w:t>
      </w:r>
      <w:r w:rsidR="00C120D6" w:rsidRPr="00286392">
        <w:rPr>
          <w:bCs/>
          <w:lang w:val="lt-LT"/>
        </w:rPr>
        <w:t>idžiausi pedagoginės veiklos pasiekim</w:t>
      </w:r>
      <w:r w:rsidRPr="00286392">
        <w:rPr>
          <w:bCs/>
          <w:lang w:val="lt-LT"/>
        </w:rPr>
        <w:t>ai</w:t>
      </w:r>
      <w:r>
        <w:rPr>
          <w:bCs/>
          <w:lang w:val="lt-LT"/>
        </w:rPr>
        <w:t>.</w:t>
      </w:r>
      <w:r w:rsidR="00C27167">
        <w:rPr>
          <w:kern w:val="0"/>
          <w:lang w:val="lt-LT"/>
        </w:rPr>
        <w:t xml:space="preserve"> </w:t>
      </w:r>
      <w:r w:rsidR="00C120D6" w:rsidRPr="00286392">
        <w:rPr>
          <w:kern w:val="0"/>
          <w:lang w:val="lt-LT"/>
        </w:rPr>
        <w:t xml:space="preserve">Dalyvavimas šalies Metodinių priemonių ir jų aprašų kūrimo konkurse (ikimokyklinio ugdymo 3 auklėtojos). </w:t>
      </w:r>
      <w:r w:rsidR="00C120D6" w:rsidRPr="00286392">
        <w:rPr>
          <w:kern w:val="0"/>
        </w:rPr>
        <w:t>Išvyka į Europos Parlamentą ir dalyvavimas projekte „Vidurinės mokyklos 2015“ Briuselyje (2 mokiniai, 1 mokytoja). Dalyvavimas edukaciniame dailės projekte „Mano Lietuva“  (20 mokinių, 1 mokytojas). Panevėžio rajono mokytojams vestas seminaras „Dorinių vertybių ir nuostatų formavimas per meninę raišką“ (4 mokytojos), seminaras „Tautosakos ir dailės integracijos galimybės lietuvių kalbos pamokose“ (2 mokytojai), seminaras „</w:t>
      </w:r>
      <w:r w:rsidR="00C120D6" w:rsidRPr="00286392">
        <w:rPr>
          <w:bCs/>
        </w:rPr>
        <w:t xml:space="preserve">Tėvų įtaka vaikų psichotropinių medžiagų vartojimo prevencijoje“ (3 mokytojai), </w:t>
      </w:r>
      <w:r w:rsidR="00C120D6" w:rsidRPr="00286392">
        <w:rPr>
          <w:kern w:val="0"/>
        </w:rPr>
        <w:t>seminaras „</w:t>
      </w:r>
      <w:r w:rsidR="00C120D6" w:rsidRPr="00286392">
        <w:rPr>
          <w:bCs/>
        </w:rPr>
        <w:t xml:space="preserve">Tėvų vaidmuo priklausomybių prevencijoje“ (2 </w:t>
      </w:r>
      <w:r w:rsidR="00C120D6" w:rsidRPr="00286392">
        <w:rPr>
          <w:bCs/>
        </w:rPr>
        <w:lastRenderedPageBreak/>
        <w:t xml:space="preserve">mokytojai), seminaras „Teigiamo mikroklimato kūrimas tarp tėvų ir pedagogų“ (1 mokytojas), seminaras </w:t>
      </w:r>
      <w:r w:rsidR="00C120D6" w:rsidRPr="00286392">
        <w:rPr>
          <w:bCs/>
          <w:kern w:val="0"/>
        </w:rPr>
        <w:t>„Paauglių priklausomybė nuo kompiuterio“ (2 mokytojai).</w:t>
      </w:r>
      <w:r w:rsidR="00C120D6" w:rsidRPr="00286392">
        <w:rPr>
          <w:bCs/>
        </w:rPr>
        <w:t xml:space="preserve"> P</w:t>
      </w:r>
      <w:r w:rsidR="00C120D6" w:rsidRPr="00286392">
        <w:rPr>
          <w:kern w:val="0"/>
        </w:rPr>
        <w:t xml:space="preserve">rojektas „Knygų pelėda-2015“ (5 mokytojai). Šalies </w:t>
      </w:r>
      <w:r>
        <w:rPr>
          <w:kern w:val="0"/>
        </w:rPr>
        <w:t xml:space="preserve">mokinių </w:t>
      </w:r>
      <w:r w:rsidR="00C120D6" w:rsidRPr="00286392">
        <w:rPr>
          <w:kern w:val="0"/>
        </w:rPr>
        <w:t xml:space="preserve">svetainių kūrimo konkursas </w:t>
      </w:r>
      <w:r w:rsidR="00D04FA9">
        <w:rPr>
          <w:kern w:val="0"/>
        </w:rPr>
        <w:br/>
      </w:r>
      <w:r w:rsidR="00C120D6" w:rsidRPr="00286392">
        <w:rPr>
          <w:kern w:val="0"/>
        </w:rPr>
        <w:t>(1 mokytojas).</w:t>
      </w:r>
    </w:p>
    <w:p w:rsidR="00496C3E" w:rsidRDefault="00496C3E">
      <w:pPr>
        <w:widowControl/>
        <w:suppressAutoHyphens w:val="0"/>
        <w:spacing w:after="0" w:line="240" w:lineRule="auto"/>
        <w:jc w:val="both"/>
        <w:textAlignment w:val="auto"/>
        <w:rPr>
          <w:rFonts w:ascii="Times New Roman" w:eastAsia="Calibri" w:hAnsi="Times New Roman" w:cs="Times New Roman"/>
          <w:i/>
          <w:kern w:val="0"/>
          <w:sz w:val="24"/>
          <w:szCs w:val="24"/>
        </w:rPr>
      </w:pPr>
    </w:p>
    <w:p w:rsidR="00286392" w:rsidRPr="00EB27DC" w:rsidRDefault="00182EED" w:rsidP="00182EED">
      <w:pPr>
        <w:pStyle w:val="Sraopastraipa"/>
        <w:spacing w:after="0" w:line="240" w:lineRule="auto"/>
        <w:ind w:left="1004"/>
        <w:jc w:val="center"/>
        <w:rPr>
          <w:color w:val="00000A"/>
        </w:rPr>
      </w:pPr>
      <w:r>
        <w:rPr>
          <w:b/>
          <w:bCs/>
        </w:rPr>
        <w:t xml:space="preserve">IV. </w:t>
      </w:r>
      <w:r w:rsidR="00C120D6">
        <w:rPr>
          <w:b/>
          <w:bCs/>
        </w:rPr>
        <w:t>FINANSAVIMAS</w:t>
      </w:r>
    </w:p>
    <w:p w:rsidR="00496C3E" w:rsidRPr="00286392" w:rsidRDefault="00C120D6" w:rsidP="00837311">
      <w:pPr>
        <w:pStyle w:val="Pagrindinistekstas2"/>
        <w:ind w:left="284" w:firstLine="851"/>
        <w:rPr>
          <w:color w:val="00000A"/>
        </w:rPr>
      </w:pPr>
      <w:r w:rsidRPr="00286392">
        <w:rPr>
          <w:color w:val="00000A"/>
        </w:rPr>
        <w:t>Finansinės lėšos naudojamos racionaliai</w:t>
      </w:r>
      <w:r w:rsidR="00286392">
        <w:rPr>
          <w:color w:val="00000A"/>
        </w:rPr>
        <w:t xml:space="preserve">, planuojamos. 2 proc. lėšos, </w:t>
      </w:r>
      <w:r w:rsidRPr="00286392">
        <w:rPr>
          <w:color w:val="00000A"/>
        </w:rPr>
        <w:t>aptarus su gimnazijos taryba</w:t>
      </w:r>
      <w:r w:rsidR="00286392">
        <w:rPr>
          <w:color w:val="00000A"/>
        </w:rPr>
        <w:t>,</w:t>
      </w:r>
      <w:r w:rsidRPr="00286392">
        <w:rPr>
          <w:color w:val="00000A"/>
        </w:rPr>
        <w:t xml:space="preserve"> naudojamos pagal paskirtį (</w:t>
      </w:r>
      <w:r w:rsidR="00286392" w:rsidRPr="00286392">
        <w:rPr>
          <w:color w:val="00000A"/>
        </w:rPr>
        <w:t xml:space="preserve">mokiniams </w:t>
      </w:r>
      <w:r w:rsidRPr="00286392">
        <w:rPr>
          <w:color w:val="00000A"/>
        </w:rPr>
        <w:t>nupirkta sportinė apranga, šventinė apranga, poilsio zonoms įrengti nupirkt</w:t>
      </w:r>
      <w:r w:rsidR="00286392">
        <w:rPr>
          <w:color w:val="00000A"/>
        </w:rPr>
        <w:t>i</w:t>
      </w:r>
      <w:r w:rsidRPr="00286392">
        <w:rPr>
          <w:color w:val="00000A"/>
        </w:rPr>
        <w:t xml:space="preserve"> baldai, žaliuzės ir t. t.). Pagal galimybes remontuojamos klasės, keičiami mokykliniai baldai, gražinama gimnazijos vidus ir aplinka.</w:t>
      </w:r>
    </w:p>
    <w:p w:rsidR="00496C3E" w:rsidRDefault="00496C3E" w:rsidP="00286392">
      <w:pPr>
        <w:pStyle w:val="Standard"/>
        <w:ind w:left="720"/>
        <w:jc w:val="both"/>
        <w:rPr>
          <w:bCs/>
          <w:i/>
          <w:lang w:val="lt-LT"/>
        </w:rPr>
      </w:pPr>
    </w:p>
    <w:p w:rsidR="00496C3E" w:rsidRDefault="00883303" w:rsidP="00883303">
      <w:pPr>
        <w:pStyle w:val="Standard"/>
        <w:ind w:left="1004"/>
        <w:jc w:val="center"/>
        <w:rPr>
          <w:b/>
          <w:lang w:val="lt-LT"/>
        </w:rPr>
      </w:pPr>
      <w:r>
        <w:rPr>
          <w:b/>
          <w:lang w:val="lt-LT"/>
        </w:rPr>
        <w:t xml:space="preserve">V. </w:t>
      </w:r>
      <w:r w:rsidR="00C120D6">
        <w:rPr>
          <w:b/>
          <w:lang w:val="lt-LT"/>
        </w:rPr>
        <w:t>INFORMACIJA APIE MOKINIŲ VEIKLOS REZULTATUS</w:t>
      </w:r>
    </w:p>
    <w:p w:rsidR="00496C3E" w:rsidRDefault="00286392" w:rsidP="00837311">
      <w:pPr>
        <w:pStyle w:val="Standard"/>
        <w:ind w:left="284" w:firstLine="720"/>
        <w:jc w:val="both"/>
      </w:pPr>
      <w:r>
        <w:rPr>
          <w:lang w:val="lt-LT"/>
        </w:rPr>
        <w:t>M</w:t>
      </w:r>
      <w:r w:rsidR="00C120D6">
        <w:rPr>
          <w:lang w:val="lt-LT"/>
        </w:rPr>
        <w:t>okinių pasiekimų ir pažangos vertinimo informacij</w:t>
      </w:r>
      <w:r>
        <w:rPr>
          <w:lang w:val="lt-LT"/>
        </w:rPr>
        <w:t>os</w:t>
      </w:r>
      <w:r w:rsidR="00C120D6">
        <w:rPr>
          <w:lang w:val="lt-LT"/>
        </w:rPr>
        <w:t xml:space="preserve"> kaupiama</w:t>
      </w:r>
      <w:r>
        <w:rPr>
          <w:lang w:val="lt-LT"/>
        </w:rPr>
        <w:t xml:space="preserve">s, </w:t>
      </w:r>
      <w:r w:rsidR="00C120D6">
        <w:rPr>
          <w:lang w:val="lt-LT"/>
        </w:rPr>
        <w:t>j</w:t>
      </w:r>
      <w:r>
        <w:rPr>
          <w:lang w:val="lt-LT"/>
        </w:rPr>
        <w:t>os</w:t>
      </w:r>
      <w:r w:rsidR="00C120D6">
        <w:rPr>
          <w:lang w:val="lt-LT"/>
        </w:rPr>
        <w:t xml:space="preserve"> panaudoj</w:t>
      </w:r>
      <w:r>
        <w:rPr>
          <w:lang w:val="lt-LT"/>
        </w:rPr>
        <w:t>i</w:t>
      </w:r>
      <w:r w:rsidR="00C120D6">
        <w:rPr>
          <w:lang w:val="lt-LT"/>
        </w:rPr>
        <w:t>ma</w:t>
      </w:r>
      <w:r>
        <w:rPr>
          <w:lang w:val="lt-LT"/>
        </w:rPr>
        <w:t>s</w:t>
      </w:r>
      <w:r w:rsidR="00C120D6">
        <w:rPr>
          <w:lang w:val="lt-LT"/>
        </w:rPr>
        <w:t xml:space="preserve"> ugdymo procese</w:t>
      </w:r>
      <w:r>
        <w:rPr>
          <w:lang w:val="lt-LT"/>
        </w:rPr>
        <w:t>:</w:t>
      </w:r>
      <w:r w:rsidR="00765DA7">
        <w:rPr>
          <w:lang w:val="lt-LT"/>
        </w:rPr>
        <w:t xml:space="preserve"> </w:t>
      </w:r>
      <w:r>
        <w:t>m</w:t>
      </w:r>
      <w:r w:rsidR="00C120D6">
        <w:t>okyklos veiklos kokybės įsivertinimo ir pažangos anketa;</w:t>
      </w:r>
      <w:r w:rsidR="00765DA7">
        <w:t xml:space="preserve"> </w:t>
      </w:r>
      <w:r>
        <w:t>n</w:t>
      </w:r>
      <w:r w:rsidR="00C120D6">
        <w:t>audojantis IQES online.lt sistema atliekamos mokinių, tėvų apklausos apie mokinių pasiekimus ir pažangos vertinimą;</w:t>
      </w:r>
      <w:r w:rsidR="00765DA7">
        <w:t xml:space="preserve"> </w:t>
      </w:r>
      <w:r>
        <w:t>s</w:t>
      </w:r>
      <w:r w:rsidR="00C120D6">
        <w:t>tandartizuoti testai, PUPP, VBE;</w:t>
      </w:r>
      <w:r w:rsidR="00765DA7">
        <w:t xml:space="preserve"> </w:t>
      </w:r>
      <w:r>
        <w:t>a</w:t>
      </w:r>
      <w:r w:rsidR="00C120D6">
        <w:t>tvir</w:t>
      </w:r>
      <w:r>
        <w:t>os</w:t>
      </w:r>
      <w:r w:rsidR="00C120D6">
        <w:t xml:space="preserve"> pamok</w:t>
      </w:r>
      <w:r>
        <w:t>os</w:t>
      </w:r>
      <w:r w:rsidR="00C120D6">
        <w:t>;</w:t>
      </w:r>
      <w:r w:rsidR="00765DA7">
        <w:t xml:space="preserve"> </w:t>
      </w:r>
      <w:r w:rsidRPr="00765DA7">
        <w:t>u</w:t>
      </w:r>
      <w:r w:rsidR="00C120D6" w:rsidRPr="00765DA7">
        <w:t>žduočių ir veiklų pamokose diferencijavimas ir individualizavimas;</w:t>
      </w:r>
      <w:r w:rsidR="00765DA7">
        <w:t xml:space="preserve"> </w:t>
      </w:r>
      <w:r w:rsidRPr="00765DA7">
        <w:t>m</w:t>
      </w:r>
      <w:r w:rsidR="00C120D6" w:rsidRPr="00765DA7">
        <w:t>okinių mokymosi motyvacijos didinimas mokantis į</w:t>
      </w:r>
      <w:r w:rsidRPr="00765DA7">
        <w:t>vairiais būdais pamatuoti indiv</w:t>
      </w:r>
      <w:r w:rsidR="00765DA7" w:rsidRPr="00765DA7">
        <w:t>i</w:t>
      </w:r>
      <w:r w:rsidR="00C120D6" w:rsidRPr="00765DA7">
        <w:t>dualią mokinių pažangą pamokoje;</w:t>
      </w:r>
      <w:r w:rsidR="00765DA7">
        <w:t xml:space="preserve"> </w:t>
      </w:r>
      <w:r>
        <w:t>m</w:t>
      </w:r>
      <w:r w:rsidR="00C120D6">
        <w:t>okinio individualios pažangos stebėji</w:t>
      </w:r>
      <w:r w:rsidR="00CD10A3">
        <w:t>mo, fiksavimo, rezultatų</w:t>
      </w:r>
      <w:r w:rsidR="00C120D6">
        <w:t xml:space="preserve"> </w:t>
      </w:r>
      <w:r w:rsidR="00C120D6" w:rsidRPr="00CD10A3">
        <w:rPr>
          <w:color w:val="auto"/>
        </w:rPr>
        <w:t>aptarimas;</w:t>
      </w:r>
      <w:r w:rsidR="00765DA7">
        <w:t xml:space="preserve"> </w:t>
      </w:r>
      <w:r>
        <w:t>m</w:t>
      </w:r>
      <w:r w:rsidR="00C120D6">
        <w:t>okinių pasiekimų ir pažangos stebėjimas, rezultatų naudojimas veiklai tobulinti;</w:t>
      </w:r>
      <w:r w:rsidR="00765DA7">
        <w:t xml:space="preserve"> </w:t>
      </w:r>
      <w:r w:rsidRPr="00765DA7">
        <w:t>a</w:t>
      </w:r>
      <w:r w:rsidR="00C120D6" w:rsidRPr="00765DA7">
        <w:t>tlikti</w:t>
      </w:r>
      <w:r w:rsidR="00C120D6">
        <w:t xml:space="preserve"> gimnazijos veiklos kokybės įsivertinimą iš srities „Ugdymo(si) aplinkos“, tema „Mokymasis be sienų“;</w:t>
      </w:r>
      <w:r w:rsidR="00765DA7">
        <w:t xml:space="preserve"> </w:t>
      </w:r>
      <w:r>
        <w:t>g</w:t>
      </w:r>
      <w:r w:rsidR="00C120D6">
        <w:t>laudus bendradarbiavimas su tėvais (globėjais, rūpintojais);</w:t>
      </w:r>
      <w:r w:rsidR="00765DA7">
        <w:t xml:space="preserve"> </w:t>
      </w:r>
      <w:r>
        <w:t>s</w:t>
      </w:r>
      <w:r w:rsidR="00C120D6">
        <w:t xml:space="preserve">pecialiųjų poreikių mokinių individualūs pasiekimai fiksuojami kiekvieno pusmečio pabaigoje. Švietimo pagalbos specialistai ir klasės mokytoja aptaria mokinio pasiekimus: padarytą pažangą ar iškilusius sunkumus. Kylant sunkumams į aptarimą kviečiami mokinio tėvai (globėjai, rūpintojai). </w:t>
      </w:r>
      <w:r w:rsidR="00765DA7">
        <w:t>O</w:t>
      </w:r>
      <w:r w:rsidR="00C120D6">
        <w:t>rganizuojami Vaiko gerovės komisijos pasitarimai, bandant suteikti tinkamą pagalbą mokiniui, dalyvauja VGK nariai, švietimo pagalbos specialistai, klasės mokytoja, tėvai.</w:t>
      </w:r>
    </w:p>
    <w:p w:rsidR="00496C3E" w:rsidRDefault="00496C3E">
      <w:pPr>
        <w:pStyle w:val="Standard"/>
        <w:rPr>
          <w:lang w:val="lt-LT"/>
        </w:rPr>
      </w:pPr>
    </w:p>
    <w:p w:rsidR="00496C3E" w:rsidRDefault="00496C3E">
      <w:pPr>
        <w:pStyle w:val="Standard"/>
        <w:rPr>
          <w:lang w:val="lt-LT"/>
        </w:rPr>
      </w:pPr>
    </w:p>
    <w:p w:rsidR="00496C3E" w:rsidRDefault="00C120D6" w:rsidP="00837311">
      <w:pPr>
        <w:pStyle w:val="Standard"/>
        <w:ind w:left="284"/>
      </w:pPr>
      <w:bookmarkStart w:id="0" w:name="_GoBack"/>
      <w:bookmarkEnd w:id="0"/>
      <w:r>
        <w:rPr>
          <w:lang w:val="lt-LT"/>
        </w:rPr>
        <w:t>Direktorė</w:t>
      </w:r>
      <w:r>
        <w:rPr>
          <w:lang w:val="lt-LT"/>
        </w:rPr>
        <w:tab/>
      </w:r>
      <w:r>
        <w:rPr>
          <w:lang w:val="lt-LT"/>
        </w:rPr>
        <w:tab/>
      </w:r>
      <w:r>
        <w:rPr>
          <w:lang w:val="lt-LT"/>
        </w:rPr>
        <w:tab/>
      </w:r>
      <w:r>
        <w:rPr>
          <w:lang w:val="lt-LT"/>
        </w:rPr>
        <w:tab/>
      </w:r>
      <w:r>
        <w:rPr>
          <w:lang w:val="lt-LT"/>
        </w:rPr>
        <w:tab/>
      </w:r>
      <w:r>
        <w:rPr>
          <w:lang w:val="lt-LT"/>
        </w:rPr>
        <w:tab/>
        <w:t>Gita Kubilienė</w:t>
      </w:r>
    </w:p>
    <w:sectPr w:rsidR="00496C3E">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C1F" w:rsidRDefault="00107C1F">
      <w:pPr>
        <w:spacing w:after="0" w:line="240" w:lineRule="auto"/>
      </w:pPr>
      <w:r>
        <w:separator/>
      </w:r>
    </w:p>
  </w:endnote>
  <w:endnote w:type="continuationSeparator" w:id="0">
    <w:p w:rsidR="00107C1F" w:rsidRDefault="0010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altName w:val="Arial"/>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C1F" w:rsidRDefault="00107C1F">
      <w:pPr>
        <w:spacing w:after="0" w:line="240" w:lineRule="auto"/>
      </w:pPr>
      <w:r>
        <w:rPr>
          <w:color w:val="000000"/>
        </w:rPr>
        <w:separator/>
      </w:r>
    </w:p>
  </w:footnote>
  <w:footnote w:type="continuationSeparator" w:id="0">
    <w:p w:rsidR="00107C1F" w:rsidRDefault="00107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87030"/>
    <w:multiLevelType w:val="multilevel"/>
    <w:tmpl w:val="7F507DE6"/>
    <w:styleLink w:val="WWNum2"/>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 w15:restartNumberingAfterBreak="0">
    <w:nsid w:val="30E912D7"/>
    <w:multiLevelType w:val="multilevel"/>
    <w:tmpl w:val="D720817E"/>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33FC0799"/>
    <w:multiLevelType w:val="multilevel"/>
    <w:tmpl w:val="71B0DC9A"/>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411A34C9"/>
    <w:multiLevelType w:val="multilevel"/>
    <w:tmpl w:val="8BAA63C8"/>
    <w:lvl w:ilvl="0">
      <w:start w:val="1"/>
      <w:numFmt w:val="decimal"/>
      <w:lvlText w:val="%1."/>
      <w:lvlJc w:val="left"/>
      <w:pPr>
        <w:ind w:left="502" w:hanging="360"/>
      </w:pPr>
      <w:rPr>
        <w:b w:val="0"/>
        <w:color w:val="000000"/>
      </w:rPr>
    </w:lvl>
    <w:lvl w:ilvl="1">
      <w:start w:val="1"/>
      <w:numFmt w:val="decimal"/>
      <w:lvlText w:val="%1.%2"/>
      <w:lvlJc w:val="left"/>
      <w:pPr>
        <w:ind w:left="1140" w:hanging="420"/>
      </w:pPr>
    </w:lvl>
    <w:lvl w:ilvl="2">
      <w:start w:val="1"/>
      <w:numFmt w:val="decimal"/>
      <w:lvlText w:val="%1.%2.%3"/>
      <w:lvlJc w:val="left"/>
      <w:pPr>
        <w:ind w:left="2018" w:hanging="720"/>
      </w:pPr>
    </w:lvl>
    <w:lvl w:ilvl="3">
      <w:start w:val="1"/>
      <w:numFmt w:val="decimal"/>
      <w:lvlText w:val="%1.%2.%3.%4"/>
      <w:lvlJc w:val="left"/>
      <w:pPr>
        <w:ind w:left="2596" w:hanging="720"/>
      </w:pPr>
    </w:lvl>
    <w:lvl w:ilvl="4">
      <w:start w:val="1"/>
      <w:numFmt w:val="decimal"/>
      <w:lvlText w:val="%1.%2.%3.%4.%5"/>
      <w:lvlJc w:val="left"/>
      <w:pPr>
        <w:ind w:left="3534" w:hanging="1080"/>
      </w:pPr>
    </w:lvl>
    <w:lvl w:ilvl="5">
      <w:start w:val="1"/>
      <w:numFmt w:val="decimal"/>
      <w:lvlText w:val="%1.%2.%3.%4.%5.%6"/>
      <w:lvlJc w:val="left"/>
      <w:pPr>
        <w:ind w:left="4112" w:hanging="1080"/>
      </w:pPr>
    </w:lvl>
    <w:lvl w:ilvl="6">
      <w:start w:val="1"/>
      <w:numFmt w:val="decimal"/>
      <w:lvlText w:val="%1.%2.%3.%4.%5.%6.%7"/>
      <w:lvlJc w:val="left"/>
      <w:pPr>
        <w:ind w:left="5050" w:hanging="1440"/>
      </w:pPr>
    </w:lvl>
    <w:lvl w:ilvl="7">
      <w:start w:val="1"/>
      <w:numFmt w:val="decimal"/>
      <w:lvlText w:val="%1.%2.%3.%4.%5.%6.%7.%8"/>
      <w:lvlJc w:val="left"/>
      <w:pPr>
        <w:ind w:left="5628" w:hanging="1440"/>
      </w:pPr>
    </w:lvl>
    <w:lvl w:ilvl="8">
      <w:start w:val="1"/>
      <w:numFmt w:val="decimal"/>
      <w:lvlText w:val="%1.%2.%3.%4.%5.%6.%7.%8.%9"/>
      <w:lvlJc w:val="left"/>
      <w:pPr>
        <w:ind w:left="6566" w:hanging="1800"/>
      </w:pPr>
    </w:lvl>
  </w:abstractNum>
  <w:abstractNum w:abstractNumId="4" w15:restartNumberingAfterBreak="0">
    <w:nsid w:val="740C47B1"/>
    <w:multiLevelType w:val="hybridMultilevel"/>
    <w:tmpl w:val="83EC8E60"/>
    <w:lvl w:ilvl="0" w:tplc="525C15A4">
      <w:start w:val="7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FC487F"/>
    <w:multiLevelType w:val="multilevel"/>
    <w:tmpl w:val="E5245C7C"/>
    <w:styleLink w:val="WWNum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7E2057F1"/>
    <w:multiLevelType w:val="multilevel"/>
    <w:tmpl w:val="06F08832"/>
    <w:lvl w:ilvl="0">
      <w:start w:val="1"/>
      <w:numFmt w:val="upperRoman"/>
      <w:lvlText w:val="%1."/>
      <w:lvlJc w:val="left"/>
      <w:pPr>
        <w:ind w:left="1004" w:hanging="720"/>
      </w:pPr>
      <w:rPr>
        <w:b/>
        <w:color w:val="auto"/>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3E"/>
    <w:rsid w:val="00107C1F"/>
    <w:rsid w:val="00182EED"/>
    <w:rsid w:val="001874CE"/>
    <w:rsid w:val="00266759"/>
    <w:rsid w:val="00275704"/>
    <w:rsid w:val="00286392"/>
    <w:rsid w:val="00405941"/>
    <w:rsid w:val="00496C3E"/>
    <w:rsid w:val="004F12BE"/>
    <w:rsid w:val="005E6FC9"/>
    <w:rsid w:val="006F7A67"/>
    <w:rsid w:val="00765DA7"/>
    <w:rsid w:val="00837311"/>
    <w:rsid w:val="00842020"/>
    <w:rsid w:val="00883303"/>
    <w:rsid w:val="009F25AC"/>
    <w:rsid w:val="00B54FE4"/>
    <w:rsid w:val="00C120D6"/>
    <w:rsid w:val="00C27167"/>
    <w:rsid w:val="00CD10A3"/>
    <w:rsid w:val="00D04FA9"/>
    <w:rsid w:val="00E162AD"/>
    <w:rsid w:val="00EB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2EE9B-ED84-4E62-8917-26E99ABA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lt-LT"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0" w:line="240" w:lineRule="auto"/>
    </w:pPr>
    <w:rPr>
      <w:rFonts w:ascii="Times New Roman" w:eastAsia="Calibri" w:hAnsi="Times New Roman" w:cs="Times New Roman"/>
      <w:color w:val="000000"/>
      <w:sz w:val="24"/>
      <w:szCs w:val="24"/>
      <w:lang w:val="en-GB" w:eastAsia="zh-CN"/>
    </w:rPr>
  </w:style>
  <w:style w:type="paragraph" w:styleId="Pavadinimas">
    <w:name w:val="Title"/>
    <w:basedOn w:val="Standard"/>
    <w:pPr>
      <w:suppressLineNumbers/>
      <w:spacing w:before="120" w:after="120"/>
    </w:pPr>
    <w:rPr>
      <w:rFonts w:cs="Lucida Sans"/>
      <w:i/>
      <w:iCs/>
    </w:rPr>
  </w:style>
  <w:style w:type="paragraph" w:customStyle="1" w:styleId="Textbody">
    <w:name w:val="Text body"/>
    <w:basedOn w:val="Standard"/>
    <w:pPr>
      <w:spacing w:after="120"/>
    </w:pPr>
  </w:style>
  <w:style w:type="paragraph" w:styleId="Paantrat">
    <w:name w:val="Subtitle"/>
    <w:basedOn w:val="Pavadinimas"/>
    <w:next w:val="Textbody"/>
    <w:pPr>
      <w:jc w:val="center"/>
    </w:pPr>
    <w:rPr>
      <w:sz w:val="28"/>
      <w:szCs w:val="28"/>
    </w:rPr>
  </w:style>
  <w:style w:type="paragraph" w:styleId="Sraas">
    <w:name w:val="List"/>
    <w:basedOn w:val="Textbody"/>
    <w:rPr>
      <w:rFonts w:cs="Lucida Sans"/>
    </w:rPr>
  </w:style>
  <w:style w:type="paragraph" w:customStyle="1" w:styleId="Index">
    <w:name w:val="Index"/>
    <w:basedOn w:val="Standard"/>
    <w:pPr>
      <w:suppressLineNumbers/>
    </w:pPr>
    <w:rPr>
      <w:rFonts w:cs="Lucida Sans"/>
    </w:rPr>
  </w:style>
  <w:style w:type="paragraph" w:styleId="Porat">
    <w:name w:val="footer"/>
    <w:basedOn w:val="Standard"/>
    <w:pPr>
      <w:suppressLineNumbers/>
      <w:tabs>
        <w:tab w:val="center" w:pos="4153"/>
        <w:tab w:val="right" w:pos="8306"/>
      </w:tabs>
    </w:pPr>
  </w:style>
  <w:style w:type="paragraph" w:styleId="Pagrindinistekstas2">
    <w:name w:val="Body Text 2"/>
    <w:basedOn w:val="Standard"/>
    <w:pPr>
      <w:jc w:val="both"/>
    </w:pPr>
    <w:rPr>
      <w:color w:val="FF0000"/>
      <w:lang w:val="lt-LT"/>
    </w:rPr>
  </w:style>
  <w:style w:type="paragraph" w:styleId="Paprastasistekstas">
    <w:name w:val="Plain Text"/>
    <w:basedOn w:val="Standard"/>
    <w:rPr>
      <w:rFonts w:ascii="Courier New" w:hAnsi="Courier New" w:cs="Lucida Handwriting"/>
      <w:sz w:val="20"/>
      <w:szCs w:val="20"/>
    </w:rPr>
  </w:style>
  <w:style w:type="paragraph" w:styleId="Puslapioinaostekstas">
    <w:name w:val="footnote text"/>
    <w:basedOn w:val="Standard"/>
    <w:rPr>
      <w:sz w:val="20"/>
      <w:szCs w:val="20"/>
    </w:rPr>
  </w:style>
  <w:style w:type="paragraph" w:styleId="Antrats">
    <w:name w:val="header"/>
    <w:basedOn w:val="Standard"/>
    <w:pPr>
      <w:suppressLineNumbers/>
      <w:tabs>
        <w:tab w:val="center" w:pos="4513"/>
        <w:tab w:val="right" w:pos="9026"/>
      </w:tabs>
    </w:pPr>
  </w:style>
  <w:style w:type="paragraph" w:styleId="Debesliotekstas">
    <w:name w:val="Balloon Text"/>
    <w:basedOn w:val="Standard"/>
    <w:rPr>
      <w:rFonts w:ascii="Segoe UI" w:hAnsi="Segoe UI" w:cs="Segoe UI"/>
      <w:sz w:val="18"/>
      <w:szCs w:val="18"/>
    </w:rPr>
  </w:style>
  <w:style w:type="paragraph" w:customStyle="1" w:styleId="CharChar">
    <w:name w:val="Char Char"/>
    <w:basedOn w:val="Standard"/>
    <w:pPr>
      <w:suppressAutoHyphens w:val="0"/>
      <w:spacing w:after="160" w:line="240" w:lineRule="exact"/>
    </w:pPr>
    <w:rPr>
      <w:rFonts w:ascii="Tahoma" w:hAnsi="Tahoma"/>
      <w:sz w:val="20"/>
      <w:szCs w:val="20"/>
      <w:lang w:val="en-US" w:eastAsia="en-US"/>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Sraopastraipa">
    <w:name w:val="List Paragraph"/>
    <w:basedOn w:val="prastasis"/>
    <w:pPr>
      <w:widowControl/>
      <w:suppressAutoHyphens w:val="0"/>
      <w:spacing w:after="200" w:line="276" w:lineRule="auto"/>
      <w:ind w:left="720"/>
      <w:textAlignment w:val="auto"/>
    </w:pPr>
    <w:rPr>
      <w:rFonts w:ascii="Times New Roman" w:eastAsia="Calibri" w:hAnsi="Times New Roman" w:cs="Times New Roman"/>
      <w:kern w:val="0"/>
      <w:sz w:val="24"/>
    </w:rPr>
  </w:style>
  <w:style w:type="character" w:customStyle="1" w:styleId="PoratDiagrama">
    <w:name w:val="Poraštė Diagrama"/>
    <w:basedOn w:val="Numatytasispastraiposriftas"/>
    <w:rPr>
      <w:rFonts w:ascii="Times New Roman" w:eastAsia="Times New Roman" w:hAnsi="Times New Roman" w:cs="Times New Roman"/>
      <w:sz w:val="24"/>
      <w:szCs w:val="24"/>
      <w:lang w:val="en-GB" w:eastAsia="zh-CN"/>
    </w:rPr>
  </w:style>
  <w:style w:type="character" w:customStyle="1" w:styleId="Pagrindinistekstas2Diagrama">
    <w:name w:val="Pagrindinis tekstas 2 Diagrama"/>
    <w:basedOn w:val="Numatytasispastraiposriftas"/>
    <w:rPr>
      <w:rFonts w:ascii="Times New Roman" w:eastAsia="Times New Roman" w:hAnsi="Times New Roman" w:cs="Times New Roman"/>
      <w:color w:val="FF0000"/>
      <w:sz w:val="24"/>
      <w:szCs w:val="24"/>
      <w:lang w:eastAsia="zh-CN"/>
    </w:rPr>
  </w:style>
  <w:style w:type="character" w:customStyle="1" w:styleId="PaprastasistekstasDiagrama">
    <w:name w:val="Paprastasis tekstas Diagrama"/>
    <w:basedOn w:val="Numatytasispastraiposriftas"/>
    <w:rPr>
      <w:rFonts w:ascii="Courier New" w:eastAsia="Times New Roman" w:hAnsi="Courier New" w:cs="Lucida Handwriting"/>
      <w:sz w:val="20"/>
      <w:szCs w:val="20"/>
      <w:lang w:val="en-GB" w:eastAsia="zh-CN"/>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eastAsia="zh-CN"/>
    </w:rPr>
  </w:style>
  <w:style w:type="character" w:styleId="Puslapioinaosnuoroda">
    <w:name w:val="footnote reference"/>
    <w:rPr>
      <w:position w:val="0"/>
      <w:vertAlign w:val="superscript"/>
    </w:r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eastAsia="zh-CN"/>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eastAsia="zh-CN"/>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4819</Words>
  <Characters>2748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dc:description/>
  <cp:lastModifiedBy>Birute Goberiene</cp:lastModifiedBy>
  <cp:revision>14</cp:revision>
  <cp:lastPrinted>2017-04-24T11:54:00Z</cp:lastPrinted>
  <dcterms:created xsi:type="dcterms:W3CDTF">2017-04-24T11:41:00Z</dcterms:created>
  <dcterms:modified xsi:type="dcterms:W3CDTF">2017-04-24T12:00:00Z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