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C1" w:rsidRDefault="00467DD6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PANEVĖŽIO R.</w:t>
      </w:r>
      <w:r w:rsidR="00681284">
        <w:rPr>
          <w:b/>
          <w:bCs/>
          <w:lang w:val="lt-LT"/>
        </w:rPr>
        <w:t xml:space="preserve"> MIEŽIŠKIŲ PAGRINDINĖS </w:t>
      </w:r>
      <w:r w:rsidR="00934FC1">
        <w:rPr>
          <w:b/>
          <w:bCs/>
          <w:lang w:val="lt-LT"/>
        </w:rPr>
        <w:t xml:space="preserve">MOKYKLOS DIREKTORIAUS </w:t>
      </w:r>
    </w:p>
    <w:p w:rsidR="004A7128" w:rsidRPr="00934FC1" w:rsidRDefault="00934FC1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RIMANTO GAILIŪNO </w:t>
      </w:r>
      <w:r w:rsidR="00FB5D2F">
        <w:rPr>
          <w:b/>
          <w:bCs/>
          <w:lang w:val="lt-LT"/>
        </w:rPr>
        <w:t xml:space="preserve">2016 METŲ VEIKLOS </w:t>
      </w:r>
      <w:r w:rsidR="004A7128">
        <w:rPr>
          <w:b/>
          <w:bCs/>
          <w:lang w:val="lt-LT"/>
        </w:rPr>
        <w:t>ATASKA</w:t>
      </w:r>
      <w:r w:rsidR="00935FE5">
        <w:rPr>
          <w:b/>
          <w:bCs/>
          <w:lang w:val="lt-LT"/>
        </w:rPr>
        <w:t>I</w:t>
      </w:r>
      <w:r w:rsidR="004A7128">
        <w:rPr>
          <w:b/>
          <w:bCs/>
          <w:lang w:val="lt-LT"/>
        </w:rPr>
        <w:t>TA</w:t>
      </w:r>
    </w:p>
    <w:p w:rsidR="00A027EB" w:rsidRDefault="00A027EB" w:rsidP="004A7128">
      <w:pPr>
        <w:pStyle w:val="Standard"/>
        <w:rPr>
          <w:lang w:val="lt-LT"/>
        </w:rPr>
      </w:pPr>
    </w:p>
    <w:p w:rsidR="006F3599" w:rsidRDefault="004A7128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MOKYKLOS VADOVĄ IR MOKYKLĄ</w:t>
      </w:r>
    </w:p>
    <w:p w:rsidR="006F3599" w:rsidRPr="006F3599" w:rsidRDefault="00185CF9" w:rsidP="0093168E">
      <w:pPr>
        <w:pStyle w:val="Standard"/>
        <w:ind w:left="-142"/>
        <w:jc w:val="both"/>
        <w:rPr>
          <w:bCs/>
          <w:lang w:val="lt-LT"/>
        </w:rPr>
      </w:pPr>
      <w:r w:rsidRPr="00185CF9">
        <w:rPr>
          <w:b/>
          <w:bCs/>
          <w:lang w:val="lt-LT"/>
        </w:rPr>
        <w:t>Mokyklos pristatymas</w:t>
      </w:r>
      <w:r>
        <w:rPr>
          <w:bCs/>
          <w:lang w:val="lt-LT"/>
        </w:rPr>
        <w:t xml:space="preserve">. </w:t>
      </w:r>
      <w:r w:rsidR="006F3599">
        <w:rPr>
          <w:bCs/>
          <w:lang w:val="lt-LT"/>
        </w:rPr>
        <w:t>Panevėžio r. Miežiškių pagrindinė mokykla, Nevėžio g. 1, Miežiškių mstl</w:t>
      </w:r>
      <w:r w:rsidR="00D166D3">
        <w:rPr>
          <w:bCs/>
          <w:lang w:val="lt-LT"/>
        </w:rPr>
        <w:t>.</w:t>
      </w:r>
      <w:r w:rsidR="006F3599">
        <w:rPr>
          <w:bCs/>
          <w:lang w:val="lt-LT"/>
        </w:rPr>
        <w:t>, Panevėžio rajonas. Įstaigos kodas 190400696. Mokyklos grupė – bendrojo ugdymo mokykla, tipas – pagrindinė mokykla. Vykdomos švietimo programos: ikimokyklinio ugdymo programa, priešmokyklinio ugdymo programa, pradinio ugdymo programa, pagrindinio ugdymo programa,</w:t>
      </w:r>
      <w:r w:rsidR="00467DD6">
        <w:rPr>
          <w:bCs/>
          <w:lang w:val="lt-LT"/>
        </w:rPr>
        <w:t xml:space="preserve"> pradinio ugdymo individualizuota programa,</w:t>
      </w:r>
      <w:r w:rsidR="006F3599">
        <w:rPr>
          <w:bCs/>
          <w:lang w:val="lt-LT"/>
        </w:rPr>
        <w:t xml:space="preserve"> pagrindinio ugdymo individualizuota programa.</w:t>
      </w:r>
    </w:p>
    <w:p w:rsidR="00B02F25" w:rsidRDefault="006F3599" w:rsidP="0093168E">
      <w:pPr>
        <w:pStyle w:val="Porat"/>
        <w:ind w:left="-142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Mokyklos direktorius Rimantas Gailiūnas</w:t>
      </w:r>
      <w:r w:rsidR="00185CF9">
        <w:rPr>
          <w:shd w:val="clear" w:color="auto" w:fill="FFFFFF"/>
          <w:lang w:val="lt-LT"/>
        </w:rPr>
        <w:t xml:space="preserve">, </w:t>
      </w:r>
      <w:r w:rsidR="00681284">
        <w:rPr>
          <w:shd w:val="clear" w:color="auto" w:fill="FFFFFF"/>
          <w:lang w:val="lt-LT"/>
        </w:rPr>
        <w:t>vadybinis darbo stažas šioje mokykloje – 24 m.</w:t>
      </w:r>
      <w:r w:rsidR="00185CF9">
        <w:rPr>
          <w:shd w:val="clear" w:color="auto" w:fill="FFFFFF"/>
          <w:lang w:val="lt-LT"/>
        </w:rPr>
        <w:t>, trečioji kvalifikacinė</w:t>
      </w:r>
      <w:r w:rsidR="00681284">
        <w:rPr>
          <w:shd w:val="clear" w:color="auto" w:fill="FFFFFF"/>
          <w:lang w:val="lt-LT"/>
        </w:rPr>
        <w:t xml:space="preserve"> kategorija.</w:t>
      </w:r>
    </w:p>
    <w:p w:rsidR="006F3599" w:rsidRDefault="006F3599" w:rsidP="0093168E">
      <w:pPr>
        <w:pStyle w:val="Porat"/>
        <w:ind w:left="-142"/>
        <w:jc w:val="both"/>
        <w:rPr>
          <w:shd w:val="clear" w:color="auto" w:fill="FFFFFF"/>
          <w:lang w:val="lt-LT"/>
        </w:rPr>
      </w:pPr>
      <w:r w:rsidRPr="00E95ECC">
        <w:rPr>
          <w:b/>
          <w:shd w:val="clear" w:color="auto" w:fill="FFFFFF"/>
          <w:lang w:val="lt-LT"/>
        </w:rPr>
        <w:t>Darbuotojai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3"/>
        <w:gridCol w:w="7441"/>
        <w:gridCol w:w="1655"/>
      </w:tblGrid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Eil.</w:t>
            </w:r>
          </w:p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Nr.</w:t>
            </w: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  <w:tc>
          <w:tcPr>
            <w:tcW w:w="1666" w:type="dxa"/>
          </w:tcPr>
          <w:p w:rsidR="003D58E7" w:rsidRPr="003D58E7" w:rsidRDefault="003D58E7" w:rsidP="0055499A">
            <w:pPr>
              <w:pStyle w:val="Porat"/>
              <w:jc w:val="center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2016-12-31</w:t>
            </w:r>
          </w:p>
        </w:tc>
      </w:tr>
      <w:tr w:rsidR="003D58E7" w:rsidTr="003D58E7">
        <w:tc>
          <w:tcPr>
            <w:tcW w:w="675" w:type="dxa"/>
          </w:tcPr>
          <w:p w:rsidR="003D58E7" w:rsidRP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1.</w:t>
            </w: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Bendras darbuotojų skaičius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38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2.</w:t>
            </w: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Pedagoginių darbuotojų skaičius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25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3D58E7">
              <w:rPr>
                <w:shd w:val="clear" w:color="auto" w:fill="FFFFFF"/>
                <w:lang w:val="lt-LT"/>
              </w:rPr>
              <w:t>Iš jų:</w:t>
            </w:r>
          </w:p>
        </w:tc>
        <w:tc>
          <w:tcPr>
            <w:tcW w:w="1666" w:type="dxa"/>
          </w:tcPr>
          <w:p w:rsidR="003D58E7" w:rsidRDefault="003D58E7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vadovų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mokytojų pagrindinėse pareigose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13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mokytojų ne pagrindinėse pareigose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7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shd w:val="clear" w:color="auto" w:fill="FFFFFF"/>
                <w:lang w:val="lt-LT"/>
              </w:rPr>
              <w:t>soc</w:t>
            </w:r>
            <w:proofErr w:type="spellEnd"/>
            <w:r>
              <w:rPr>
                <w:shd w:val="clear" w:color="auto" w:fill="FFFFFF"/>
                <w:lang w:val="lt-LT"/>
              </w:rPr>
              <w:t>. pedagogas, spec. pedagogas-logopedas, mokytojo padėjėjas, bibliotekininkas)</w:t>
            </w:r>
          </w:p>
        </w:tc>
        <w:tc>
          <w:tcPr>
            <w:tcW w:w="1666" w:type="dxa"/>
          </w:tcPr>
          <w:p w:rsidR="003D58E7" w:rsidRDefault="00725AB9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3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3.</w:t>
            </w: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Atestuotų pedagoginių darbuotojų skaičius:</w:t>
            </w:r>
          </w:p>
        </w:tc>
        <w:tc>
          <w:tcPr>
            <w:tcW w:w="1666" w:type="dxa"/>
          </w:tcPr>
          <w:p w:rsidR="003D58E7" w:rsidRDefault="003D58E7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Turinčių eksperto kvalifikacinę kategoriją</w:t>
            </w:r>
          </w:p>
        </w:tc>
        <w:tc>
          <w:tcPr>
            <w:tcW w:w="1666" w:type="dxa"/>
          </w:tcPr>
          <w:p w:rsidR="003D58E7" w:rsidRDefault="00725AB9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-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Turinčių mokytojo metodininko kvalifikacinę kategoriją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4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Turinčių vyresniojo mokytojo kvalifikacinę kategoriją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17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3D58E7" w:rsidRDefault="003D58E7" w:rsidP="004A7128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Turinčių mokytojo kvalifikacinę kategoriją</w:t>
            </w:r>
          </w:p>
        </w:tc>
        <w:tc>
          <w:tcPr>
            <w:tcW w:w="1666" w:type="dxa"/>
          </w:tcPr>
          <w:p w:rsidR="003D58E7" w:rsidRDefault="00612F03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</w:t>
            </w:r>
          </w:p>
        </w:tc>
      </w:tr>
      <w:tr w:rsidR="003D58E7" w:rsidTr="003D58E7">
        <w:tc>
          <w:tcPr>
            <w:tcW w:w="675" w:type="dxa"/>
          </w:tcPr>
          <w:p w:rsid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>
              <w:rPr>
                <w:b/>
                <w:shd w:val="clear" w:color="auto" w:fill="FFFFFF"/>
                <w:lang w:val="lt-LT"/>
              </w:rPr>
              <w:t>4.</w:t>
            </w:r>
          </w:p>
        </w:tc>
        <w:tc>
          <w:tcPr>
            <w:tcW w:w="7513" w:type="dxa"/>
          </w:tcPr>
          <w:p w:rsidR="003D58E7" w:rsidRPr="003D58E7" w:rsidRDefault="003D58E7" w:rsidP="004A7128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3D58E7">
              <w:rPr>
                <w:b/>
                <w:shd w:val="clear" w:color="auto" w:fill="FFFFFF"/>
                <w:lang w:val="lt-LT"/>
              </w:rPr>
              <w:t>Neatestuotų pedagoginių darbuotojų skaičius</w:t>
            </w:r>
          </w:p>
        </w:tc>
        <w:tc>
          <w:tcPr>
            <w:tcW w:w="1666" w:type="dxa"/>
          </w:tcPr>
          <w:p w:rsidR="003D58E7" w:rsidRDefault="00935FE5" w:rsidP="0055499A">
            <w:pPr>
              <w:pStyle w:val="Porat"/>
              <w:jc w:val="center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</w:t>
            </w:r>
          </w:p>
        </w:tc>
      </w:tr>
    </w:tbl>
    <w:p w:rsidR="003D58E7" w:rsidRDefault="003D58E7" w:rsidP="004A7128">
      <w:pPr>
        <w:pStyle w:val="Porat"/>
        <w:jc w:val="both"/>
        <w:rPr>
          <w:shd w:val="clear" w:color="auto" w:fill="FFFFFF"/>
          <w:lang w:val="lt-LT"/>
        </w:rPr>
      </w:pPr>
    </w:p>
    <w:p w:rsidR="003D58E7" w:rsidRPr="00934FC1" w:rsidRDefault="00185CF9" w:rsidP="00934FC1">
      <w:pPr>
        <w:pStyle w:val="Porat"/>
        <w:ind w:left="-142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S</w:t>
      </w:r>
      <w:r w:rsidR="00B02F25">
        <w:rPr>
          <w:shd w:val="clear" w:color="auto" w:fill="FFFFFF"/>
          <w:lang w:val="lt-LT"/>
        </w:rPr>
        <w:t>ėkmingai baigta mokyklos struktūros pertvarka optimizuoj</w:t>
      </w:r>
      <w:r w:rsidR="00D13A18">
        <w:rPr>
          <w:shd w:val="clear" w:color="auto" w:fill="FFFFFF"/>
          <w:lang w:val="lt-LT"/>
        </w:rPr>
        <w:t xml:space="preserve">ant mokyklos </w:t>
      </w:r>
      <w:proofErr w:type="spellStart"/>
      <w:r w:rsidR="00D13A18">
        <w:rPr>
          <w:shd w:val="clear" w:color="auto" w:fill="FFFFFF"/>
          <w:lang w:val="lt-LT"/>
        </w:rPr>
        <w:t>Kurganavos</w:t>
      </w:r>
      <w:proofErr w:type="spellEnd"/>
      <w:r w:rsidR="00D13A18">
        <w:rPr>
          <w:shd w:val="clear" w:color="auto" w:fill="FFFFFF"/>
          <w:lang w:val="lt-LT"/>
        </w:rPr>
        <w:t xml:space="preserve"> skyriaus (dabar</w:t>
      </w:r>
      <w:r w:rsidR="00B02F25">
        <w:rPr>
          <w:shd w:val="clear" w:color="auto" w:fill="FFFFFF"/>
          <w:lang w:val="lt-LT"/>
        </w:rPr>
        <w:t xml:space="preserve"> </w:t>
      </w:r>
      <w:proofErr w:type="spellStart"/>
      <w:r w:rsidR="00B02F25">
        <w:rPr>
          <w:shd w:val="clear" w:color="auto" w:fill="FFFFFF"/>
          <w:lang w:val="lt-LT"/>
        </w:rPr>
        <w:t>Trakiškio</w:t>
      </w:r>
      <w:proofErr w:type="spellEnd"/>
      <w:r w:rsidR="00B02F25">
        <w:rPr>
          <w:shd w:val="clear" w:color="auto" w:fill="FFFFFF"/>
          <w:lang w:val="lt-LT"/>
        </w:rPr>
        <w:t xml:space="preserve"> ikimokyklinio </w:t>
      </w:r>
      <w:r w:rsidR="00D13A18">
        <w:rPr>
          <w:shd w:val="clear" w:color="auto" w:fill="FFFFFF"/>
          <w:lang w:val="lt-LT"/>
        </w:rPr>
        <w:t>ir priešmokyklinio ugdymo skyri</w:t>
      </w:r>
      <w:r w:rsidR="00B02F25">
        <w:rPr>
          <w:shd w:val="clear" w:color="auto" w:fill="FFFFFF"/>
          <w:lang w:val="lt-LT"/>
        </w:rPr>
        <w:t>us) veiklą.</w:t>
      </w:r>
      <w:r w:rsidR="00643B29">
        <w:rPr>
          <w:shd w:val="clear" w:color="auto" w:fill="FFFFFF"/>
          <w:lang w:val="lt-LT"/>
        </w:rPr>
        <w:t xml:space="preserve"> Panevėžio </w:t>
      </w:r>
      <w:r w:rsidR="00D13A18">
        <w:rPr>
          <w:shd w:val="clear" w:color="auto" w:fill="FFFFFF"/>
          <w:lang w:val="lt-LT"/>
        </w:rPr>
        <w:t>rajono savivaldybės kontrolierė</w:t>
      </w:r>
      <w:r>
        <w:rPr>
          <w:shd w:val="clear" w:color="auto" w:fill="FFFFFF"/>
          <w:lang w:val="lt-LT"/>
        </w:rPr>
        <w:t>,</w:t>
      </w:r>
      <w:r w:rsidR="00D13A18">
        <w:rPr>
          <w:shd w:val="clear" w:color="auto" w:fill="FFFFFF"/>
          <w:lang w:val="lt-LT"/>
        </w:rPr>
        <w:t xml:space="preserve"> atlikusi</w:t>
      </w:r>
      <w:r w:rsidR="00643B29">
        <w:rPr>
          <w:shd w:val="clear" w:color="auto" w:fill="FFFFFF"/>
          <w:lang w:val="lt-LT"/>
        </w:rPr>
        <w:t xml:space="preserve"> mokyklos 2016 m. turto ir finansų valdymo auditą</w:t>
      </w:r>
      <w:r w:rsidR="00D13A18">
        <w:rPr>
          <w:shd w:val="clear" w:color="auto" w:fill="FFFFFF"/>
          <w:lang w:val="lt-LT"/>
        </w:rPr>
        <w:t>, esminių neatitikimų nenustatė</w:t>
      </w:r>
      <w:r w:rsidR="00643B29">
        <w:rPr>
          <w:shd w:val="clear" w:color="auto" w:fill="FFFFFF"/>
          <w:lang w:val="lt-LT"/>
        </w:rPr>
        <w:t>.</w:t>
      </w:r>
      <w:r w:rsidR="00B60223">
        <w:rPr>
          <w:shd w:val="clear" w:color="auto" w:fill="FFFFFF"/>
          <w:lang w:val="lt-LT"/>
        </w:rPr>
        <w:t xml:space="preserve"> Pavyko pagerinti pamokų lankomumą.</w:t>
      </w:r>
      <w:r w:rsidR="00643B29">
        <w:rPr>
          <w:shd w:val="clear" w:color="auto" w:fill="FFFFFF"/>
          <w:lang w:val="lt-LT"/>
        </w:rPr>
        <w:t xml:space="preserve"> </w:t>
      </w:r>
      <w:r>
        <w:rPr>
          <w:shd w:val="clear" w:color="auto" w:fill="FFFFFF"/>
          <w:lang w:val="lt-LT"/>
        </w:rPr>
        <w:t>S</w:t>
      </w:r>
      <w:r w:rsidR="00643B29">
        <w:rPr>
          <w:shd w:val="clear" w:color="auto" w:fill="FFFFFF"/>
          <w:lang w:val="lt-LT"/>
        </w:rPr>
        <w:t>ėkme galim</w:t>
      </w:r>
      <w:r>
        <w:rPr>
          <w:shd w:val="clear" w:color="auto" w:fill="FFFFFF"/>
          <w:lang w:val="lt-LT"/>
        </w:rPr>
        <w:t>a</w:t>
      </w:r>
      <w:r w:rsidR="00643B29">
        <w:rPr>
          <w:shd w:val="clear" w:color="auto" w:fill="FFFFFF"/>
          <w:lang w:val="lt-LT"/>
        </w:rPr>
        <w:t xml:space="preserve"> laikyti </w:t>
      </w:r>
      <w:r w:rsidR="00E00C32">
        <w:rPr>
          <w:shd w:val="clear" w:color="auto" w:fill="FFFFFF"/>
          <w:lang w:val="lt-LT"/>
        </w:rPr>
        <w:t xml:space="preserve">ir </w:t>
      </w:r>
      <w:r w:rsidR="00643B29">
        <w:rPr>
          <w:shd w:val="clear" w:color="auto" w:fill="FFFFFF"/>
          <w:lang w:val="lt-LT"/>
        </w:rPr>
        <w:t xml:space="preserve">kai kuriuos </w:t>
      </w:r>
      <w:r w:rsidR="00E00C32">
        <w:rPr>
          <w:shd w:val="clear" w:color="auto" w:fill="FFFFFF"/>
          <w:lang w:val="lt-LT"/>
        </w:rPr>
        <w:t>išskirtinius</w:t>
      </w:r>
      <w:r w:rsidR="00643B29">
        <w:rPr>
          <w:shd w:val="clear" w:color="auto" w:fill="FFFFFF"/>
          <w:lang w:val="lt-LT"/>
        </w:rPr>
        <w:t xml:space="preserve"> mokinių pasiekimus.</w:t>
      </w:r>
    </w:p>
    <w:p w:rsidR="00F841C3" w:rsidRDefault="00185CF9" w:rsidP="00E95ECC">
      <w:pPr>
        <w:pStyle w:val="Standard"/>
        <w:ind w:left="-142"/>
        <w:jc w:val="both"/>
        <w:rPr>
          <w:shd w:val="clear" w:color="auto" w:fill="FFFFFF"/>
        </w:rPr>
      </w:pPr>
      <w:r>
        <w:rPr>
          <w:bCs/>
          <w:shd w:val="clear" w:color="auto" w:fill="FFFFFF"/>
          <w:lang w:val="lt-LT"/>
        </w:rPr>
        <w:t>M</w:t>
      </w:r>
      <w:r w:rsidR="00EF7D72">
        <w:rPr>
          <w:bCs/>
          <w:shd w:val="clear" w:color="auto" w:fill="FFFFFF"/>
          <w:lang w:val="lt-LT"/>
        </w:rPr>
        <w:t xml:space="preserve">okykla dalijosi </w:t>
      </w:r>
      <w:r>
        <w:rPr>
          <w:bCs/>
          <w:shd w:val="clear" w:color="auto" w:fill="FFFFFF"/>
          <w:lang w:val="lt-LT"/>
        </w:rPr>
        <w:t xml:space="preserve">specialiųjų ugdymosi poreikių mokinių ugdymo </w:t>
      </w:r>
      <w:r w:rsidR="00EF7D72">
        <w:rPr>
          <w:bCs/>
          <w:shd w:val="clear" w:color="auto" w:fill="FFFFFF"/>
          <w:lang w:val="lt-LT"/>
        </w:rPr>
        <w:t>patirtimi</w:t>
      </w:r>
      <w:r>
        <w:rPr>
          <w:bCs/>
          <w:shd w:val="clear" w:color="auto" w:fill="FFFFFF"/>
          <w:lang w:val="lt-LT"/>
        </w:rPr>
        <w:t xml:space="preserve"> šalies mastu</w:t>
      </w:r>
      <w:r w:rsidR="00D13A18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(</w:t>
      </w:r>
      <w:r w:rsidR="00D13A18">
        <w:rPr>
          <w:bCs/>
          <w:shd w:val="clear" w:color="auto" w:fill="FFFFFF"/>
          <w:lang w:val="lt-LT"/>
        </w:rPr>
        <w:t>seminaras</w:t>
      </w:r>
      <w:r w:rsidR="00EF7D72">
        <w:rPr>
          <w:bCs/>
          <w:shd w:val="clear" w:color="auto" w:fill="FFFFFF"/>
          <w:lang w:val="lt-LT"/>
        </w:rPr>
        <w:t xml:space="preserve"> „P</w:t>
      </w:r>
      <w:r w:rsidR="009D1004">
        <w:rPr>
          <w:bCs/>
          <w:shd w:val="clear" w:color="auto" w:fill="FFFFFF"/>
          <w:lang w:val="lt-LT"/>
        </w:rPr>
        <w:t>a</w:t>
      </w:r>
      <w:r w:rsidR="00EF7D72">
        <w:rPr>
          <w:bCs/>
          <w:shd w:val="clear" w:color="auto" w:fill="FFFFFF"/>
          <w:lang w:val="lt-LT"/>
        </w:rPr>
        <w:t>tirtys ir galimybės ugdant specialiųjų poreikių mokinius“</w:t>
      </w:r>
      <w:r>
        <w:rPr>
          <w:bCs/>
          <w:shd w:val="clear" w:color="auto" w:fill="FFFFFF"/>
          <w:lang w:val="lt-LT"/>
        </w:rPr>
        <w:t>)</w:t>
      </w:r>
      <w:r w:rsidR="00EF7D72">
        <w:rPr>
          <w:bCs/>
          <w:shd w:val="clear" w:color="auto" w:fill="FFFFFF"/>
          <w:lang w:val="lt-LT"/>
        </w:rPr>
        <w:t xml:space="preserve">. </w:t>
      </w:r>
      <w:r>
        <w:rPr>
          <w:bCs/>
          <w:shd w:val="clear" w:color="auto" w:fill="FFFFFF"/>
          <w:lang w:val="lt-LT"/>
        </w:rPr>
        <w:t>T</w:t>
      </w:r>
      <w:r w:rsidR="009D1004">
        <w:rPr>
          <w:bCs/>
          <w:shd w:val="clear" w:color="auto" w:fill="FFFFFF"/>
          <w:lang w:val="lt-LT"/>
        </w:rPr>
        <w:t>radiciškai stipri judėjimo „Sniego gniūžtė“ grupė</w:t>
      </w:r>
      <w:r>
        <w:rPr>
          <w:bCs/>
          <w:shd w:val="clear" w:color="auto" w:fill="FFFFFF"/>
          <w:lang w:val="lt-LT"/>
        </w:rPr>
        <w:t>s veikla</w:t>
      </w:r>
      <w:r w:rsidR="009D1004">
        <w:rPr>
          <w:bCs/>
          <w:shd w:val="clear" w:color="auto" w:fill="FFFFFF"/>
          <w:lang w:val="lt-LT"/>
        </w:rPr>
        <w:t xml:space="preserve">. </w:t>
      </w:r>
      <w:r w:rsidR="00495872">
        <w:rPr>
          <w:bCs/>
          <w:shd w:val="clear" w:color="auto" w:fill="FFFFFF"/>
          <w:lang w:val="lt-LT"/>
        </w:rPr>
        <w:t>Organiz</w:t>
      </w:r>
      <w:r>
        <w:rPr>
          <w:bCs/>
          <w:shd w:val="clear" w:color="auto" w:fill="FFFFFF"/>
          <w:lang w:val="lt-LT"/>
        </w:rPr>
        <w:t>uoti rajono renginiai:</w:t>
      </w:r>
      <w:r w:rsidR="00495872">
        <w:rPr>
          <w:bCs/>
          <w:shd w:val="clear" w:color="auto" w:fill="FFFFFF"/>
          <w:lang w:val="lt-LT"/>
        </w:rPr>
        <w:t xml:space="preserve"> „Sniego</w:t>
      </w:r>
      <w:r w:rsidR="00982F3E">
        <w:rPr>
          <w:bCs/>
          <w:shd w:val="clear" w:color="auto" w:fill="FFFFFF"/>
          <w:lang w:val="lt-LT"/>
        </w:rPr>
        <w:t xml:space="preserve"> gniūžtės“ 20-mečio minėjim</w:t>
      </w:r>
      <w:r>
        <w:rPr>
          <w:bCs/>
          <w:shd w:val="clear" w:color="auto" w:fill="FFFFFF"/>
          <w:lang w:val="lt-LT"/>
        </w:rPr>
        <w:t>as</w:t>
      </w:r>
      <w:r w:rsidR="00982F3E">
        <w:rPr>
          <w:bCs/>
          <w:shd w:val="clear" w:color="auto" w:fill="FFFFFF"/>
          <w:lang w:val="lt-LT"/>
        </w:rPr>
        <w:t>, 1–</w:t>
      </w:r>
      <w:r w:rsidR="00495872">
        <w:rPr>
          <w:bCs/>
          <w:shd w:val="clear" w:color="auto" w:fill="FFFFFF"/>
          <w:lang w:val="lt-LT"/>
        </w:rPr>
        <w:t>4 klasių</w:t>
      </w:r>
      <w:r w:rsidR="00D13A18">
        <w:rPr>
          <w:bCs/>
          <w:shd w:val="clear" w:color="auto" w:fill="FFFFFF"/>
          <w:lang w:val="lt-LT"/>
        </w:rPr>
        <w:t xml:space="preserve"> skaitovų konkurs</w:t>
      </w:r>
      <w:r>
        <w:rPr>
          <w:bCs/>
          <w:shd w:val="clear" w:color="auto" w:fill="FFFFFF"/>
          <w:lang w:val="lt-LT"/>
        </w:rPr>
        <w:t>as</w:t>
      </w:r>
      <w:r w:rsidR="00D13A18">
        <w:rPr>
          <w:bCs/>
          <w:shd w:val="clear" w:color="auto" w:fill="FFFFFF"/>
          <w:lang w:val="lt-LT"/>
        </w:rPr>
        <w:t>, baigiam</w:t>
      </w:r>
      <w:r>
        <w:rPr>
          <w:bCs/>
          <w:shd w:val="clear" w:color="auto" w:fill="FFFFFF"/>
          <w:lang w:val="lt-LT"/>
        </w:rPr>
        <w:t>asis</w:t>
      </w:r>
      <w:r w:rsidR="00D13A18">
        <w:rPr>
          <w:bCs/>
          <w:shd w:val="clear" w:color="auto" w:fill="FFFFFF"/>
          <w:lang w:val="lt-LT"/>
        </w:rPr>
        <w:t xml:space="preserve"> Žemės dienos rengin</w:t>
      </w:r>
      <w:r>
        <w:rPr>
          <w:bCs/>
          <w:shd w:val="clear" w:color="auto" w:fill="FFFFFF"/>
          <w:lang w:val="lt-LT"/>
        </w:rPr>
        <w:t>ys</w:t>
      </w:r>
      <w:r w:rsidR="00495872">
        <w:rPr>
          <w:bCs/>
          <w:shd w:val="clear" w:color="auto" w:fill="FFFFFF"/>
          <w:lang w:val="lt-LT"/>
        </w:rPr>
        <w:t>.</w:t>
      </w:r>
    </w:p>
    <w:p w:rsidR="004A7128" w:rsidRDefault="004D76E4" w:rsidP="0093168E">
      <w:pPr>
        <w:pStyle w:val="Porat"/>
        <w:ind w:left="-142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Mokykla </w:t>
      </w:r>
      <w:r w:rsidR="00185CF9">
        <w:rPr>
          <w:shd w:val="clear" w:color="auto" w:fill="FFFFFF"/>
          <w:lang w:val="lt-LT"/>
        </w:rPr>
        <w:t>veiki</w:t>
      </w:r>
      <w:r w:rsidR="00451A72">
        <w:rPr>
          <w:shd w:val="clear" w:color="auto" w:fill="FFFFFF"/>
          <w:lang w:val="lt-LT"/>
        </w:rPr>
        <w:t>a labai konkurencingoje švietimo paslaugų teikimo aplinko</w:t>
      </w:r>
      <w:r w:rsidR="00982F3E">
        <w:rPr>
          <w:shd w:val="clear" w:color="auto" w:fill="FFFFFF"/>
          <w:lang w:val="lt-LT"/>
        </w:rPr>
        <w:t>je. Ji yra tarp dviejų 7–</w:t>
      </w:r>
      <w:r w:rsidR="00D13A18">
        <w:rPr>
          <w:shd w:val="clear" w:color="auto" w:fill="FFFFFF"/>
          <w:lang w:val="lt-LT"/>
        </w:rPr>
        <w:t>10 km</w:t>
      </w:r>
      <w:r w:rsidR="00451A72">
        <w:rPr>
          <w:shd w:val="clear" w:color="auto" w:fill="FFFFFF"/>
          <w:lang w:val="lt-LT"/>
        </w:rPr>
        <w:t xml:space="preserve"> atstumu nutolusių gimnazijų, vykdančių tas pačias švietimo </w:t>
      </w:r>
      <w:r w:rsidR="00D13A18">
        <w:rPr>
          <w:shd w:val="clear" w:color="auto" w:fill="FFFFFF"/>
          <w:lang w:val="lt-LT"/>
        </w:rPr>
        <w:t xml:space="preserve">programas. </w:t>
      </w:r>
      <w:r w:rsidR="00185CF9">
        <w:rPr>
          <w:shd w:val="clear" w:color="auto" w:fill="FFFFFF"/>
          <w:lang w:val="lt-LT"/>
        </w:rPr>
        <w:t>S</w:t>
      </w:r>
      <w:r w:rsidR="00D13A18">
        <w:rPr>
          <w:shd w:val="clear" w:color="auto" w:fill="FFFFFF"/>
          <w:lang w:val="lt-LT"/>
        </w:rPr>
        <w:t>utampa</w:t>
      </w:r>
      <w:r w:rsidR="00451A72">
        <w:rPr>
          <w:shd w:val="clear" w:color="auto" w:fill="FFFFFF"/>
          <w:lang w:val="lt-LT"/>
        </w:rPr>
        <w:t xml:space="preserve"> </w:t>
      </w:r>
      <w:r w:rsidR="00185CF9">
        <w:rPr>
          <w:shd w:val="clear" w:color="auto" w:fill="FFFFFF"/>
          <w:lang w:val="lt-LT"/>
        </w:rPr>
        <w:t>dalis</w:t>
      </w:r>
      <w:r w:rsidR="00451A72">
        <w:rPr>
          <w:shd w:val="clear" w:color="auto" w:fill="FFFFFF"/>
          <w:lang w:val="lt-LT"/>
        </w:rPr>
        <w:t xml:space="preserve"> aptarnavimo teritorijos. Be to, mokykla yra</w:t>
      </w:r>
      <w:r w:rsidR="00727003">
        <w:rPr>
          <w:shd w:val="clear" w:color="auto" w:fill="FFFFFF"/>
          <w:lang w:val="lt-LT"/>
        </w:rPr>
        <w:t xml:space="preserve"> nutolusi</w:t>
      </w:r>
      <w:r w:rsidR="00D13A18">
        <w:rPr>
          <w:shd w:val="clear" w:color="auto" w:fill="FFFFFF"/>
          <w:lang w:val="lt-LT"/>
        </w:rPr>
        <w:t xml:space="preserve"> tik 15 km</w:t>
      </w:r>
      <w:r w:rsidR="00451A72">
        <w:rPr>
          <w:shd w:val="clear" w:color="auto" w:fill="FFFFFF"/>
          <w:lang w:val="lt-LT"/>
        </w:rPr>
        <w:t xml:space="preserve"> nuo Panevėžio</w:t>
      </w:r>
      <w:r w:rsidR="00727003">
        <w:rPr>
          <w:shd w:val="clear" w:color="auto" w:fill="FFFFFF"/>
          <w:lang w:val="lt-LT"/>
        </w:rPr>
        <w:t xml:space="preserve"> miesto. Nepaisan</w:t>
      </w:r>
      <w:r w:rsidR="00D13A18">
        <w:rPr>
          <w:shd w:val="clear" w:color="auto" w:fill="FFFFFF"/>
          <w:lang w:val="lt-LT"/>
        </w:rPr>
        <w:t>t to, mokinių skaičiaus mažėjimui daro įtaką</w:t>
      </w:r>
      <w:r w:rsidR="00727003">
        <w:rPr>
          <w:shd w:val="clear" w:color="auto" w:fill="FFFFFF"/>
          <w:lang w:val="lt-LT"/>
        </w:rPr>
        <w:t xml:space="preserve"> tik bendros Lietuvos demografinės tendencijos. Kadangi mokyklos aptarnavimo teritorija didelė – užtrunka mokinių atvežimas ir išvežimas. Tai turi neigiamos įtakos neformalioj</w:t>
      </w:r>
      <w:r w:rsidR="00D13A18">
        <w:rPr>
          <w:shd w:val="clear" w:color="auto" w:fill="FFFFFF"/>
          <w:lang w:val="lt-LT"/>
        </w:rPr>
        <w:t>o švietimo veiklų organizavimui, tačiau</w:t>
      </w:r>
      <w:r w:rsidR="00727003">
        <w:rPr>
          <w:shd w:val="clear" w:color="auto" w:fill="FFFFFF"/>
          <w:lang w:val="lt-LT"/>
        </w:rPr>
        <w:t xml:space="preserve"> iš dalies kompensuoja</w:t>
      </w:r>
      <w:r w:rsidR="00D13A18">
        <w:rPr>
          <w:shd w:val="clear" w:color="auto" w:fill="FFFFFF"/>
          <w:lang w:val="lt-LT"/>
        </w:rPr>
        <w:t xml:space="preserve"> tai</w:t>
      </w:r>
      <w:r w:rsidR="00727003">
        <w:rPr>
          <w:shd w:val="clear" w:color="auto" w:fill="FFFFFF"/>
          <w:lang w:val="lt-LT"/>
        </w:rPr>
        <w:t xml:space="preserve"> Miežiškių kultūros centro siūlomos neformaliojo švietimo programos. Ekonominė situacija negerėja – nežymiai didėja vaikų iš socialiai remtinų ir socialinės rizikos</w:t>
      </w:r>
      <w:r w:rsidR="008016F8">
        <w:rPr>
          <w:shd w:val="clear" w:color="auto" w:fill="FFFFFF"/>
          <w:lang w:val="lt-LT"/>
        </w:rPr>
        <w:t xml:space="preserve"> šeimų</w:t>
      </w:r>
      <w:r w:rsidR="00CB0024">
        <w:rPr>
          <w:shd w:val="clear" w:color="auto" w:fill="FFFFFF"/>
          <w:lang w:val="lt-LT"/>
        </w:rPr>
        <w:t xml:space="preserve"> skaičius</w:t>
      </w:r>
      <w:r w:rsidR="00727003">
        <w:rPr>
          <w:shd w:val="clear" w:color="auto" w:fill="FFFFFF"/>
          <w:lang w:val="lt-LT"/>
        </w:rPr>
        <w:t>.</w:t>
      </w:r>
    </w:p>
    <w:p w:rsidR="004A7128" w:rsidRDefault="004D76E4" w:rsidP="004A7128">
      <w:pPr>
        <w:pStyle w:val="Porat"/>
        <w:jc w:val="both"/>
        <w:rPr>
          <w:lang w:val="lt-LT"/>
        </w:rPr>
      </w:pPr>
      <w:r>
        <w:rPr>
          <w:shd w:val="clear" w:color="auto" w:fill="FFFFFF"/>
          <w:lang w:val="lt-LT"/>
        </w:rPr>
        <w:t xml:space="preserve">       </w:t>
      </w:r>
    </w:p>
    <w:p w:rsidR="00612F03" w:rsidRDefault="004A7128" w:rsidP="00934FC1">
      <w:pPr>
        <w:pStyle w:val="Pora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MOKINIAI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709"/>
        <w:gridCol w:w="709"/>
        <w:gridCol w:w="850"/>
        <w:gridCol w:w="851"/>
        <w:gridCol w:w="709"/>
        <w:gridCol w:w="1949"/>
      </w:tblGrid>
      <w:tr w:rsidR="00F11063" w:rsidTr="00F11063">
        <w:tc>
          <w:tcPr>
            <w:tcW w:w="1526" w:type="dxa"/>
            <w:vMerge w:val="restart"/>
          </w:tcPr>
          <w:p w:rsidR="00F11063" w:rsidRDefault="00F11063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  <w:gridSpan w:val="6"/>
          </w:tcPr>
          <w:p w:rsidR="00F11063" w:rsidRDefault="00F11063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1949" w:type="dxa"/>
            <w:vMerge w:val="restart"/>
          </w:tcPr>
          <w:p w:rsidR="00F11063" w:rsidRPr="00F11063" w:rsidRDefault="00F11063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Iš jų specialiųjų ugdymosi poreikių turinčių mokinių</w:t>
            </w:r>
          </w:p>
        </w:tc>
      </w:tr>
      <w:tr w:rsidR="00F11063" w:rsidTr="00AC1F48">
        <w:tc>
          <w:tcPr>
            <w:tcW w:w="1526" w:type="dxa"/>
            <w:vMerge/>
          </w:tcPr>
          <w:p w:rsidR="00F11063" w:rsidRDefault="00F11063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2551" w:type="dxa"/>
          </w:tcPr>
          <w:p w:rsidR="00F11063" w:rsidRPr="00F11063" w:rsidRDefault="00F11063" w:rsidP="007E691E">
            <w:pPr>
              <w:pStyle w:val="Porat"/>
              <w:rPr>
                <w:bCs/>
                <w:lang w:val="lt-LT"/>
              </w:rPr>
            </w:pPr>
            <w:r w:rsidRPr="00F11063">
              <w:rPr>
                <w:bCs/>
                <w:lang w:val="lt-LT"/>
              </w:rPr>
              <w:t>Ikimokyklinio</w:t>
            </w:r>
            <w:r>
              <w:rPr>
                <w:bCs/>
                <w:lang w:val="lt-LT"/>
              </w:rPr>
              <w:t>/prieš</w:t>
            </w:r>
            <w:r w:rsidR="0065529F">
              <w:rPr>
                <w:bCs/>
                <w:lang w:val="lt-LT"/>
              </w:rPr>
              <w:t>-</w:t>
            </w:r>
            <w:r>
              <w:rPr>
                <w:bCs/>
                <w:lang w:val="lt-LT"/>
              </w:rPr>
              <w:t>mokyklinio ugdymo grupė</w:t>
            </w:r>
          </w:p>
        </w:tc>
        <w:tc>
          <w:tcPr>
            <w:tcW w:w="709" w:type="dxa"/>
          </w:tcPr>
          <w:p w:rsidR="00F11063" w:rsidRPr="00F11063" w:rsidRDefault="00AC1F48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1–</w:t>
            </w:r>
            <w:r w:rsidR="00F11063">
              <w:rPr>
                <w:bCs/>
                <w:lang w:val="lt-LT"/>
              </w:rPr>
              <w:t>4</w:t>
            </w:r>
          </w:p>
        </w:tc>
        <w:tc>
          <w:tcPr>
            <w:tcW w:w="709" w:type="dxa"/>
          </w:tcPr>
          <w:p w:rsidR="00F11063" w:rsidRPr="00F11063" w:rsidRDefault="00AC1F48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5–</w:t>
            </w:r>
            <w:r w:rsidR="00F11063">
              <w:rPr>
                <w:bCs/>
                <w:lang w:val="lt-LT"/>
              </w:rPr>
              <w:t>8</w:t>
            </w:r>
          </w:p>
        </w:tc>
        <w:tc>
          <w:tcPr>
            <w:tcW w:w="850" w:type="dxa"/>
          </w:tcPr>
          <w:p w:rsidR="00F11063" w:rsidRPr="00F11063" w:rsidRDefault="00AC1F48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9–</w:t>
            </w:r>
            <w:r w:rsidR="00F11063">
              <w:rPr>
                <w:bCs/>
                <w:lang w:val="lt-LT"/>
              </w:rPr>
              <w:t>10</w:t>
            </w:r>
          </w:p>
        </w:tc>
        <w:tc>
          <w:tcPr>
            <w:tcW w:w="851" w:type="dxa"/>
          </w:tcPr>
          <w:p w:rsidR="00F11063" w:rsidRPr="00F11063" w:rsidRDefault="00AC1F48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11–</w:t>
            </w:r>
            <w:r w:rsidR="00F11063">
              <w:rPr>
                <w:bCs/>
                <w:lang w:val="lt-LT"/>
              </w:rPr>
              <w:t>12</w:t>
            </w:r>
          </w:p>
        </w:tc>
        <w:tc>
          <w:tcPr>
            <w:tcW w:w="709" w:type="dxa"/>
          </w:tcPr>
          <w:p w:rsidR="00F11063" w:rsidRPr="00F11063" w:rsidRDefault="00F11063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Iš viso</w:t>
            </w:r>
          </w:p>
        </w:tc>
        <w:tc>
          <w:tcPr>
            <w:tcW w:w="1949" w:type="dxa"/>
            <w:vMerge/>
          </w:tcPr>
          <w:p w:rsidR="00F11063" w:rsidRDefault="00F11063" w:rsidP="007E691E">
            <w:pPr>
              <w:pStyle w:val="Porat"/>
              <w:rPr>
                <w:b/>
                <w:bCs/>
                <w:lang w:val="lt-LT"/>
              </w:rPr>
            </w:pPr>
          </w:p>
        </w:tc>
      </w:tr>
      <w:tr w:rsidR="00F11063" w:rsidTr="00AC1F48">
        <w:tc>
          <w:tcPr>
            <w:tcW w:w="1526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11063">
              <w:rPr>
                <w:bCs/>
                <w:lang w:val="lt-LT"/>
              </w:rPr>
              <w:t>2015-09-01</w:t>
            </w:r>
          </w:p>
        </w:tc>
        <w:tc>
          <w:tcPr>
            <w:tcW w:w="2551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11063">
              <w:rPr>
                <w:bCs/>
                <w:lang w:val="lt-LT"/>
              </w:rPr>
              <w:t>16/12</w:t>
            </w:r>
          </w:p>
        </w:tc>
        <w:tc>
          <w:tcPr>
            <w:tcW w:w="709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31</w:t>
            </w:r>
          </w:p>
        </w:tc>
        <w:tc>
          <w:tcPr>
            <w:tcW w:w="709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43</w:t>
            </w:r>
          </w:p>
        </w:tc>
        <w:tc>
          <w:tcPr>
            <w:tcW w:w="850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</w:t>
            </w:r>
          </w:p>
        </w:tc>
        <w:tc>
          <w:tcPr>
            <w:tcW w:w="851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709" w:type="dxa"/>
          </w:tcPr>
          <w:p w:rsidR="00F11063" w:rsidRPr="00F11063" w:rsidRDefault="00F841C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122</w:t>
            </w:r>
          </w:p>
        </w:tc>
        <w:tc>
          <w:tcPr>
            <w:tcW w:w="1949" w:type="dxa"/>
          </w:tcPr>
          <w:p w:rsidR="00F11063" w:rsidRPr="00F841C3" w:rsidRDefault="00F841C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841C3">
              <w:rPr>
                <w:bCs/>
                <w:lang w:val="lt-LT"/>
              </w:rPr>
              <w:t>41</w:t>
            </w:r>
          </w:p>
        </w:tc>
      </w:tr>
      <w:tr w:rsidR="00F11063" w:rsidTr="00AC1F48">
        <w:tc>
          <w:tcPr>
            <w:tcW w:w="1526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11063">
              <w:rPr>
                <w:bCs/>
                <w:lang w:val="lt-LT"/>
              </w:rPr>
              <w:t>2016-09-01</w:t>
            </w:r>
          </w:p>
        </w:tc>
        <w:tc>
          <w:tcPr>
            <w:tcW w:w="2551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14/11</w:t>
            </w:r>
          </w:p>
        </w:tc>
        <w:tc>
          <w:tcPr>
            <w:tcW w:w="709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25</w:t>
            </w:r>
          </w:p>
        </w:tc>
        <w:tc>
          <w:tcPr>
            <w:tcW w:w="709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41</w:t>
            </w:r>
          </w:p>
        </w:tc>
        <w:tc>
          <w:tcPr>
            <w:tcW w:w="850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18</w:t>
            </w:r>
          </w:p>
        </w:tc>
        <w:tc>
          <w:tcPr>
            <w:tcW w:w="851" w:type="dxa"/>
          </w:tcPr>
          <w:p w:rsidR="00F11063" w:rsidRPr="00F11063" w:rsidRDefault="00F1106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709" w:type="dxa"/>
          </w:tcPr>
          <w:p w:rsidR="00F11063" w:rsidRPr="00F841C3" w:rsidRDefault="00F841C3" w:rsidP="0055499A">
            <w:pPr>
              <w:pStyle w:val="Porat"/>
              <w:jc w:val="center"/>
              <w:rPr>
                <w:bCs/>
                <w:lang w:val="lt-LT"/>
              </w:rPr>
            </w:pPr>
            <w:r w:rsidRPr="00F841C3">
              <w:rPr>
                <w:bCs/>
                <w:lang w:val="lt-LT"/>
              </w:rPr>
              <w:t>109</w:t>
            </w:r>
          </w:p>
        </w:tc>
        <w:tc>
          <w:tcPr>
            <w:tcW w:w="1949" w:type="dxa"/>
          </w:tcPr>
          <w:p w:rsidR="00F11063" w:rsidRPr="00F841C3" w:rsidRDefault="00F841C3" w:rsidP="0055499A">
            <w:pPr>
              <w:pStyle w:val="Porat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40</w:t>
            </w:r>
          </w:p>
        </w:tc>
      </w:tr>
    </w:tbl>
    <w:p w:rsidR="00935FE5" w:rsidRDefault="00935FE5" w:rsidP="00D9048F">
      <w:pPr>
        <w:pStyle w:val="Standard"/>
        <w:jc w:val="both"/>
        <w:rPr>
          <w:b/>
          <w:bCs/>
          <w:lang w:val="lt-LT"/>
        </w:rPr>
      </w:pPr>
    </w:p>
    <w:p w:rsidR="004A7128" w:rsidRDefault="007E691E" w:rsidP="0093168E">
      <w:pPr>
        <w:pStyle w:val="Standard"/>
        <w:ind w:left="-142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Padidėjus mokyklos aptarnavimo teritorijai į mokyklą ir iš jos buvo pavežama daugiau kaip 50</w:t>
      </w:r>
      <w:r w:rsidR="0065529F">
        <w:rPr>
          <w:bCs/>
          <w:shd w:val="clear" w:color="auto" w:fill="FFFFFF"/>
          <w:lang w:val="lt-LT"/>
        </w:rPr>
        <w:t xml:space="preserve"> </w:t>
      </w:r>
      <w:r w:rsidR="00934FC1">
        <w:rPr>
          <w:bCs/>
          <w:shd w:val="clear" w:color="auto" w:fill="FFFFFF"/>
          <w:lang w:val="lt-LT"/>
        </w:rPr>
        <w:t>proc.</w:t>
      </w:r>
      <w:r>
        <w:rPr>
          <w:bCs/>
          <w:shd w:val="clear" w:color="auto" w:fill="FFFFFF"/>
          <w:lang w:val="lt-LT"/>
        </w:rPr>
        <w:t xml:space="preserve"> mokinių. </w:t>
      </w:r>
      <w:r w:rsidR="00D9048F">
        <w:rPr>
          <w:bCs/>
          <w:shd w:val="clear" w:color="auto" w:fill="FFFFFF"/>
          <w:lang w:val="lt-LT"/>
        </w:rPr>
        <w:t xml:space="preserve">Du mokykliniai autobusai per dieną </w:t>
      </w:r>
      <w:r w:rsidR="00D13A18">
        <w:rPr>
          <w:bCs/>
          <w:shd w:val="clear" w:color="auto" w:fill="FFFFFF"/>
          <w:lang w:val="lt-LT"/>
        </w:rPr>
        <w:t xml:space="preserve">nuvažiuoja </w:t>
      </w:r>
      <w:r w:rsidR="0065529F">
        <w:rPr>
          <w:bCs/>
          <w:shd w:val="clear" w:color="auto" w:fill="FFFFFF"/>
          <w:lang w:val="lt-LT"/>
        </w:rPr>
        <w:t>daugiau kaip</w:t>
      </w:r>
      <w:r w:rsidR="00D13A18">
        <w:rPr>
          <w:bCs/>
          <w:shd w:val="clear" w:color="auto" w:fill="FFFFFF"/>
          <w:lang w:val="lt-LT"/>
        </w:rPr>
        <w:t xml:space="preserve"> 260</w:t>
      </w:r>
      <w:r w:rsidR="00D9048F">
        <w:rPr>
          <w:bCs/>
          <w:shd w:val="clear" w:color="auto" w:fill="FFFFFF"/>
          <w:lang w:val="lt-LT"/>
        </w:rPr>
        <w:t xml:space="preserve"> km. Didelė problema – vieno autobus</w:t>
      </w:r>
      <w:r w:rsidR="0065529F">
        <w:rPr>
          <w:bCs/>
          <w:shd w:val="clear" w:color="auto" w:fill="FFFFFF"/>
          <w:lang w:val="lt-LT"/>
        </w:rPr>
        <w:t>o</w:t>
      </w:r>
      <w:r w:rsidR="00D9048F">
        <w:rPr>
          <w:bCs/>
          <w:shd w:val="clear" w:color="auto" w:fill="FFFFFF"/>
          <w:lang w:val="lt-LT"/>
        </w:rPr>
        <w:t xml:space="preserve"> techninė būklė.</w:t>
      </w:r>
    </w:p>
    <w:p w:rsidR="00F841C3" w:rsidRDefault="00F841C3" w:rsidP="00D9048F">
      <w:pPr>
        <w:pStyle w:val="Standard"/>
        <w:jc w:val="both"/>
        <w:rPr>
          <w:bCs/>
          <w:shd w:val="clear" w:color="auto" w:fill="FFFFFF"/>
          <w:lang w:val="lt-LT"/>
        </w:rPr>
      </w:pPr>
    </w:p>
    <w:p w:rsidR="00EA105F" w:rsidRDefault="00D166D3" w:rsidP="0093168E">
      <w:pPr>
        <w:pStyle w:val="Standard"/>
        <w:ind w:hanging="142"/>
        <w:jc w:val="both"/>
        <w:rPr>
          <w:lang w:val="lt-LT"/>
        </w:rPr>
      </w:pPr>
      <w:r>
        <w:rPr>
          <w:lang w:val="lt-LT"/>
        </w:rPr>
        <w:lastRenderedPageBreak/>
        <w:t>Mokinių lankomumas</w:t>
      </w:r>
      <w:r w:rsidR="007E691E">
        <w:rPr>
          <w:lang w:val="lt-LT"/>
        </w:rPr>
        <w:t xml:space="preserve"> </w:t>
      </w:r>
    </w:p>
    <w:p w:rsidR="0038621C" w:rsidRPr="0038621C" w:rsidRDefault="0038621C" w:rsidP="0093168E">
      <w:pPr>
        <w:pStyle w:val="Standard"/>
        <w:ind w:left="-142"/>
        <w:jc w:val="both"/>
        <w:rPr>
          <w:b/>
          <w:lang w:val="lt-LT"/>
        </w:rPr>
      </w:pPr>
      <w:r>
        <w:rPr>
          <w:b/>
          <w:lang w:val="lt-LT"/>
        </w:rPr>
        <w:t>Praleistų pamokų skaičius</w:t>
      </w:r>
      <w:r w:rsidR="0065529F">
        <w:rPr>
          <w:b/>
          <w:lang w:val="lt-LT"/>
        </w:rPr>
        <w:t>,</w:t>
      </w:r>
      <w:r>
        <w:rPr>
          <w:b/>
          <w:lang w:val="lt-LT"/>
        </w:rPr>
        <w:t xml:space="preserve"> tenkantis vienam mokiniui: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56"/>
        <w:gridCol w:w="1963"/>
        <w:gridCol w:w="1949"/>
        <w:gridCol w:w="1949"/>
        <w:gridCol w:w="1952"/>
      </w:tblGrid>
      <w:tr w:rsidR="00EA105F" w:rsidTr="0065529F">
        <w:tc>
          <w:tcPr>
            <w:tcW w:w="3941" w:type="dxa"/>
            <w:gridSpan w:val="2"/>
          </w:tcPr>
          <w:p w:rsidR="00EA105F" w:rsidRDefault="006A5269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Klasės</w:t>
            </w:r>
            <w:r w:rsidR="0065529F">
              <w:rPr>
                <w:lang w:val="lt-LT"/>
              </w:rPr>
              <w:t xml:space="preserve"> </w:t>
            </w:r>
            <w:r>
              <w:rPr>
                <w:lang w:val="lt-LT"/>
              </w:rPr>
              <w:t>/</w:t>
            </w:r>
            <w:r w:rsidR="0065529F">
              <w:rPr>
                <w:lang w:val="lt-LT"/>
              </w:rPr>
              <w:t xml:space="preserve"> </w:t>
            </w:r>
            <w:r>
              <w:rPr>
                <w:lang w:val="lt-LT"/>
              </w:rPr>
              <w:t>praleidimo priežastys</w:t>
            </w:r>
          </w:p>
        </w:tc>
        <w:tc>
          <w:tcPr>
            <w:tcW w:w="1971" w:type="dxa"/>
          </w:tcPr>
          <w:p w:rsidR="00EA105F" w:rsidRDefault="00AC1F48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2014–</w:t>
            </w:r>
            <w:r w:rsidR="006A5269">
              <w:rPr>
                <w:lang w:val="lt-LT"/>
              </w:rPr>
              <w:t>20</w:t>
            </w:r>
            <w:r w:rsidR="00EA105F">
              <w:rPr>
                <w:lang w:val="lt-LT"/>
              </w:rPr>
              <w:t>15 m. m.</w:t>
            </w:r>
          </w:p>
        </w:tc>
        <w:tc>
          <w:tcPr>
            <w:tcW w:w="1971" w:type="dxa"/>
          </w:tcPr>
          <w:p w:rsidR="00EA105F" w:rsidRDefault="000D132B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2015–</w:t>
            </w:r>
            <w:r w:rsidR="00EA105F">
              <w:rPr>
                <w:lang w:val="lt-LT"/>
              </w:rPr>
              <w:t>2016 m. m.</w:t>
            </w:r>
          </w:p>
        </w:tc>
        <w:tc>
          <w:tcPr>
            <w:tcW w:w="1971" w:type="dxa"/>
          </w:tcPr>
          <w:p w:rsidR="00EA105F" w:rsidRDefault="00EA105F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Pokytis</w:t>
            </w:r>
          </w:p>
        </w:tc>
      </w:tr>
      <w:tr w:rsidR="006A5269" w:rsidTr="00EA105F">
        <w:tc>
          <w:tcPr>
            <w:tcW w:w="1970" w:type="dxa"/>
            <w:vMerge w:val="restart"/>
          </w:tcPr>
          <w:p w:rsidR="006A5269" w:rsidRDefault="000D132B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1–</w:t>
            </w:r>
            <w:r w:rsidR="006A5269">
              <w:rPr>
                <w:lang w:val="lt-LT"/>
              </w:rPr>
              <w:t>4</w:t>
            </w:r>
          </w:p>
        </w:tc>
        <w:tc>
          <w:tcPr>
            <w:tcW w:w="1971" w:type="dxa"/>
          </w:tcPr>
          <w:p w:rsidR="006A5269" w:rsidRDefault="00D13A18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6A5269">
              <w:rPr>
                <w:lang w:val="lt-LT"/>
              </w:rPr>
              <w:t>iso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76,17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44,15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-32,02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Dėl ligos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60,6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29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-31,6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EA105F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kitų priežasčių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13,5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12,6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-0,9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Nepateisintos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6,56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-6,16</w:t>
            </w:r>
          </w:p>
        </w:tc>
      </w:tr>
      <w:tr w:rsidR="006A5269" w:rsidTr="00EA105F">
        <w:tc>
          <w:tcPr>
            <w:tcW w:w="1970" w:type="dxa"/>
            <w:vMerge w:val="restart"/>
          </w:tcPr>
          <w:p w:rsidR="006A5269" w:rsidRDefault="000D132B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5–</w:t>
            </w:r>
            <w:r w:rsidR="006A5269">
              <w:rPr>
                <w:lang w:val="lt-LT"/>
              </w:rPr>
              <w:t>8</w:t>
            </w:r>
          </w:p>
        </w:tc>
        <w:tc>
          <w:tcPr>
            <w:tcW w:w="1971" w:type="dxa"/>
          </w:tcPr>
          <w:p w:rsidR="006A5269" w:rsidRDefault="00D13A18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6A5269">
              <w:rPr>
                <w:lang w:val="lt-LT"/>
              </w:rPr>
              <w:t>iso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91,7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63,8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-27,9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Dėl ligos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54,6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43,7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-10,9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kitų priežasčių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29,8</w:t>
            </w: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16,02</w:t>
            </w:r>
          </w:p>
        </w:tc>
        <w:tc>
          <w:tcPr>
            <w:tcW w:w="1971" w:type="dxa"/>
          </w:tcPr>
          <w:p w:rsidR="006A5269" w:rsidRDefault="006A5269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7B476F">
              <w:rPr>
                <w:lang w:val="lt-LT"/>
              </w:rPr>
              <w:t>13,78</w:t>
            </w:r>
          </w:p>
        </w:tc>
      </w:tr>
      <w:tr w:rsidR="006A5269" w:rsidTr="00EA105F">
        <w:tc>
          <w:tcPr>
            <w:tcW w:w="1970" w:type="dxa"/>
            <w:vMerge/>
          </w:tcPr>
          <w:p w:rsidR="006A5269" w:rsidRDefault="006A5269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6A5269" w:rsidRDefault="006A5269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Nepateisintos</w:t>
            </w:r>
          </w:p>
        </w:tc>
        <w:tc>
          <w:tcPr>
            <w:tcW w:w="1971" w:type="dxa"/>
          </w:tcPr>
          <w:p w:rsidR="006A5269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7,4</w:t>
            </w:r>
          </w:p>
        </w:tc>
        <w:tc>
          <w:tcPr>
            <w:tcW w:w="1971" w:type="dxa"/>
          </w:tcPr>
          <w:p w:rsidR="006A5269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3,4</w:t>
            </w:r>
          </w:p>
        </w:tc>
        <w:tc>
          <w:tcPr>
            <w:tcW w:w="1971" w:type="dxa"/>
          </w:tcPr>
          <w:p w:rsidR="006A5269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-4</w:t>
            </w:r>
          </w:p>
        </w:tc>
      </w:tr>
      <w:tr w:rsidR="007B476F" w:rsidTr="00EA105F">
        <w:tc>
          <w:tcPr>
            <w:tcW w:w="1970" w:type="dxa"/>
            <w:vMerge w:val="restart"/>
          </w:tcPr>
          <w:p w:rsidR="007B476F" w:rsidRDefault="000D132B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9–</w:t>
            </w:r>
            <w:r w:rsidR="007B476F">
              <w:rPr>
                <w:lang w:val="lt-LT"/>
              </w:rPr>
              <w:t>10</w:t>
            </w:r>
          </w:p>
        </w:tc>
        <w:tc>
          <w:tcPr>
            <w:tcW w:w="1971" w:type="dxa"/>
          </w:tcPr>
          <w:p w:rsidR="007B476F" w:rsidRDefault="00D13A18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7B476F">
              <w:rPr>
                <w:lang w:val="lt-LT"/>
              </w:rPr>
              <w:t>iso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148,5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108,1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-40,4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ligos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111,9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69,8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-42,1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kitų priežasčių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17,05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32,6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 w:rsidRPr="000D132B">
              <w:rPr>
                <w:color w:val="auto"/>
                <w:lang w:val="lt-LT"/>
              </w:rPr>
              <w:t>+15,55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Nepateisintos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19,5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5,7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-13,8</w:t>
            </w:r>
          </w:p>
        </w:tc>
      </w:tr>
      <w:tr w:rsidR="007B476F" w:rsidTr="00EA105F">
        <w:tc>
          <w:tcPr>
            <w:tcW w:w="1970" w:type="dxa"/>
            <w:vMerge w:val="restart"/>
          </w:tcPr>
          <w:p w:rsidR="007B476F" w:rsidRDefault="00D13A18" w:rsidP="004A7128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7B476F">
              <w:rPr>
                <w:lang w:val="lt-LT"/>
              </w:rPr>
              <w:t>iso mokykloje</w:t>
            </w:r>
          </w:p>
        </w:tc>
        <w:tc>
          <w:tcPr>
            <w:tcW w:w="1971" w:type="dxa"/>
          </w:tcPr>
          <w:p w:rsidR="007B476F" w:rsidRDefault="00D13A18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7B476F">
              <w:rPr>
                <w:lang w:val="lt-LT"/>
              </w:rPr>
              <w:t>iso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99,4</w:t>
            </w:r>
          </w:p>
        </w:tc>
        <w:tc>
          <w:tcPr>
            <w:tcW w:w="1971" w:type="dxa"/>
          </w:tcPr>
          <w:p w:rsidR="007B476F" w:rsidRDefault="007B476F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70,2</w:t>
            </w:r>
          </w:p>
        </w:tc>
        <w:tc>
          <w:tcPr>
            <w:tcW w:w="1971" w:type="dxa"/>
          </w:tcPr>
          <w:p w:rsidR="007B476F" w:rsidRDefault="007B476F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  <w:r w:rsidR="0038621C">
              <w:rPr>
                <w:lang w:val="lt-LT"/>
              </w:rPr>
              <w:t>29,2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ligos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68,1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47,1</w:t>
            </w:r>
          </w:p>
        </w:tc>
        <w:tc>
          <w:tcPr>
            <w:tcW w:w="1971" w:type="dxa"/>
          </w:tcPr>
          <w:p w:rsidR="007B476F" w:rsidRDefault="0038621C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-21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Dėl kitų priežasčių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20,1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19,8</w:t>
            </w:r>
          </w:p>
        </w:tc>
        <w:tc>
          <w:tcPr>
            <w:tcW w:w="1971" w:type="dxa"/>
          </w:tcPr>
          <w:p w:rsidR="007B476F" w:rsidRDefault="0038621C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-0,3</w:t>
            </w:r>
          </w:p>
        </w:tc>
      </w:tr>
      <w:tr w:rsidR="007B476F" w:rsidTr="00EA105F">
        <w:tc>
          <w:tcPr>
            <w:tcW w:w="1970" w:type="dxa"/>
            <w:vMerge/>
          </w:tcPr>
          <w:p w:rsidR="007B476F" w:rsidRDefault="007B476F" w:rsidP="004A7128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71" w:type="dxa"/>
          </w:tcPr>
          <w:p w:rsidR="007B476F" w:rsidRDefault="007B476F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Nepateisintos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8,15</w:t>
            </w:r>
          </w:p>
        </w:tc>
        <w:tc>
          <w:tcPr>
            <w:tcW w:w="1971" w:type="dxa"/>
          </w:tcPr>
          <w:p w:rsidR="007B476F" w:rsidRDefault="0038621C" w:rsidP="007B476F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3,1</w:t>
            </w:r>
          </w:p>
        </w:tc>
        <w:tc>
          <w:tcPr>
            <w:tcW w:w="1971" w:type="dxa"/>
          </w:tcPr>
          <w:p w:rsidR="007B476F" w:rsidRDefault="0038621C" w:rsidP="0055499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-5,05</w:t>
            </w:r>
          </w:p>
        </w:tc>
      </w:tr>
    </w:tbl>
    <w:p w:rsidR="0093168E" w:rsidRDefault="004D76E4" w:rsidP="004A7128">
      <w:pPr>
        <w:pStyle w:val="Standard"/>
        <w:jc w:val="both"/>
        <w:rPr>
          <w:lang w:val="lt-LT"/>
        </w:rPr>
      </w:pPr>
      <w:r>
        <w:rPr>
          <w:lang w:val="lt-LT"/>
        </w:rPr>
        <w:t xml:space="preserve"> </w:t>
      </w:r>
    </w:p>
    <w:p w:rsidR="004A7128" w:rsidRDefault="0065529F" w:rsidP="0093168E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S</w:t>
      </w:r>
      <w:r w:rsidR="00D9048F">
        <w:rPr>
          <w:lang w:val="lt-LT"/>
        </w:rPr>
        <w:t>kiriant didesnį dėmesį lankomumo problemai (pasitelkti seniūnijos socialiniai darbuotojai</w:t>
      </w:r>
      <w:r w:rsidR="00596D79">
        <w:rPr>
          <w:lang w:val="lt-LT"/>
        </w:rPr>
        <w:t>,</w:t>
      </w:r>
      <w:r w:rsidR="00D13A18">
        <w:rPr>
          <w:lang w:val="lt-LT"/>
        </w:rPr>
        <w:t xml:space="preserve"> pokalbiai su tėvais susirinkimų</w:t>
      </w:r>
      <w:r w:rsidR="00596D79">
        <w:rPr>
          <w:lang w:val="lt-LT"/>
        </w:rPr>
        <w:t xml:space="preserve"> metu, mokinių, nepraleidusių pamokų skatinimas, mokinių atsiskaitymo už praleistas pamokas taikymas)</w:t>
      </w:r>
      <w:r w:rsidR="004D76E4">
        <w:rPr>
          <w:lang w:val="lt-LT"/>
        </w:rPr>
        <w:t xml:space="preserve"> pavyko pasiekti teigiamą pokytį</w:t>
      </w:r>
      <w:r w:rsidR="00596D79">
        <w:rPr>
          <w:lang w:val="lt-LT"/>
        </w:rPr>
        <w:t>. Teigiamo pokyčio nepavyko pasiekti tik skaičiuojant pamokas, p</w:t>
      </w:r>
      <w:r w:rsidR="000D132B">
        <w:rPr>
          <w:lang w:val="lt-LT"/>
        </w:rPr>
        <w:t>raleistas dėl kitų priežasčių 9–</w:t>
      </w:r>
      <w:r w:rsidR="00596D79">
        <w:rPr>
          <w:lang w:val="lt-LT"/>
        </w:rPr>
        <w:t>10 kl.</w:t>
      </w:r>
      <w:r>
        <w:rPr>
          <w:lang w:val="lt-LT"/>
        </w:rPr>
        <w:t xml:space="preserve">, </w:t>
      </w:r>
      <w:r w:rsidR="004D76E4">
        <w:rPr>
          <w:lang w:val="lt-LT"/>
        </w:rPr>
        <w:t>šiose klasėse yra didžiausia pamokų praleidinėjimo rizika. Sumažėjus nepateisintų pamokų skaičiui</w:t>
      </w:r>
      <w:r w:rsidR="00AB78F8">
        <w:rPr>
          <w:lang w:val="lt-LT"/>
        </w:rPr>
        <w:t>,</w:t>
      </w:r>
      <w:r w:rsidR="004D76E4">
        <w:rPr>
          <w:lang w:val="lt-LT"/>
        </w:rPr>
        <w:t xml:space="preserve"> </w:t>
      </w:r>
      <w:r>
        <w:rPr>
          <w:lang w:val="lt-LT"/>
        </w:rPr>
        <w:t>padidėj</w:t>
      </w:r>
      <w:r w:rsidR="004D76E4">
        <w:rPr>
          <w:lang w:val="lt-LT"/>
        </w:rPr>
        <w:t>o dėl kitų priežasčių praleistų pamokų</w:t>
      </w:r>
      <w:r w:rsidR="00AB78F8">
        <w:rPr>
          <w:lang w:val="lt-LT"/>
        </w:rPr>
        <w:t xml:space="preserve"> skaičius</w:t>
      </w:r>
      <w:r w:rsidR="004D76E4">
        <w:rPr>
          <w:lang w:val="lt-LT"/>
        </w:rPr>
        <w:t>. Galima daryti išvadą, kad tėvai</w:t>
      </w:r>
      <w:r w:rsidR="00AB78F8">
        <w:rPr>
          <w:lang w:val="lt-LT"/>
        </w:rPr>
        <w:t>,</w:t>
      </w:r>
      <w:r w:rsidR="004D76E4">
        <w:rPr>
          <w:lang w:val="lt-LT"/>
        </w:rPr>
        <w:t xml:space="preserve"> pateisin</w:t>
      </w:r>
      <w:r w:rsidR="00562F28">
        <w:rPr>
          <w:lang w:val="lt-LT"/>
        </w:rPr>
        <w:t>dami praleistas pamokas, dangsto</w:t>
      </w:r>
      <w:r w:rsidR="004D76E4">
        <w:rPr>
          <w:lang w:val="lt-LT"/>
        </w:rPr>
        <w:t xml:space="preserve"> pamokų praleidinėjimą</w:t>
      </w:r>
      <w:r w:rsidR="00562F28">
        <w:rPr>
          <w:lang w:val="lt-LT"/>
        </w:rPr>
        <w:t>.</w:t>
      </w:r>
      <w:r w:rsidR="004A7128">
        <w:rPr>
          <w:lang w:val="lt-LT"/>
        </w:rPr>
        <w:t xml:space="preserve"> </w:t>
      </w:r>
    </w:p>
    <w:p w:rsidR="004A7128" w:rsidRDefault="004A7128" w:rsidP="004A7128">
      <w:pPr>
        <w:pStyle w:val="Standard"/>
        <w:rPr>
          <w:lang w:val="lt-LT"/>
        </w:rPr>
      </w:pPr>
      <w:r>
        <w:rPr>
          <w:lang w:val="lt-LT"/>
        </w:rPr>
        <w:t xml:space="preserve"> </w:t>
      </w:r>
    </w:p>
    <w:tbl>
      <w:tblPr>
        <w:tblW w:w="1006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2839"/>
        <w:gridCol w:w="3008"/>
      </w:tblGrid>
      <w:tr w:rsidR="004A7128" w:rsidTr="0065529F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Mokinių, gyvenančių šeimose</w:t>
            </w:r>
            <w:r w:rsidR="00934FC1">
              <w:rPr>
                <w:b/>
                <w:bCs/>
                <w:lang w:val="lt-LT"/>
              </w:rPr>
              <w:t>,</w:t>
            </w:r>
            <w:r>
              <w:rPr>
                <w:b/>
                <w:bCs/>
                <w:lang w:val="lt-LT"/>
              </w:rPr>
              <w:t xml:space="preserve"> skaičius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934FC1" w:rsidP="0065529F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Proc. nuo</w:t>
            </w:r>
            <w:r w:rsidR="004A7128">
              <w:rPr>
                <w:b/>
                <w:bCs/>
                <w:lang w:val="lt-LT"/>
              </w:rPr>
              <w:t xml:space="preserve"> mokinių skaičiaus</w:t>
            </w:r>
          </w:p>
        </w:tc>
      </w:tr>
      <w:tr w:rsidR="004A7128" w:rsidTr="0065529F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64 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54</w:t>
            </w:r>
          </w:p>
        </w:tc>
      </w:tr>
      <w:tr w:rsidR="004A7128" w:rsidTr="0065529F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4A7128" w:rsidP="0065529F">
            <w:pPr>
              <w:pStyle w:val="Standard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D43B1F" w:rsidP="0065529F">
            <w:pPr>
              <w:pStyle w:val="Standard"/>
              <w:jc w:val="center"/>
            </w:pPr>
            <w:r>
              <w:t>30</w:t>
            </w:r>
          </w:p>
        </w:tc>
        <w:tc>
          <w:tcPr>
            <w:tcW w:w="3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128" w:rsidRDefault="00D43B1F" w:rsidP="0065529F">
            <w:pPr>
              <w:pStyle w:val="Standard"/>
              <w:jc w:val="center"/>
            </w:pPr>
            <w:r>
              <w:t>25</w:t>
            </w:r>
          </w:p>
        </w:tc>
      </w:tr>
    </w:tbl>
    <w:p w:rsidR="004A7128" w:rsidRDefault="004A7128" w:rsidP="004A7128">
      <w:pPr>
        <w:pStyle w:val="Standard"/>
        <w:jc w:val="both"/>
        <w:rPr>
          <w:b/>
          <w:bCs/>
          <w:lang w:val="lt-LT"/>
        </w:rPr>
      </w:pPr>
    </w:p>
    <w:tbl>
      <w:tblPr>
        <w:tblW w:w="10169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9"/>
        <w:gridCol w:w="2224"/>
        <w:gridCol w:w="1535"/>
        <w:gridCol w:w="2531"/>
      </w:tblGrid>
      <w:tr w:rsidR="004A7128" w:rsidTr="0065529F">
        <w:tc>
          <w:tcPr>
            <w:tcW w:w="6103" w:type="dxa"/>
            <w:gridSpan w:val="2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</w:rPr>
            </w:pPr>
            <w:proofErr w:type="spellStart"/>
            <w:r>
              <w:rPr>
                <w:b/>
              </w:rPr>
              <w:t>Mokinių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paliktų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kartoti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ugdymo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kursą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skaičius</w:t>
            </w:r>
            <w:proofErr w:type="spellEnd"/>
            <w:r w:rsidR="00D43B1F">
              <w:rPr>
                <w:b/>
              </w:rPr>
              <w:t xml:space="preserve"> </w:t>
            </w:r>
          </w:p>
          <w:p w:rsidR="00D43B1F" w:rsidRPr="00D43B1F" w:rsidRDefault="00D43B1F" w:rsidP="0065529F">
            <w:pPr>
              <w:pStyle w:val="Standard"/>
            </w:pPr>
            <w:r>
              <w:t xml:space="preserve">1 </w:t>
            </w:r>
            <w:proofErr w:type="spellStart"/>
            <w:r>
              <w:t>mokinys</w:t>
            </w:r>
            <w:proofErr w:type="spellEnd"/>
            <w:r>
              <w:t xml:space="preserve"> </w:t>
            </w:r>
            <w:proofErr w:type="spellStart"/>
            <w:r>
              <w:t>tėvų</w:t>
            </w:r>
            <w:proofErr w:type="spellEnd"/>
            <w:r>
              <w:t xml:space="preserve"> </w:t>
            </w:r>
            <w:proofErr w:type="spellStart"/>
            <w:r>
              <w:t>pageidavimu</w:t>
            </w:r>
            <w:proofErr w:type="spellEnd"/>
          </w:p>
        </w:tc>
        <w:tc>
          <w:tcPr>
            <w:tcW w:w="4066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4A7128" w:rsidTr="0065529F">
        <w:tc>
          <w:tcPr>
            <w:tcW w:w="6103" w:type="dxa"/>
            <w:gridSpan w:val="2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/>
        </w:tc>
        <w:tc>
          <w:tcPr>
            <w:tcW w:w="40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65529F">
            <w:pPr>
              <w:pStyle w:val="Standard"/>
              <w:jc w:val="center"/>
            </w:pPr>
            <w:r>
              <w:t>1,2</w:t>
            </w:r>
          </w:p>
        </w:tc>
      </w:tr>
      <w:tr w:rsidR="0093168E" w:rsidTr="0093168E">
        <w:trPr>
          <w:trHeight w:val="626"/>
        </w:trPr>
        <w:tc>
          <w:tcPr>
            <w:tcW w:w="3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Mokiniai</w:t>
            </w:r>
            <w:r w:rsidR="0065529F">
              <w:rPr>
                <w:b/>
                <w:bCs/>
                <w:lang w:val="lt-LT" w:eastAsia="lt-LT"/>
              </w:rPr>
              <w:t>,</w:t>
            </w:r>
            <w:r>
              <w:rPr>
                <w:b/>
                <w:bCs/>
                <w:lang w:val="lt-LT" w:eastAsia="lt-LT"/>
              </w:rPr>
              <w:t xml:space="preserve"> gaunantys nemokamą</w:t>
            </w:r>
          </w:p>
          <w:p w:rsidR="0093168E" w:rsidRDefault="0093168E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maitinimą</w:t>
            </w:r>
          </w:p>
        </w:tc>
        <w:tc>
          <w:tcPr>
            <w:tcW w:w="3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</w:t>
            </w:r>
          </w:p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skaičius</w:t>
            </w:r>
          </w:p>
        </w:tc>
        <w:tc>
          <w:tcPr>
            <w:tcW w:w="2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</w:t>
            </w:r>
          </w:p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 skaičiaus</w:t>
            </w:r>
          </w:p>
        </w:tc>
      </w:tr>
      <w:tr w:rsidR="0093168E" w:rsidTr="0065529F">
        <w:trPr>
          <w:trHeight w:val="55"/>
        </w:trPr>
        <w:tc>
          <w:tcPr>
            <w:tcW w:w="38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/>
        </w:tc>
        <w:tc>
          <w:tcPr>
            <w:tcW w:w="37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64</w:t>
            </w:r>
          </w:p>
        </w:tc>
        <w:tc>
          <w:tcPr>
            <w:tcW w:w="2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3168E" w:rsidRDefault="0093168E" w:rsidP="0065529F">
            <w:pPr>
              <w:pStyle w:val="Standard"/>
              <w:jc w:val="center"/>
            </w:pPr>
            <w:r>
              <w:t>54</w:t>
            </w:r>
          </w:p>
        </w:tc>
      </w:tr>
    </w:tbl>
    <w:p w:rsidR="004A7128" w:rsidRDefault="004A7128" w:rsidP="004A7128">
      <w:pPr>
        <w:pStyle w:val="Standard"/>
        <w:rPr>
          <w:lang w:val="lt-LT" w:eastAsia="lt-LT"/>
        </w:rPr>
      </w:pPr>
    </w:p>
    <w:tbl>
      <w:tblPr>
        <w:tblW w:w="10161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3"/>
        <w:gridCol w:w="3678"/>
        <w:gridCol w:w="3940"/>
      </w:tblGrid>
      <w:tr w:rsidR="004A7128" w:rsidTr="0065529F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Mokykloje</w:t>
            </w:r>
          </w:p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Už mokyklos ribų</w:t>
            </w:r>
          </w:p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4A7128" w:rsidTr="0065529F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D43B1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81</w:t>
            </w:r>
          </w:p>
        </w:tc>
        <w:tc>
          <w:tcPr>
            <w:tcW w:w="39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D43B1F">
            <w:pPr>
              <w:pStyle w:val="Standard"/>
              <w:jc w:val="center"/>
            </w:pPr>
            <w:r>
              <w:t>30</w:t>
            </w:r>
          </w:p>
        </w:tc>
      </w:tr>
    </w:tbl>
    <w:p w:rsidR="004A7128" w:rsidRDefault="004A7128" w:rsidP="004A7128">
      <w:pPr>
        <w:pStyle w:val="Standard"/>
        <w:jc w:val="both"/>
        <w:rPr>
          <w:lang w:val="lt-LT" w:eastAsia="lt-LT"/>
        </w:rPr>
      </w:pPr>
    </w:p>
    <w:p w:rsidR="004A7128" w:rsidRDefault="004A7128" w:rsidP="004A7128">
      <w:pPr>
        <w:pStyle w:val="Standard"/>
        <w:jc w:val="both"/>
      </w:pPr>
      <w:r w:rsidRPr="00A027EB">
        <w:rPr>
          <w:b/>
          <w:lang w:val="lt-LT" w:eastAsia="lt-LT"/>
        </w:rPr>
        <w:t xml:space="preserve">Dalyvavimas </w:t>
      </w:r>
      <w:r w:rsidRPr="00A027EB">
        <w:rPr>
          <w:b/>
          <w:bCs/>
          <w:lang w:val="lt-LT" w:eastAsia="lt-LT"/>
        </w:rPr>
        <w:t>renginiuose</w:t>
      </w:r>
      <w:r>
        <w:rPr>
          <w:bCs/>
          <w:lang w:val="lt-LT" w:eastAsia="lt-LT"/>
        </w:rPr>
        <w:t>:</w:t>
      </w:r>
    </w:p>
    <w:tbl>
      <w:tblPr>
        <w:tblW w:w="10169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1461"/>
        <w:gridCol w:w="1544"/>
        <w:gridCol w:w="1337"/>
        <w:gridCol w:w="1500"/>
        <w:gridCol w:w="1341"/>
      </w:tblGrid>
      <w:tr w:rsidR="004A7128" w:rsidTr="0065529F">
        <w:tc>
          <w:tcPr>
            <w:tcW w:w="4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Rajono (miesto)</w:t>
            </w: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Šalies</w:t>
            </w:r>
          </w:p>
        </w:tc>
        <w:tc>
          <w:tcPr>
            <w:tcW w:w="2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  <w:lang w:val="lt-LT" w:eastAsia="lt-LT"/>
              </w:rPr>
              <w:t>Tarptautiniuose</w:t>
            </w:r>
          </w:p>
        </w:tc>
      </w:tr>
      <w:tr w:rsidR="004A7128" w:rsidTr="0065529F">
        <w:trPr>
          <w:trHeight w:val="975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Dalyvavusių</w:t>
            </w:r>
          </w:p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mokinių</w:t>
            </w:r>
          </w:p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Dalyvavusių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mokinių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Dalyvavusių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mokinių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skaičius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4A7128" w:rsidRDefault="004A7128" w:rsidP="0065529F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</w:tr>
      <w:tr w:rsidR="004A7128" w:rsidTr="0065529F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8016F8" w:rsidP="0065529F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Sporto varžybos </w:t>
            </w:r>
            <w:r w:rsidR="00564565">
              <w:rPr>
                <w:lang w:val="lt-LT" w:eastAsia="lt-LT"/>
              </w:rPr>
              <w:t>–</w:t>
            </w:r>
            <w:r>
              <w:rPr>
                <w:lang w:val="lt-LT" w:eastAsia="lt-LT"/>
              </w:rPr>
              <w:t xml:space="preserve"> 92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8016F8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13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38776F" w:rsidP="0038776F">
            <w:pPr>
              <w:pStyle w:val="Standard"/>
              <w:jc w:val="center"/>
            </w:pPr>
            <w:r>
              <w:t>-</w:t>
            </w:r>
          </w:p>
        </w:tc>
      </w:tr>
      <w:tr w:rsidR="008016F8" w:rsidTr="0065529F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564565" w:rsidP="0065529F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lastRenderedPageBreak/>
              <w:t xml:space="preserve">Dalykinės olimpiados, konkursai </w:t>
            </w:r>
            <w:r w:rsidR="0038776F">
              <w:rPr>
                <w:lang w:val="lt-LT" w:eastAsia="lt-LT"/>
              </w:rPr>
              <w:t>–</w:t>
            </w:r>
            <w:r w:rsidR="009D1004">
              <w:rPr>
                <w:lang w:val="lt-LT" w:eastAsia="lt-LT"/>
              </w:rPr>
              <w:t xml:space="preserve"> 106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564565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9D100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23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9D100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16F8" w:rsidRDefault="0038776F" w:rsidP="0038776F">
            <w:pPr>
              <w:pStyle w:val="Standard"/>
              <w:jc w:val="center"/>
            </w:pPr>
            <w:r>
              <w:t>-</w:t>
            </w:r>
          </w:p>
        </w:tc>
      </w:tr>
      <w:tr w:rsidR="00564565" w:rsidTr="0065529F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93168E" w:rsidP="0065529F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>Kiti renginiai –</w:t>
            </w:r>
            <w:r w:rsidR="00564565">
              <w:rPr>
                <w:lang w:val="lt-LT" w:eastAsia="lt-LT"/>
              </w:rPr>
              <w:t xml:space="preserve"> </w:t>
            </w:r>
            <w:r w:rsidR="0038776F">
              <w:rPr>
                <w:lang w:val="lt-LT" w:eastAsia="lt-LT"/>
              </w:rPr>
              <w:t>91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38776F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194FBA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194FBA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38776F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4565" w:rsidRDefault="0038776F" w:rsidP="0038776F">
            <w:pPr>
              <w:pStyle w:val="Standard"/>
              <w:jc w:val="center"/>
            </w:pPr>
            <w:r>
              <w:t>-</w:t>
            </w:r>
          </w:p>
        </w:tc>
      </w:tr>
    </w:tbl>
    <w:p w:rsidR="004A7128" w:rsidRDefault="004A7128" w:rsidP="004A7128">
      <w:pPr>
        <w:pStyle w:val="Standard"/>
        <w:ind w:left="360"/>
        <w:rPr>
          <w:b/>
        </w:rPr>
      </w:pPr>
    </w:p>
    <w:tbl>
      <w:tblPr>
        <w:tblW w:w="10200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9"/>
        <w:gridCol w:w="1095"/>
        <w:gridCol w:w="1303"/>
        <w:gridCol w:w="1475"/>
        <w:gridCol w:w="1598"/>
        <w:gridCol w:w="1475"/>
        <w:gridCol w:w="1365"/>
      </w:tblGrid>
      <w:tr w:rsidR="004A7128" w:rsidTr="0065529F"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both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Projektai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Socialiniai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shd w:val="clear" w:color="auto" w:fill="FFFFFF"/>
                <w:lang w:val="lt-LT" w:eastAsia="lt-LT"/>
              </w:rPr>
            </w:pPr>
            <w:r>
              <w:rPr>
                <w:shd w:val="clear" w:color="auto" w:fill="FFFFFF"/>
                <w:lang w:val="lt-LT" w:eastAsia="lt-LT"/>
              </w:rPr>
              <w:t>Prevenciniai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Mokomieji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Bendruomenės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Tarptautiniai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Kiti</w:t>
            </w:r>
          </w:p>
        </w:tc>
      </w:tr>
      <w:tr w:rsidR="004A7128" w:rsidTr="0065529F"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Pr="00781506" w:rsidRDefault="004A7128" w:rsidP="009749C1">
            <w:pPr>
              <w:pStyle w:val="Standard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 w:eastAsia="lt-LT"/>
              </w:rPr>
              <w:t>Vykdytų projektų skaičius ir</w:t>
            </w:r>
            <w:r w:rsidR="0065529F">
              <w:rPr>
                <w:b/>
                <w:bCs/>
                <w:lang w:val="lt-LT" w:eastAsia="lt-LT"/>
              </w:rPr>
              <w:t xml:space="preserve"> </w:t>
            </w:r>
            <w:r>
              <w:rPr>
                <w:b/>
                <w:bCs/>
                <w:lang w:val="lt-LT" w:eastAsia="lt-LT"/>
              </w:rPr>
              <w:t>dalyvavusių mokinių skaičius (proc. nuo bendro mokinių skaičiaus)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38776F">
            <w:pPr>
              <w:pStyle w:val="Standard"/>
              <w:jc w:val="center"/>
              <w:rPr>
                <w:bCs/>
                <w:lang w:val="lt-LT"/>
              </w:rPr>
            </w:pP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Cs/>
                <w:lang w:val="lt-LT"/>
              </w:rPr>
            </w:pP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lang w:val="lt-LT" w:eastAsia="lt-LT"/>
              </w:rPr>
            </w:pP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lang w:val="lt-LT" w:eastAsia="lt-LT"/>
              </w:rPr>
            </w:pP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Pr="00781506" w:rsidRDefault="004A7128" w:rsidP="0065529F">
            <w:pPr>
              <w:pStyle w:val="Standard"/>
              <w:rPr>
                <w:lang w:val="lt-LT"/>
              </w:rPr>
            </w:pPr>
          </w:p>
        </w:tc>
      </w:tr>
      <w:tr w:rsidR="004A7128" w:rsidTr="0065529F"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65529F">
            <w:pPr>
              <w:pStyle w:val="Standard"/>
              <w:jc w:val="both"/>
              <w:rPr>
                <w:lang w:val="lt-LT" w:eastAsia="lt-LT"/>
              </w:rPr>
            </w:pPr>
            <w:r w:rsidRPr="002B7ACD">
              <w:rPr>
                <w:color w:val="auto"/>
                <w:lang w:val="lt-LT" w:eastAsia="lt-LT"/>
              </w:rPr>
              <w:t>10</w:t>
            </w:r>
            <w:r w:rsidR="0065529F" w:rsidRPr="002B7ACD">
              <w:rPr>
                <w:color w:val="auto"/>
                <w:lang w:val="lt-LT" w:eastAsia="lt-LT"/>
              </w:rPr>
              <w:t xml:space="preserve"> </w:t>
            </w:r>
            <w:r w:rsidRPr="002B7ACD">
              <w:rPr>
                <w:color w:val="auto"/>
                <w:lang w:val="lt-LT" w:eastAsia="lt-LT"/>
              </w:rPr>
              <w:t xml:space="preserve">/ 94 </w:t>
            </w:r>
            <w:r w:rsidR="00B16BA9" w:rsidRPr="002B7ACD">
              <w:rPr>
                <w:color w:val="auto"/>
                <w:lang w:val="lt-LT" w:eastAsia="lt-LT"/>
              </w:rPr>
              <w:t>/ 86</w:t>
            </w:r>
          </w:p>
        </w:tc>
        <w:tc>
          <w:tcPr>
            <w:tcW w:w="1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194FBA" w:rsidP="00194FBA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Pr="00781506" w:rsidRDefault="00194FBA" w:rsidP="00194FBA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467DD6" w:rsidRDefault="00467DD6" w:rsidP="004A7128">
      <w:pPr>
        <w:pStyle w:val="Standard"/>
        <w:rPr>
          <w:b/>
          <w:bCs/>
          <w:lang w:val="lt-LT"/>
        </w:rPr>
      </w:pPr>
    </w:p>
    <w:tbl>
      <w:tblPr>
        <w:tblW w:w="10192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1386"/>
        <w:gridCol w:w="1351"/>
        <w:gridCol w:w="4556"/>
      </w:tblGrid>
      <w:tr w:rsidR="004A7128" w:rsidTr="00CF5CBC"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Mokinių, turinčių specialiųjų ugdymosi poreikių, skaičius</w:t>
            </w:r>
          </w:p>
        </w:tc>
        <w:tc>
          <w:tcPr>
            <w:tcW w:w="72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4A7128" w:rsidTr="00CF5CBC">
        <w:trPr>
          <w:trHeight w:val="285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/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Didelių poreikių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Vidutinių poreikių</w:t>
            </w:r>
          </w:p>
        </w:tc>
        <w:tc>
          <w:tcPr>
            <w:tcW w:w="4556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Nedidelių poreikių  </w:t>
            </w:r>
          </w:p>
        </w:tc>
      </w:tr>
      <w:tr w:rsidR="004A7128" w:rsidTr="0055499A">
        <w:trPr>
          <w:trHeight w:val="340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4A7128" w:rsidP="0065529F"/>
        </w:tc>
        <w:tc>
          <w:tcPr>
            <w:tcW w:w="1386" w:type="dxa"/>
            <w:tcBorders>
              <w:top w:val="single" w:sz="4" w:space="0" w:color="00000A"/>
              <w:left w:val="single" w:sz="4" w:space="0" w:color="000001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455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7128" w:rsidRDefault="00D43B1F" w:rsidP="0065529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25</w:t>
            </w:r>
          </w:p>
        </w:tc>
      </w:tr>
    </w:tbl>
    <w:p w:rsidR="00DC17CA" w:rsidRDefault="00DC17CA" w:rsidP="004A7128">
      <w:pPr>
        <w:pStyle w:val="Standard"/>
        <w:jc w:val="both"/>
        <w:rPr>
          <w:b/>
          <w:bCs/>
          <w:lang w:val="lt-LT"/>
        </w:rPr>
      </w:pPr>
    </w:p>
    <w:p w:rsidR="00934FC1" w:rsidRDefault="001D3831" w:rsidP="00934FC1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Didelis dėmesys skiria</w:t>
      </w:r>
      <w:r w:rsidR="00DC17CA">
        <w:rPr>
          <w:lang w:val="lt-LT"/>
        </w:rPr>
        <w:t>mas specialiųjų ugdymosi poreikių mokinių</w:t>
      </w:r>
      <w:r>
        <w:rPr>
          <w:lang w:val="lt-LT"/>
        </w:rPr>
        <w:t xml:space="preserve"> įtraukimui į mokyklos bendruomenės gyvenimą. Mokiniai aktyviai dalyvauja mokykloje organizuojam</w:t>
      </w:r>
      <w:r w:rsidR="00AB78F8">
        <w:rPr>
          <w:lang w:val="lt-LT"/>
        </w:rPr>
        <w:t>u</w:t>
      </w:r>
      <w:r>
        <w:rPr>
          <w:lang w:val="lt-LT"/>
        </w:rPr>
        <w:t>ose renginiuose, rajon</w:t>
      </w:r>
      <w:r w:rsidR="00075368">
        <w:rPr>
          <w:lang w:val="lt-LT"/>
        </w:rPr>
        <w:t>o</w:t>
      </w:r>
      <w:r>
        <w:rPr>
          <w:lang w:val="lt-LT"/>
        </w:rPr>
        <w:t xml:space="preserve"> ir </w:t>
      </w:r>
      <w:r w:rsidR="00075368">
        <w:rPr>
          <w:lang w:val="lt-LT"/>
        </w:rPr>
        <w:t>šalies</w:t>
      </w:r>
      <w:r>
        <w:rPr>
          <w:lang w:val="lt-LT"/>
        </w:rPr>
        <w:t xml:space="preserve"> konkursuose. </w:t>
      </w:r>
      <w:r w:rsidR="00075368">
        <w:rPr>
          <w:lang w:val="lt-LT"/>
        </w:rPr>
        <w:t>1</w:t>
      </w:r>
      <w:r>
        <w:rPr>
          <w:lang w:val="lt-LT"/>
        </w:rPr>
        <w:t xml:space="preserve"> mokinys</w:t>
      </w:r>
      <w:r w:rsidR="00075368">
        <w:rPr>
          <w:lang w:val="lt-LT"/>
        </w:rPr>
        <w:t xml:space="preserve"> šalies</w:t>
      </w:r>
      <w:r>
        <w:rPr>
          <w:lang w:val="lt-LT"/>
        </w:rPr>
        <w:t xml:space="preserve"> konkurse „Seku, seku, pasaką“ užėmė II vietą. Didelė problema – tėvų abejingumas. Galbūt dėl to vaikams labai trūksta motyvacijos siekiant geresnių rezultatų.</w:t>
      </w:r>
      <w:r w:rsidR="00EF7D72">
        <w:rPr>
          <w:lang w:val="lt-LT"/>
        </w:rPr>
        <w:t xml:space="preserve"> Nemenkas iššūkis – mokiniai</w:t>
      </w:r>
      <w:r w:rsidR="00075368">
        <w:rPr>
          <w:lang w:val="lt-LT"/>
        </w:rPr>
        <w:t>,</w:t>
      </w:r>
      <w:r w:rsidR="00EF7D72">
        <w:rPr>
          <w:lang w:val="lt-LT"/>
        </w:rPr>
        <w:t xml:space="preserve"> turintys didelių specifinių specialiųj</w:t>
      </w:r>
      <w:r w:rsidR="00DC17CA">
        <w:rPr>
          <w:lang w:val="lt-LT"/>
        </w:rPr>
        <w:t>ų poreikių. Jų skaičius</w:t>
      </w:r>
      <w:r w:rsidR="00EF7D72">
        <w:rPr>
          <w:lang w:val="lt-LT"/>
        </w:rPr>
        <w:t xml:space="preserve"> </w:t>
      </w:r>
      <w:r w:rsidR="00075368">
        <w:rPr>
          <w:lang w:val="lt-LT"/>
        </w:rPr>
        <w:t>didėj</w:t>
      </w:r>
      <w:r w:rsidR="00EF7D72">
        <w:rPr>
          <w:lang w:val="lt-LT"/>
        </w:rPr>
        <w:t>a. Susiduriama su mokytojų kvalifikacijos problema.</w:t>
      </w:r>
    </w:p>
    <w:p w:rsidR="001D3831" w:rsidRDefault="00934FC1" w:rsidP="00934FC1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M</w:t>
      </w:r>
      <w:bookmarkStart w:id="0" w:name="_GoBack"/>
      <w:bookmarkEnd w:id="0"/>
      <w:r w:rsidR="001D3831">
        <w:rPr>
          <w:lang w:val="lt-LT"/>
        </w:rPr>
        <w:t>ažėja mokykloje ugdomų gabių</w:t>
      </w:r>
      <w:r w:rsidR="00EF6037">
        <w:rPr>
          <w:lang w:val="lt-LT"/>
        </w:rPr>
        <w:t xml:space="preserve"> ir talentingų vaikų. Nepaisant to, stengiamasi aktyviai dalyvauti </w:t>
      </w:r>
      <w:r w:rsidR="00075368">
        <w:rPr>
          <w:lang w:val="lt-LT"/>
        </w:rPr>
        <w:t xml:space="preserve">„Kengūros“, </w:t>
      </w:r>
      <w:r w:rsidR="00EF6037">
        <w:rPr>
          <w:lang w:val="lt-LT"/>
        </w:rPr>
        <w:t>rajon</w:t>
      </w:r>
      <w:r w:rsidR="00075368">
        <w:rPr>
          <w:lang w:val="lt-LT"/>
        </w:rPr>
        <w:t>o</w:t>
      </w:r>
      <w:r w:rsidR="00EF6037">
        <w:rPr>
          <w:lang w:val="lt-LT"/>
        </w:rPr>
        <w:t xml:space="preserve"> dalykinėse olimpiadose</w:t>
      </w:r>
      <w:r w:rsidR="00075368">
        <w:rPr>
          <w:lang w:val="lt-LT"/>
        </w:rPr>
        <w:t xml:space="preserve"> (</w:t>
      </w:r>
      <w:r w:rsidR="00EF6037">
        <w:rPr>
          <w:lang w:val="lt-LT"/>
        </w:rPr>
        <w:t>dalyvavo 12 mokinių, užimtos 3 prizinės vietos</w:t>
      </w:r>
      <w:r w:rsidR="00075368">
        <w:rPr>
          <w:lang w:val="lt-LT"/>
        </w:rPr>
        <w:t>)</w:t>
      </w:r>
      <w:r w:rsidR="00EF6037">
        <w:rPr>
          <w:lang w:val="lt-LT"/>
        </w:rPr>
        <w:t xml:space="preserve">. </w:t>
      </w:r>
      <w:r w:rsidR="00075368">
        <w:rPr>
          <w:lang w:val="lt-LT"/>
        </w:rPr>
        <w:t>Šalies</w:t>
      </w:r>
      <w:r w:rsidR="00EF6037">
        <w:rPr>
          <w:lang w:val="lt-LT"/>
        </w:rPr>
        <w:t xml:space="preserve"> matematikos olimpiadoje dalyvavo 1 mokinys.</w:t>
      </w:r>
      <w:r w:rsidR="00EF7D72">
        <w:rPr>
          <w:lang w:val="lt-LT"/>
        </w:rPr>
        <w:t xml:space="preserve"> Gabių vaikų potencialius gebėjimus stengiamasi stiprinti per neformalųjį švietimą, panaudoti organizuojant mokyklos bendruomenės renginius.</w:t>
      </w:r>
    </w:p>
    <w:p w:rsidR="00EF7D72" w:rsidRDefault="00EF7D72" w:rsidP="004A7128">
      <w:pPr>
        <w:pStyle w:val="Standard"/>
        <w:jc w:val="both"/>
        <w:rPr>
          <w:lang w:val="lt-LT"/>
        </w:rPr>
      </w:pPr>
    </w:p>
    <w:p w:rsidR="004A7128" w:rsidRPr="00934FC1" w:rsidRDefault="00934FC1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III. PEDAGOGAI</w:t>
      </w:r>
    </w:p>
    <w:p w:rsidR="004A7128" w:rsidRDefault="00CB0024" w:rsidP="0093168E">
      <w:pPr>
        <w:pStyle w:val="Standard"/>
        <w:ind w:left="-142"/>
        <w:jc w:val="both"/>
        <w:rPr>
          <w:bCs/>
          <w:lang w:val="lt-LT"/>
        </w:rPr>
      </w:pPr>
      <w:r>
        <w:rPr>
          <w:bCs/>
          <w:lang w:val="lt-LT"/>
        </w:rPr>
        <w:t>Daugėjant vaikų, turinčių didelių specialiųjų</w:t>
      </w:r>
      <w:r w:rsidR="00AB78F8">
        <w:rPr>
          <w:bCs/>
          <w:lang w:val="lt-LT"/>
        </w:rPr>
        <w:t xml:space="preserve"> ugdymosi</w:t>
      </w:r>
      <w:r>
        <w:rPr>
          <w:bCs/>
          <w:lang w:val="lt-LT"/>
        </w:rPr>
        <w:t xml:space="preserve"> poreikių</w:t>
      </w:r>
      <w:r w:rsidR="00AB78F8">
        <w:rPr>
          <w:bCs/>
          <w:lang w:val="lt-LT"/>
        </w:rPr>
        <w:t>, vienu</w:t>
      </w:r>
      <w:r>
        <w:rPr>
          <w:bCs/>
          <w:lang w:val="lt-LT"/>
        </w:rPr>
        <w:t xml:space="preserve"> iš pedagogų kvalifikacijos tobulinimo prioritetų tapo specialiųjų ugdymo poreikių vaikų pažinimas i</w:t>
      </w:r>
      <w:r w:rsidR="00A45C5D">
        <w:rPr>
          <w:bCs/>
          <w:lang w:val="lt-LT"/>
        </w:rPr>
        <w:t xml:space="preserve">r ugdymas. </w:t>
      </w:r>
      <w:r w:rsidR="00075368">
        <w:rPr>
          <w:bCs/>
          <w:lang w:val="lt-LT"/>
        </w:rPr>
        <w:t>M</w:t>
      </w:r>
      <w:r w:rsidR="00A45C5D">
        <w:rPr>
          <w:bCs/>
          <w:lang w:val="lt-LT"/>
        </w:rPr>
        <w:t xml:space="preserve">okyklos veiklos </w:t>
      </w:r>
      <w:r w:rsidR="00075368">
        <w:rPr>
          <w:bCs/>
          <w:lang w:val="lt-LT"/>
        </w:rPr>
        <w:t xml:space="preserve">kokybės </w:t>
      </w:r>
      <w:r w:rsidR="00A45C5D">
        <w:rPr>
          <w:bCs/>
          <w:lang w:val="lt-LT"/>
        </w:rPr>
        <w:t>įsivertinimo išvadose pateikta rekomendacija tobulinti mokyklos ir tėvų bendradarbiavimą</w:t>
      </w:r>
      <w:r w:rsidR="00E96BDE">
        <w:rPr>
          <w:bCs/>
          <w:lang w:val="lt-LT"/>
        </w:rPr>
        <w:t>, todėl didesnis dėmesys skiriamas tobulinant tėvų įtraukimo į ugdymo procesą gebėji</w:t>
      </w:r>
      <w:r w:rsidR="00AB78F8">
        <w:rPr>
          <w:bCs/>
          <w:lang w:val="lt-LT"/>
        </w:rPr>
        <w:t xml:space="preserve">mus. </w:t>
      </w:r>
      <w:r w:rsidR="00075368">
        <w:rPr>
          <w:bCs/>
          <w:lang w:val="lt-LT"/>
        </w:rPr>
        <w:t>M</w:t>
      </w:r>
      <w:r w:rsidR="00E96BDE">
        <w:rPr>
          <w:bCs/>
          <w:lang w:val="lt-LT"/>
        </w:rPr>
        <w:t xml:space="preserve">okytojai vedė </w:t>
      </w:r>
      <w:r w:rsidR="00075368">
        <w:rPr>
          <w:bCs/>
          <w:lang w:val="lt-LT"/>
        </w:rPr>
        <w:t>du</w:t>
      </w:r>
      <w:r w:rsidR="00E96BDE">
        <w:rPr>
          <w:bCs/>
          <w:lang w:val="lt-LT"/>
        </w:rPr>
        <w:t xml:space="preserve"> seminarus rajono </w:t>
      </w:r>
      <w:r w:rsidR="00075368">
        <w:rPr>
          <w:bCs/>
          <w:lang w:val="lt-LT"/>
        </w:rPr>
        <w:t>mastu</w:t>
      </w:r>
      <w:r w:rsidR="00E96BDE">
        <w:rPr>
          <w:bCs/>
          <w:lang w:val="lt-LT"/>
        </w:rPr>
        <w:t xml:space="preserve">, dar </w:t>
      </w:r>
      <w:r w:rsidR="00075368">
        <w:rPr>
          <w:bCs/>
          <w:lang w:val="lt-LT"/>
        </w:rPr>
        <w:t>2</w:t>
      </w:r>
      <w:r w:rsidR="00E96BDE">
        <w:rPr>
          <w:bCs/>
          <w:lang w:val="lt-LT"/>
        </w:rPr>
        <w:t xml:space="preserve"> mokytojai (8</w:t>
      </w:r>
      <w:r w:rsidR="00075368">
        <w:rPr>
          <w:bCs/>
          <w:lang w:val="lt-LT"/>
        </w:rPr>
        <w:t xml:space="preserve"> </w:t>
      </w:r>
      <w:r w:rsidR="00934FC1">
        <w:rPr>
          <w:bCs/>
          <w:lang w:val="lt-LT"/>
        </w:rPr>
        <w:t>proc.</w:t>
      </w:r>
      <w:r w:rsidR="00E96BDE">
        <w:rPr>
          <w:bCs/>
          <w:lang w:val="lt-LT"/>
        </w:rPr>
        <w:t>) dalyvavo šalies ir tarptautiniuose projektuose.</w:t>
      </w:r>
    </w:p>
    <w:p w:rsidR="00E96BDE" w:rsidRDefault="00E96BDE" w:rsidP="004A7128">
      <w:pPr>
        <w:pStyle w:val="Standard"/>
        <w:jc w:val="both"/>
        <w:rPr>
          <w:bCs/>
          <w:lang w:val="lt-LT"/>
        </w:rPr>
      </w:pPr>
    </w:p>
    <w:p w:rsidR="00456F88" w:rsidRDefault="004A7128" w:rsidP="00934FC1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IV. FINANSAVIMAS</w:t>
      </w:r>
    </w:p>
    <w:p w:rsidR="00A027EB" w:rsidRPr="00934FC1" w:rsidRDefault="00456F88" w:rsidP="00934FC1">
      <w:pPr>
        <w:pStyle w:val="Pagrindinistekstas2"/>
        <w:ind w:left="-142"/>
      </w:pPr>
      <w:r>
        <w:rPr>
          <w:color w:val="00000A"/>
        </w:rPr>
        <w:t xml:space="preserve">2016 m. pabaigoje </w:t>
      </w:r>
      <w:r w:rsidR="002C280E">
        <w:rPr>
          <w:color w:val="00000A"/>
        </w:rPr>
        <w:t xml:space="preserve">savivaldybės biudžeto lėšų trūko dėl MMA padidėjimo, o mokinio krepšelio lėšų neužteko dėl tebesitęsiančio išeitinių išmokų mokėjimo po </w:t>
      </w:r>
      <w:proofErr w:type="spellStart"/>
      <w:r w:rsidR="002C280E">
        <w:rPr>
          <w:color w:val="00000A"/>
        </w:rPr>
        <w:t>Kurganavos</w:t>
      </w:r>
      <w:proofErr w:type="spellEnd"/>
      <w:r w:rsidR="002C280E">
        <w:rPr>
          <w:color w:val="00000A"/>
        </w:rPr>
        <w:t xml:space="preserve"> skyriaus prijungimo. Trūks</w:t>
      </w:r>
      <w:r w:rsidR="008460C7">
        <w:rPr>
          <w:color w:val="00000A"/>
        </w:rPr>
        <w:t>tamos lėšos skirtos papildo</w:t>
      </w:r>
      <w:r w:rsidR="002C280E">
        <w:rPr>
          <w:color w:val="00000A"/>
        </w:rPr>
        <w:t xml:space="preserve">mai. </w:t>
      </w:r>
      <w:r w:rsidR="00075368">
        <w:rPr>
          <w:color w:val="00000A"/>
        </w:rPr>
        <w:t>G</w:t>
      </w:r>
      <w:r w:rsidR="00AB78F8">
        <w:rPr>
          <w:color w:val="00000A"/>
        </w:rPr>
        <w:t xml:space="preserve">auta 709,42 </w:t>
      </w:r>
      <w:proofErr w:type="spellStart"/>
      <w:r w:rsidR="00AB78F8">
        <w:rPr>
          <w:color w:val="00000A"/>
        </w:rPr>
        <w:t>Eur</w:t>
      </w:r>
      <w:proofErr w:type="spellEnd"/>
      <w:r>
        <w:rPr>
          <w:color w:val="00000A"/>
        </w:rPr>
        <w:t xml:space="preserve"> 2</w:t>
      </w:r>
      <w:r w:rsidR="00075368">
        <w:rPr>
          <w:color w:val="00000A"/>
        </w:rPr>
        <w:t xml:space="preserve"> </w:t>
      </w:r>
      <w:r w:rsidR="00934FC1">
        <w:rPr>
          <w:color w:val="00000A"/>
        </w:rPr>
        <w:t>proc.</w:t>
      </w:r>
      <w:r>
        <w:rPr>
          <w:color w:val="00000A"/>
        </w:rPr>
        <w:t xml:space="preserve"> paramos lėšų. </w:t>
      </w:r>
      <w:r w:rsidR="00075368">
        <w:rPr>
          <w:color w:val="00000A"/>
        </w:rPr>
        <w:t>Didžiąją dalį paramos lėšų sudaro m</w:t>
      </w:r>
      <w:r w:rsidR="00934FC1">
        <w:rPr>
          <w:color w:val="00000A"/>
        </w:rPr>
        <w:t>okyklos darbuotojų pervedami 2 proc.</w:t>
      </w:r>
      <w:r w:rsidR="00075368">
        <w:rPr>
          <w:color w:val="00000A"/>
        </w:rPr>
        <w:t xml:space="preserve"> pajamų mokesčio. </w:t>
      </w:r>
      <w:r>
        <w:rPr>
          <w:color w:val="00000A"/>
        </w:rPr>
        <w:t>Mokyklos Darbo tvarkos taisyklės reglamentuo</w:t>
      </w:r>
      <w:r w:rsidR="00075368">
        <w:rPr>
          <w:color w:val="00000A"/>
        </w:rPr>
        <w:t>t</w:t>
      </w:r>
      <w:r>
        <w:rPr>
          <w:color w:val="00000A"/>
        </w:rPr>
        <w:t>a, kad šios lėšos naudojamos mokini</w:t>
      </w:r>
      <w:r w:rsidR="00075368">
        <w:rPr>
          <w:color w:val="00000A"/>
        </w:rPr>
        <w:t>ams</w:t>
      </w:r>
      <w:r>
        <w:rPr>
          <w:color w:val="00000A"/>
        </w:rPr>
        <w:t xml:space="preserve"> skatin</w:t>
      </w:r>
      <w:r w:rsidR="00075368">
        <w:rPr>
          <w:color w:val="00000A"/>
        </w:rPr>
        <w:t>t</w:t>
      </w:r>
      <w:r>
        <w:rPr>
          <w:color w:val="00000A"/>
        </w:rPr>
        <w:t xml:space="preserve">i </w:t>
      </w:r>
      <w:r w:rsidR="00A31B75">
        <w:rPr>
          <w:color w:val="00000A"/>
        </w:rPr>
        <w:t>ir pažintinei veiklai</w:t>
      </w:r>
      <w:r>
        <w:rPr>
          <w:color w:val="00000A"/>
        </w:rPr>
        <w:t xml:space="preserve"> finansuoti. </w:t>
      </w:r>
      <w:r w:rsidR="00A31B75">
        <w:rPr>
          <w:color w:val="00000A"/>
        </w:rPr>
        <w:t>MK lėšos paž</w:t>
      </w:r>
      <w:r w:rsidR="00AB78F8">
        <w:rPr>
          <w:color w:val="00000A"/>
        </w:rPr>
        <w:t xml:space="preserve">intinei veiklai neviršija 3 </w:t>
      </w:r>
      <w:proofErr w:type="spellStart"/>
      <w:r w:rsidR="00AB78F8">
        <w:rPr>
          <w:color w:val="00000A"/>
        </w:rPr>
        <w:t>Eur</w:t>
      </w:r>
      <w:proofErr w:type="spellEnd"/>
      <w:r w:rsidR="00A31B75">
        <w:rPr>
          <w:color w:val="00000A"/>
        </w:rPr>
        <w:t xml:space="preserve"> vienam mokiniui. </w:t>
      </w:r>
      <w:r w:rsidR="00075368">
        <w:rPr>
          <w:color w:val="00000A"/>
        </w:rPr>
        <w:t>K</w:t>
      </w:r>
      <w:r w:rsidR="00A31B75">
        <w:rPr>
          <w:color w:val="00000A"/>
        </w:rPr>
        <w:t>iekvienam mokiniui iš paramos lėšų skirta papildoma</w:t>
      </w:r>
      <w:r w:rsidR="00AB78F8">
        <w:rPr>
          <w:color w:val="00000A"/>
        </w:rPr>
        <w:t xml:space="preserve">i 3 </w:t>
      </w:r>
      <w:proofErr w:type="spellStart"/>
      <w:r w:rsidR="00AB78F8">
        <w:rPr>
          <w:color w:val="00000A"/>
        </w:rPr>
        <w:t>Eur</w:t>
      </w:r>
      <w:proofErr w:type="spellEnd"/>
      <w:r w:rsidR="00A31B75">
        <w:rPr>
          <w:color w:val="00000A"/>
        </w:rPr>
        <w:t xml:space="preserve"> pažintinėms, eduka</w:t>
      </w:r>
      <w:r w:rsidR="00AB78F8">
        <w:rPr>
          <w:color w:val="00000A"/>
        </w:rPr>
        <w:t xml:space="preserve">cinėms išvykoms. 128 </w:t>
      </w:r>
      <w:proofErr w:type="spellStart"/>
      <w:r w:rsidR="00AB78F8">
        <w:rPr>
          <w:color w:val="00000A"/>
        </w:rPr>
        <w:t>Eur</w:t>
      </w:r>
      <w:proofErr w:type="spellEnd"/>
      <w:r w:rsidR="00AB78F8">
        <w:rPr>
          <w:color w:val="00000A"/>
        </w:rPr>
        <w:t xml:space="preserve"> skirti</w:t>
      </w:r>
      <w:r w:rsidR="00A31B75">
        <w:rPr>
          <w:color w:val="00000A"/>
        </w:rPr>
        <w:t xml:space="preserve"> mokini</w:t>
      </w:r>
      <w:r w:rsidR="00075368">
        <w:rPr>
          <w:color w:val="00000A"/>
        </w:rPr>
        <w:t>ams</w:t>
      </w:r>
      <w:r w:rsidR="00A31B75">
        <w:rPr>
          <w:color w:val="00000A"/>
        </w:rPr>
        <w:t xml:space="preserve"> skatin</w:t>
      </w:r>
      <w:r w:rsidR="00075368">
        <w:rPr>
          <w:color w:val="00000A"/>
        </w:rPr>
        <w:t>t</w:t>
      </w:r>
      <w:r w:rsidR="00934FC1">
        <w:rPr>
          <w:color w:val="00000A"/>
        </w:rPr>
        <w:t>i (prizams, dovanėlėms).</w:t>
      </w:r>
    </w:p>
    <w:p w:rsidR="004A7128" w:rsidRDefault="004A7128" w:rsidP="00934FC1">
      <w:pPr>
        <w:pStyle w:val="Standard"/>
        <w:jc w:val="center"/>
        <w:rPr>
          <w:b/>
          <w:lang w:val="lt-LT"/>
        </w:rPr>
      </w:pPr>
      <w:r>
        <w:rPr>
          <w:b/>
          <w:lang w:val="lt-LT"/>
        </w:rPr>
        <w:t>V. INFORMACIJA APIE MOKINIŲ VEIKLOS REZULTATUS</w:t>
      </w:r>
    </w:p>
    <w:p w:rsidR="002833B7" w:rsidRPr="002833B7" w:rsidRDefault="00A20DD0" w:rsidP="0093168E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2015 m. tarptautinio tyrimo TIMSS rezultat</w:t>
      </w:r>
      <w:r w:rsidR="00075368">
        <w:rPr>
          <w:lang w:val="lt-LT"/>
        </w:rPr>
        <w:t>ai</w:t>
      </w:r>
      <w:r>
        <w:rPr>
          <w:lang w:val="lt-LT"/>
        </w:rPr>
        <w:t>: g</w:t>
      </w:r>
      <w:r w:rsidR="002833B7">
        <w:rPr>
          <w:lang w:val="lt-LT"/>
        </w:rPr>
        <w:t>amtos mokslų srityje 8 kl. mokinių pasiekimai viršija šalies vidurkį (šalies 46</w:t>
      </w:r>
      <w:r w:rsidR="00075368"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2833B7">
        <w:rPr>
          <w:lang w:val="lt-LT"/>
        </w:rPr>
        <w:t>, mokyklos 49,4</w:t>
      </w:r>
      <w:r w:rsidR="00075368">
        <w:rPr>
          <w:lang w:val="lt-LT"/>
        </w:rPr>
        <w:t xml:space="preserve"> </w:t>
      </w:r>
      <w:r w:rsidR="00934FC1">
        <w:rPr>
          <w:lang w:val="lt-LT"/>
        </w:rPr>
        <w:t>proc.</w:t>
      </w:r>
      <w:r>
        <w:rPr>
          <w:lang w:val="lt-LT"/>
        </w:rPr>
        <w:t>), m</w:t>
      </w:r>
      <w:r w:rsidR="002833B7">
        <w:rPr>
          <w:lang w:val="lt-LT"/>
        </w:rPr>
        <w:t>atematikos srityje nereikšmingai atsiliekama nuo šalies vidurkio (šalies 43</w:t>
      </w:r>
      <w:r w:rsidR="00075368"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2833B7">
        <w:rPr>
          <w:lang w:val="lt-LT"/>
        </w:rPr>
        <w:t>, mokyklos 42,3</w:t>
      </w:r>
      <w:r w:rsidR="00075368"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2833B7">
        <w:rPr>
          <w:lang w:val="lt-LT"/>
        </w:rPr>
        <w:t>).</w:t>
      </w:r>
    </w:p>
    <w:p w:rsidR="004A7128" w:rsidRDefault="0069785F" w:rsidP="00934FC1">
      <w:pPr>
        <w:pStyle w:val="Standard"/>
        <w:ind w:left="-142"/>
        <w:jc w:val="both"/>
        <w:rPr>
          <w:lang w:val="lt-LT"/>
        </w:rPr>
      </w:pPr>
      <w:r w:rsidRPr="00934FC1">
        <w:rPr>
          <w:lang w:val="lt-LT"/>
        </w:rPr>
        <w:t xml:space="preserve">PUPP </w:t>
      </w:r>
      <w:r w:rsidR="00934FC1">
        <w:rPr>
          <w:lang w:val="lt-LT"/>
        </w:rPr>
        <w:t>m</w:t>
      </w:r>
      <w:r>
        <w:rPr>
          <w:lang w:val="lt-LT"/>
        </w:rPr>
        <w:t>atematikos pasiekimai atitinka šalies gimnazijų vidurkį ir nežymiai atsilieka nuo šalies didmiesčių mokyklų vidurkio. Lietuvių k</w:t>
      </w:r>
      <w:r w:rsidR="00075368">
        <w:rPr>
          <w:lang w:val="lt-LT"/>
        </w:rPr>
        <w:t>albos</w:t>
      </w:r>
      <w:r>
        <w:rPr>
          <w:lang w:val="lt-LT"/>
        </w:rPr>
        <w:t xml:space="preserve"> pasiekimai viršija gimnazijų ir šalies didmiesčių mokyklų pasiekimų vidurkį. </w:t>
      </w:r>
      <w:r w:rsidR="00075368">
        <w:rPr>
          <w:lang w:val="lt-LT"/>
        </w:rPr>
        <w:t>Mokykla p</w:t>
      </w:r>
      <w:r>
        <w:rPr>
          <w:lang w:val="lt-LT"/>
        </w:rPr>
        <w:t>atenka į mokyklų grupę</w:t>
      </w:r>
      <w:r w:rsidR="00AB78F8">
        <w:rPr>
          <w:lang w:val="lt-LT"/>
        </w:rPr>
        <w:t>,</w:t>
      </w:r>
      <w:r>
        <w:rPr>
          <w:lang w:val="lt-LT"/>
        </w:rPr>
        <w:t xml:space="preserve"> kurioje yra aukšti ir matematikos</w:t>
      </w:r>
      <w:r w:rsidR="00D166D3">
        <w:rPr>
          <w:lang w:val="lt-LT"/>
        </w:rPr>
        <w:t>,</w:t>
      </w:r>
      <w:r>
        <w:rPr>
          <w:lang w:val="lt-LT"/>
        </w:rPr>
        <w:t xml:space="preserve"> ir lietuvių kalbos pasiekimai.</w:t>
      </w:r>
    </w:p>
    <w:p w:rsidR="000F00F0" w:rsidRDefault="00075368" w:rsidP="0093168E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N</w:t>
      </w:r>
      <w:r w:rsidR="00934FC1">
        <w:rPr>
          <w:lang w:val="lt-LT"/>
        </w:rPr>
        <w:t>umatytą užsienio kalbos lygį</w:t>
      </w:r>
      <w:r w:rsidR="000F00F0">
        <w:rPr>
          <w:lang w:val="lt-LT"/>
        </w:rPr>
        <w:t xml:space="preserve"> pasiekia 100</w:t>
      </w:r>
      <w:r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0F00F0">
        <w:rPr>
          <w:lang w:val="lt-LT"/>
        </w:rPr>
        <w:t xml:space="preserve"> mokinių (</w:t>
      </w:r>
      <w:r>
        <w:rPr>
          <w:lang w:val="lt-LT"/>
        </w:rPr>
        <w:t>šalie</w:t>
      </w:r>
      <w:r w:rsidR="00934FC1">
        <w:rPr>
          <w:lang w:val="lt-LT"/>
        </w:rPr>
        <w:t xml:space="preserve">s vidurkis </w:t>
      </w:r>
      <w:r w:rsidR="000F00F0">
        <w:rPr>
          <w:lang w:val="lt-LT"/>
        </w:rPr>
        <w:t>74</w:t>
      </w:r>
      <w:r>
        <w:rPr>
          <w:lang w:val="lt-LT"/>
        </w:rPr>
        <w:t xml:space="preserve"> </w:t>
      </w:r>
      <w:r w:rsidR="00934FC1">
        <w:rPr>
          <w:lang w:val="lt-LT"/>
        </w:rPr>
        <w:t>proc.</w:t>
      </w:r>
      <w:r w:rsidR="000F00F0">
        <w:rPr>
          <w:lang w:val="lt-LT"/>
        </w:rPr>
        <w:t>)</w:t>
      </w:r>
      <w:r>
        <w:rPr>
          <w:lang w:val="lt-LT"/>
        </w:rPr>
        <w:t>.</w:t>
      </w:r>
    </w:p>
    <w:p w:rsidR="00934FC1" w:rsidRPr="00934FC1" w:rsidRDefault="000F00F0" w:rsidP="00934FC1">
      <w:pPr>
        <w:pStyle w:val="Standard"/>
        <w:ind w:left="-142"/>
        <w:jc w:val="both"/>
        <w:rPr>
          <w:b/>
          <w:lang w:val="lt-LT"/>
        </w:rPr>
      </w:pPr>
      <w:r>
        <w:rPr>
          <w:lang w:val="lt-LT"/>
        </w:rPr>
        <w:lastRenderedPageBreak/>
        <w:t>4 kl</w:t>
      </w:r>
      <w:r w:rsidR="00934FC1">
        <w:rPr>
          <w:lang w:val="lt-LT"/>
        </w:rPr>
        <w:t>.</w:t>
      </w:r>
      <w:r w:rsidR="00F46202">
        <w:rPr>
          <w:lang w:val="lt-LT"/>
        </w:rPr>
        <w:t xml:space="preserve"> mokinių matematikos</w:t>
      </w:r>
      <w:r>
        <w:rPr>
          <w:lang w:val="lt-LT"/>
        </w:rPr>
        <w:t xml:space="preserve"> pasiekimai viršija visų tipų mokyklų pasiekimus.</w:t>
      </w:r>
      <w:r w:rsidR="00075368">
        <w:rPr>
          <w:lang w:val="lt-LT"/>
        </w:rPr>
        <w:t xml:space="preserve"> </w:t>
      </w:r>
      <w:r>
        <w:rPr>
          <w:lang w:val="lt-LT"/>
        </w:rPr>
        <w:t>6 kl. rašymo pasiekimai reikšmingai viršija visų tipų mokyklų pasiekimus.</w:t>
      </w:r>
      <w:r w:rsidR="00075368">
        <w:rPr>
          <w:lang w:val="lt-LT"/>
        </w:rPr>
        <w:t xml:space="preserve"> </w:t>
      </w:r>
      <w:r w:rsidR="00F46202">
        <w:rPr>
          <w:lang w:val="lt-LT"/>
        </w:rPr>
        <w:t>8 k</w:t>
      </w:r>
      <w:r>
        <w:rPr>
          <w:lang w:val="lt-LT"/>
        </w:rPr>
        <w:t>l. mokinių skaitymo, rašymo, gamtos mokslų ir socialinių mokslų pasiekimai gerokai (keliolika procentų) viršija visų tipų mokyklų pasiekimus.</w:t>
      </w:r>
      <w:r w:rsidR="00934FC1">
        <w:rPr>
          <w:b/>
          <w:lang w:val="lt-LT"/>
        </w:rPr>
        <w:t xml:space="preserve"> </w:t>
      </w:r>
      <w:r w:rsidR="00934FC1" w:rsidRPr="002833B7">
        <w:rPr>
          <w:lang w:val="lt-LT"/>
        </w:rPr>
        <w:t xml:space="preserve">Kaupiama informacija </w:t>
      </w:r>
      <w:r w:rsidR="00934FC1" w:rsidRPr="009A7D2B">
        <w:rPr>
          <w:lang w:val="lt-LT"/>
        </w:rPr>
        <w:t>apie m</w:t>
      </w:r>
      <w:r w:rsidR="00934FC1" w:rsidRPr="00A51F0F">
        <w:rPr>
          <w:lang w:val="lt-LT"/>
        </w:rPr>
        <w:t>etin</w:t>
      </w:r>
      <w:r w:rsidR="00934FC1">
        <w:rPr>
          <w:lang w:val="lt-LT"/>
        </w:rPr>
        <w:t>iu</w:t>
      </w:r>
      <w:r w:rsidR="00934FC1" w:rsidRPr="00A51F0F">
        <w:rPr>
          <w:lang w:val="lt-LT"/>
        </w:rPr>
        <w:t>s, pusmečių pa</w:t>
      </w:r>
      <w:r w:rsidR="00934FC1" w:rsidRPr="009A7D2B">
        <w:rPr>
          <w:lang w:val="lt-LT"/>
        </w:rPr>
        <w:t>siekimus</w:t>
      </w:r>
      <w:r w:rsidR="00934FC1" w:rsidRPr="00A51F0F">
        <w:rPr>
          <w:lang w:val="lt-LT"/>
        </w:rPr>
        <w:t xml:space="preserve"> bei lankomum</w:t>
      </w:r>
      <w:r w:rsidR="00934FC1" w:rsidRPr="009A7D2B">
        <w:rPr>
          <w:lang w:val="lt-LT"/>
        </w:rPr>
        <w:t>ą,</w:t>
      </w:r>
      <w:r w:rsidR="00934FC1" w:rsidRPr="00A51F0F">
        <w:rPr>
          <w:lang w:val="lt-LT"/>
        </w:rPr>
        <w:t xml:space="preserve"> </w:t>
      </w:r>
      <w:r w:rsidR="00934FC1" w:rsidRPr="002833B7">
        <w:rPr>
          <w:lang w:val="lt-LT"/>
        </w:rPr>
        <w:t>naudojama</w:t>
      </w:r>
      <w:r w:rsidR="00934FC1">
        <w:rPr>
          <w:lang w:val="lt-LT"/>
        </w:rPr>
        <w:t xml:space="preserve"> tėvams informuoti apie mokyklos veiklą, vaiko individualią pažangą, ugdymo turiniui planuoti ir pagalbos mokiniui teikimui organizuoti.</w:t>
      </w:r>
    </w:p>
    <w:p w:rsidR="002833B7" w:rsidRDefault="002833B7" w:rsidP="002833B7">
      <w:pPr>
        <w:pStyle w:val="Standard"/>
        <w:jc w:val="both"/>
        <w:rPr>
          <w:b/>
          <w:lang w:val="lt-LT"/>
        </w:rPr>
      </w:pPr>
    </w:p>
    <w:p w:rsidR="0093168E" w:rsidRPr="00CB596D" w:rsidRDefault="00CB596D" w:rsidP="00934FC1">
      <w:pPr>
        <w:pStyle w:val="Standard"/>
        <w:jc w:val="center"/>
        <w:rPr>
          <w:b/>
          <w:lang w:val="lt-LT"/>
        </w:rPr>
      </w:pPr>
      <w:r w:rsidRPr="00CB596D">
        <w:rPr>
          <w:b/>
          <w:lang w:val="lt-LT"/>
        </w:rPr>
        <w:t xml:space="preserve">VI. </w:t>
      </w:r>
      <w:r w:rsidR="00E96BDE" w:rsidRPr="00CB596D">
        <w:rPr>
          <w:b/>
          <w:lang w:val="lt-LT"/>
        </w:rPr>
        <w:t>PROBLEMOS, SUSIJUSIOS SU</w:t>
      </w:r>
      <w:r w:rsidRPr="00CB596D">
        <w:rPr>
          <w:b/>
          <w:lang w:val="lt-LT"/>
        </w:rPr>
        <w:t xml:space="preserve"> ĮSTAIGOS VEIKLA, IR VADOVO SIŪLOMI JŲ SPRENDIMO BŪDAI</w:t>
      </w:r>
    </w:p>
    <w:p w:rsidR="00A027EB" w:rsidRDefault="00CB596D" w:rsidP="00A027EB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 xml:space="preserve">Didelė problema po reorganizacijos iš </w:t>
      </w:r>
      <w:proofErr w:type="spellStart"/>
      <w:r>
        <w:rPr>
          <w:lang w:val="lt-LT"/>
        </w:rPr>
        <w:t>Kurganavos</w:t>
      </w:r>
      <w:proofErr w:type="spellEnd"/>
      <w:r>
        <w:rPr>
          <w:lang w:val="lt-LT"/>
        </w:rPr>
        <w:t xml:space="preserve"> pagrindinės mokyklos perimto autobuso techninė būklė. Nuo 2015 m. rugsėjo 1 d. iki 2016 m. gruodžio 31</w:t>
      </w:r>
      <w:r w:rsidR="00AB78F8">
        <w:rPr>
          <w:lang w:val="lt-LT"/>
        </w:rPr>
        <w:t xml:space="preserve"> d. jo remo</w:t>
      </w:r>
      <w:r w:rsidR="0093168E">
        <w:rPr>
          <w:lang w:val="lt-LT"/>
        </w:rPr>
        <w:t xml:space="preserve">ntui išleista </w:t>
      </w:r>
      <w:r w:rsidR="00A20DD0">
        <w:rPr>
          <w:lang w:val="lt-LT"/>
        </w:rPr>
        <w:t>per</w:t>
      </w:r>
      <w:r w:rsidR="00A20DD0">
        <w:rPr>
          <w:lang w:val="lt-LT"/>
        </w:rPr>
        <w:br/>
        <w:t>7 000</w:t>
      </w:r>
      <w:r>
        <w:rPr>
          <w:lang w:val="lt-LT"/>
        </w:rPr>
        <w:t xml:space="preserve"> </w:t>
      </w:r>
      <w:proofErr w:type="spellStart"/>
      <w:r>
        <w:rPr>
          <w:lang w:val="lt-LT"/>
        </w:rPr>
        <w:t>Eur</w:t>
      </w:r>
      <w:proofErr w:type="spellEnd"/>
      <w:r>
        <w:rPr>
          <w:lang w:val="lt-LT"/>
        </w:rPr>
        <w:t xml:space="preserve">. Negana to, remontuojant autobusą visiškai sutrinka ugdymo procesas – vienu autobusu mokinių atvežimas ir parvežimas užtrunka daugiau kaip 2,5 val. Panevėžio rajono savivaldybės </w:t>
      </w:r>
      <w:r w:rsidR="00AB78F8">
        <w:rPr>
          <w:lang w:val="lt-LT"/>
        </w:rPr>
        <w:t>administracija apie šią problemą</w:t>
      </w:r>
      <w:r>
        <w:rPr>
          <w:lang w:val="lt-LT"/>
        </w:rPr>
        <w:t xml:space="preserve"> informuota raštu 2017 m. kovo 14 d.</w:t>
      </w:r>
    </w:p>
    <w:p w:rsidR="00A027EB" w:rsidRDefault="00A027EB" w:rsidP="00A027EB">
      <w:pPr>
        <w:pStyle w:val="Standard"/>
        <w:ind w:left="-142"/>
        <w:jc w:val="both"/>
        <w:rPr>
          <w:lang w:val="lt-LT"/>
        </w:rPr>
      </w:pPr>
    </w:p>
    <w:p w:rsidR="00A027EB" w:rsidRDefault="00A027EB" w:rsidP="00A027EB">
      <w:pPr>
        <w:pStyle w:val="Standard"/>
        <w:ind w:left="-142"/>
        <w:jc w:val="both"/>
        <w:rPr>
          <w:lang w:val="lt-LT"/>
        </w:rPr>
      </w:pPr>
    </w:p>
    <w:p w:rsidR="00C77222" w:rsidRPr="0093168E" w:rsidRDefault="004A7128" w:rsidP="00A027EB">
      <w:pPr>
        <w:pStyle w:val="Standard"/>
        <w:ind w:left="-142"/>
        <w:jc w:val="both"/>
        <w:rPr>
          <w:lang w:val="lt-LT"/>
        </w:rPr>
      </w:pPr>
      <w:r>
        <w:rPr>
          <w:lang w:val="lt-LT"/>
        </w:rPr>
        <w:t>Mokyklos direktorius</w:t>
      </w:r>
      <w:r w:rsidR="00D166D3">
        <w:rPr>
          <w:lang w:val="lt-LT"/>
        </w:rPr>
        <w:t xml:space="preserve">                                                                   </w:t>
      </w:r>
      <w:r w:rsidR="00156E0D">
        <w:rPr>
          <w:lang w:val="lt-LT"/>
        </w:rPr>
        <w:t xml:space="preserve">                    </w:t>
      </w:r>
      <w:r w:rsidR="00D166D3">
        <w:rPr>
          <w:lang w:val="lt-LT"/>
        </w:rPr>
        <w:t xml:space="preserve">  Rimantas Gailiūnas</w:t>
      </w:r>
    </w:p>
    <w:sectPr w:rsidR="00C77222" w:rsidRPr="0093168E" w:rsidSect="0093168E">
      <w:footerReference w:type="default" r:id="rId7"/>
      <w:pgSz w:w="11906" w:h="16838"/>
      <w:pgMar w:top="284" w:right="567" w:bottom="0" w:left="1560" w:header="142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9CD" w:rsidRDefault="00C569CD" w:rsidP="00F10773">
      <w:pPr>
        <w:spacing w:after="0" w:line="240" w:lineRule="auto"/>
      </w:pPr>
      <w:r>
        <w:separator/>
      </w:r>
    </w:p>
  </w:endnote>
  <w:endnote w:type="continuationSeparator" w:id="0">
    <w:p w:rsidR="00C569CD" w:rsidRDefault="00C569CD" w:rsidP="00F1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29F" w:rsidRDefault="0065529F">
    <w:pPr>
      <w:pStyle w:val="Porat"/>
      <w:jc w:val="center"/>
    </w:pPr>
  </w:p>
  <w:p w:rsidR="0065529F" w:rsidRDefault="0065529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9CD" w:rsidRDefault="00C569CD" w:rsidP="00F10773">
      <w:pPr>
        <w:spacing w:after="0" w:line="240" w:lineRule="auto"/>
      </w:pPr>
      <w:r>
        <w:separator/>
      </w:r>
    </w:p>
  </w:footnote>
  <w:footnote w:type="continuationSeparator" w:id="0">
    <w:p w:rsidR="00C569CD" w:rsidRDefault="00C569CD" w:rsidP="00F10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28"/>
    <w:rsid w:val="00021973"/>
    <w:rsid w:val="00057CC3"/>
    <w:rsid w:val="00075368"/>
    <w:rsid w:val="000D132B"/>
    <w:rsid w:val="000F00F0"/>
    <w:rsid w:val="00156E0D"/>
    <w:rsid w:val="00185CF9"/>
    <w:rsid w:val="00194FBA"/>
    <w:rsid w:val="001D3831"/>
    <w:rsid w:val="001F08DC"/>
    <w:rsid w:val="002833B7"/>
    <w:rsid w:val="002B7ACD"/>
    <w:rsid w:val="002C280E"/>
    <w:rsid w:val="002F2BAA"/>
    <w:rsid w:val="00332E9B"/>
    <w:rsid w:val="0037414C"/>
    <w:rsid w:val="0038621C"/>
    <w:rsid w:val="0038776F"/>
    <w:rsid w:val="003D58E7"/>
    <w:rsid w:val="00451A72"/>
    <w:rsid w:val="00456F88"/>
    <w:rsid w:val="00467DD6"/>
    <w:rsid w:val="00495872"/>
    <w:rsid w:val="004A7128"/>
    <w:rsid w:val="004D76E4"/>
    <w:rsid w:val="00515419"/>
    <w:rsid w:val="0055499A"/>
    <w:rsid w:val="00562F28"/>
    <w:rsid w:val="00564565"/>
    <w:rsid w:val="005924A3"/>
    <w:rsid w:val="00596D79"/>
    <w:rsid w:val="00612F03"/>
    <w:rsid w:val="006154C3"/>
    <w:rsid w:val="00643B29"/>
    <w:rsid w:val="0065529F"/>
    <w:rsid w:val="00681284"/>
    <w:rsid w:val="00681683"/>
    <w:rsid w:val="0069785F"/>
    <w:rsid w:val="006A5269"/>
    <w:rsid w:val="006F3599"/>
    <w:rsid w:val="00725AB9"/>
    <w:rsid w:val="00727003"/>
    <w:rsid w:val="007319DA"/>
    <w:rsid w:val="00762ECD"/>
    <w:rsid w:val="007B476F"/>
    <w:rsid w:val="007E691E"/>
    <w:rsid w:val="008016F8"/>
    <w:rsid w:val="008460C7"/>
    <w:rsid w:val="0093168E"/>
    <w:rsid w:val="00934FC1"/>
    <w:rsid w:val="00935FE5"/>
    <w:rsid w:val="009749C1"/>
    <w:rsid w:val="00982F3E"/>
    <w:rsid w:val="009D1004"/>
    <w:rsid w:val="00A027EB"/>
    <w:rsid w:val="00A20DD0"/>
    <w:rsid w:val="00A31B75"/>
    <w:rsid w:val="00A45C5D"/>
    <w:rsid w:val="00AB78F8"/>
    <w:rsid w:val="00AC1F48"/>
    <w:rsid w:val="00B02F25"/>
    <w:rsid w:val="00B16BA9"/>
    <w:rsid w:val="00B51B30"/>
    <w:rsid w:val="00B60223"/>
    <w:rsid w:val="00C569CD"/>
    <w:rsid w:val="00C77222"/>
    <w:rsid w:val="00CB0024"/>
    <w:rsid w:val="00CB596D"/>
    <w:rsid w:val="00CF5CBC"/>
    <w:rsid w:val="00D13A18"/>
    <w:rsid w:val="00D166D3"/>
    <w:rsid w:val="00D43B1F"/>
    <w:rsid w:val="00D47594"/>
    <w:rsid w:val="00D7277B"/>
    <w:rsid w:val="00D9048F"/>
    <w:rsid w:val="00DC17CA"/>
    <w:rsid w:val="00E00C32"/>
    <w:rsid w:val="00E0192B"/>
    <w:rsid w:val="00E72AF2"/>
    <w:rsid w:val="00E95ECC"/>
    <w:rsid w:val="00E96BDE"/>
    <w:rsid w:val="00EA105F"/>
    <w:rsid w:val="00EF6037"/>
    <w:rsid w:val="00EF7D72"/>
    <w:rsid w:val="00F10773"/>
    <w:rsid w:val="00F11063"/>
    <w:rsid w:val="00F45DC8"/>
    <w:rsid w:val="00F46202"/>
    <w:rsid w:val="00F841C3"/>
    <w:rsid w:val="00FB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7EA185-3B49-499F-8CF1-989E3ED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128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4A7128"/>
    <w:pPr>
      <w:suppressAutoHyphens/>
      <w:autoSpaceDN w:val="0"/>
      <w:textAlignment w:val="baseline"/>
    </w:pPr>
    <w:rPr>
      <w:rFonts w:eastAsia="Calibri" w:cs="Times New Roman"/>
      <w:color w:val="000000"/>
      <w:kern w:val="3"/>
      <w:szCs w:val="24"/>
      <w:lang w:val="en-GB" w:eastAsia="zh-CN"/>
    </w:rPr>
  </w:style>
  <w:style w:type="paragraph" w:styleId="Porat">
    <w:name w:val="footer"/>
    <w:basedOn w:val="Standard"/>
    <w:link w:val="PoratDiagrama"/>
    <w:uiPriority w:val="99"/>
    <w:rsid w:val="004A7128"/>
    <w:pPr>
      <w:suppressLineNumbers/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A7128"/>
    <w:rPr>
      <w:rFonts w:eastAsia="Calibri" w:cs="Times New Roman"/>
      <w:color w:val="000000"/>
      <w:kern w:val="3"/>
      <w:szCs w:val="24"/>
      <w:lang w:val="en-GB" w:eastAsia="zh-CN"/>
    </w:rPr>
  </w:style>
  <w:style w:type="paragraph" w:styleId="Pagrindinistekstas2">
    <w:name w:val="Body Text 2"/>
    <w:basedOn w:val="Standard"/>
    <w:link w:val="Pagrindinistekstas2Diagrama"/>
    <w:rsid w:val="004A7128"/>
    <w:pPr>
      <w:jc w:val="both"/>
    </w:pPr>
    <w:rPr>
      <w:color w:val="FF000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A7128"/>
    <w:rPr>
      <w:rFonts w:eastAsia="Calibri" w:cs="Times New Roman"/>
      <w:color w:val="FF0000"/>
      <w:kern w:val="3"/>
      <w:szCs w:val="24"/>
      <w:lang w:eastAsia="zh-CN"/>
    </w:rPr>
  </w:style>
  <w:style w:type="table" w:styleId="Lentelstinklelis">
    <w:name w:val="Table Grid"/>
    <w:basedOn w:val="prastojilentel"/>
    <w:uiPriority w:val="59"/>
    <w:rsid w:val="00EA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107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0773"/>
    <w:rPr>
      <w:rFonts w:ascii="Calibri" w:eastAsia="SimSun" w:hAnsi="Calibri" w:cs="Tahoma"/>
      <w:kern w:val="3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5CF9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C2563-DAE6-44C1-8F2F-00336FAF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6263</Words>
  <Characters>3571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Birute Goberiene</cp:lastModifiedBy>
  <cp:revision>7</cp:revision>
  <cp:lastPrinted>2017-04-19T10:32:00Z</cp:lastPrinted>
  <dcterms:created xsi:type="dcterms:W3CDTF">2017-04-20T10:07:00Z</dcterms:created>
  <dcterms:modified xsi:type="dcterms:W3CDTF">2017-04-24T07:05:00Z</dcterms:modified>
</cp:coreProperties>
</file>