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74" w:rsidRDefault="009C7AE9" w:rsidP="00FA7836">
      <w:pPr>
        <w:pStyle w:val="Standard"/>
        <w:jc w:val="center"/>
        <w:rPr>
          <w:b/>
          <w:bCs/>
          <w:lang w:val="lt-LT"/>
        </w:rPr>
      </w:pPr>
      <w:r>
        <w:rPr>
          <w:b/>
          <w:lang w:val="lt-LT"/>
        </w:rPr>
        <w:t>PANEVĖŽIO R. KREKENAVOS MYKOLO ANTANAIČIO GIMNAZIJOS</w:t>
      </w:r>
      <w:r w:rsidR="00D53E08">
        <w:rPr>
          <w:b/>
          <w:lang w:val="lt-LT"/>
        </w:rPr>
        <w:t xml:space="preserve"> </w:t>
      </w:r>
      <w:r w:rsidR="002918E3">
        <w:rPr>
          <w:b/>
          <w:lang w:val="lt-LT"/>
        </w:rPr>
        <w:t xml:space="preserve">DIREKTORIAUS VAIDO POCIAUS </w:t>
      </w:r>
      <w:r>
        <w:rPr>
          <w:b/>
          <w:bCs/>
          <w:lang w:val="lt-LT"/>
        </w:rPr>
        <w:t xml:space="preserve">2016 METŲ </w:t>
      </w:r>
      <w:r w:rsidR="00FA7836">
        <w:rPr>
          <w:b/>
          <w:bCs/>
          <w:lang w:val="lt-LT"/>
        </w:rPr>
        <w:t xml:space="preserve">VEIKLOS </w:t>
      </w:r>
      <w:r>
        <w:rPr>
          <w:b/>
          <w:bCs/>
          <w:lang w:val="lt-LT"/>
        </w:rPr>
        <w:t>ATASKAITA</w:t>
      </w:r>
    </w:p>
    <w:p w:rsidR="00340974" w:rsidRDefault="00340974">
      <w:pPr>
        <w:pStyle w:val="Standard"/>
        <w:rPr>
          <w:lang w:val="lt-LT"/>
        </w:rPr>
      </w:pPr>
    </w:p>
    <w:p w:rsidR="00340974" w:rsidRDefault="009C7AE9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340974" w:rsidRPr="00EC51FC" w:rsidRDefault="009C7AE9" w:rsidP="00EC51FC">
      <w:pPr>
        <w:pStyle w:val="Standard"/>
        <w:ind w:firstLine="709"/>
        <w:jc w:val="both"/>
        <w:rPr>
          <w:b/>
          <w:lang w:val="lt-LT"/>
        </w:rPr>
      </w:pPr>
      <w:r>
        <w:rPr>
          <w:b/>
          <w:lang w:val="lt-LT"/>
        </w:rPr>
        <w:t>Mokyklos pristatymas.</w:t>
      </w:r>
      <w:r w:rsidR="00EC51FC">
        <w:rPr>
          <w:b/>
          <w:lang w:val="lt-LT"/>
        </w:rPr>
        <w:t xml:space="preserve"> </w:t>
      </w:r>
      <w:r>
        <w:rPr>
          <w:shd w:val="clear" w:color="auto" w:fill="FFFFFF"/>
          <w:lang w:val="lt-LT"/>
        </w:rPr>
        <w:t>Krekenavos Mykolo</w:t>
      </w:r>
      <w:r w:rsidR="00EC51FC">
        <w:rPr>
          <w:shd w:val="clear" w:color="auto" w:fill="FFFFFF"/>
          <w:lang w:val="lt-LT"/>
        </w:rPr>
        <w:t xml:space="preserve"> Antanaičio gimnazija,</w:t>
      </w:r>
      <w:r>
        <w:rPr>
          <w:lang w:val="lt-LT"/>
        </w:rPr>
        <w:t xml:space="preserve"> Krekenavos mstl., Laisvės g. 18; įstaigos kodas – 190397677; grupė – bendrojo ugdymo mokykla; tipas – gimnazija; vykdomos švietimo programos: pradinio ugdymo programa, pradinio ugdymo individualizuota programa, pagrindinio ugdymo programa, pagrindinio ugdymo individualizuota programa, vidurinio ugdymo programa.</w:t>
      </w:r>
    </w:p>
    <w:p w:rsidR="00340974" w:rsidRPr="00E04675" w:rsidRDefault="009C7AE9">
      <w:pPr>
        <w:pStyle w:val="Porat"/>
        <w:ind w:firstLine="709"/>
        <w:jc w:val="both"/>
        <w:rPr>
          <w:lang w:val="lt-LT"/>
        </w:rPr>
      </w:pPr>
      <w:r>
        <w:rPr>
          <w:shd w:val="clear" w:color="auto" w:fill="FFFFFF"/>
          <w:lang w:val="lt-LT"/>
        </w:rPr>
        <w:t xml:space="preserve">Gimnazijos direktoriaus </w:t>
      </w:r>
      <w:r>
        <w:rPr>
          <w:lang w:val="lt-LT"/>
        </w:rPr>
        <w:t xml:space="preserve">vadybinis darbo stažas </w:t>
      </w:r>
      <w:r w:rsidR="0007057E">
        <w:rPr>
          <w:shd w:val="clear" w:color="auto" w:fill="FFFFFF"/>
          <w:lang w:val="lt-LT"/>
        </w:rPr>
        <w:t>– 11 m.,</w:t>
      </w:r>
      <w:r>
        <w:rPr>
          <w:shd w:val="clear" w:color="auto" w:fill="FFFFFF"/>
          <w:lang w:val="lt-LT"/>
        </w:rPr>
        <w:t xml:space="preserve"> </w:t>
      </w:r>
      <w:r w:rsidR="00FA7836">
        <w:rPr>
          <w:shd w:val="clear" w:color="auto" w:fill="FFFFFF"/>
          <w:lang w:val="lt-LT"/>
        </w:rPr>
        <w:t xml:space="preserve">šioje mokykloje – </w:t>
      </w:r>
      <w:r w:rsidR="00F71A8D">
        <w:rPr>
          <w:shd w:val="clear" w:color="auto" w:fill="FFFFFF"/>
          <w:lang w:val="lt-LT"/>
        </w:rPr>
        <w:t>6</w:t>
      </w:r>
      <w:r w:rsidR="00FA7836">
        <w:rPr>
          <w:shd w:val="clear" w:color="auto" w:fill="FFFFFF"/>
          <w:lang w:val="lt-LT"/>
        </w:rPr>
        <w:t xml:space="preserve"> </w:t>
      </w:r>
      <w:r w:rsidR="00FA7836" w:rsidRPr="00F71A8D">
        <w:rPr>
          <w:color w:val="auto"/>
          <w:shd w:val="clear" w:color="auto" w:fill="FFFFFF"/>
          <w:lang w:val="lt-LT"/>
        </w:rPr>
        <w:t>metai,</w:t>
      </w:r>
      <w:r w:rsidR="00FA7836">
        <w:rPr>
          <w:shd w:val="clear" w:color="auto" w:fill="FFFFFF"/>
          <w:lang w:val="lt-LT"/>
        </w:rPr>
        <w:t xml:space="preserve"> antroji </w:t>
      </w:r>
      <w:r>
        <w:rPr>
          <w:shd w:val="clear" w:color="auto" w:fill="FFFFFF"/>
          <w:lang w:val="lt-LT"/>
        </w:rPr>
        <w:t>kvalifikacinė kategorija.</w:t>
      </w:r>
    </w:p>
    <w:p w:rsidR="00340974" w:rsidRDefault="009C7AE9">
      <w:pPr>
        <w:pStyle w:val="Standard"/>
        <w:ind w:firstLine="709"/>
        <w:jc w:val="both"/>
        <w:rPr>
          <w:lang w:val="lt-LT"/>
        </w:rPr>
      </w:pPr>
      <w:r w:rsidRPr="00D53E08">
        <w:rPr>
          <w:b/>
          <w:lang w:val="lt-LT"/>
        </w:rPr>
        <w:t>Darbuotojai</w:t>
      </w:r>
      <w:r>
        <w:rPr>
          <w:lang w:val="lt-LT"/>
        </w:rPr>
        <w:t>:</w:t>
      </w: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7797"/>
        <w:gridCol w:w="1275"/>
      </w:tblGrid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ind w:right="-108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2016-12-31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Bendras darbuotojų skaičius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69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Pedagoginių darbuotojų skaičius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jų: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340974">
            <w:pPr>
              <w:pStyle w:val="Standard"/>
              <w:jc w:val="center"/>
              <w:rPr>
                <w:lang w:val="lt-LT"/>
              </w:rPr>
            </w:pP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vadovų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mokytojų pagrindinėse pareigose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mokytojų nepagrindinėse pareigose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(psichologo asistentas,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 xml:space="preserve">. pedagogas, spec. pedagogas, logopedas, mokytojo padėjėjas, bibliotekininkas, bibliotekos vedėjas, neformaliojo švietimo organizatorius, pailgintos </w:t>
            </w:r>
            <w:r w:rsidRPr="00D53E08">
              <w:rPr>
                <w:color w:val="auto"/>
                <w:lang w:val="lt-LT"/>
              </w:rPr>
              <w:t>mok</w:t>
            </w:r>
            <w:r w:rsidR="002918E3" w:rsidRPr="00D53E08">
              <w:rPr>
                <w:color w:val="auto"/>
                <w:lang w:val="lt-LT"/>
              </w:rPr>
              <w:t>ymosi</w:t>
            </w:r>
            <w:r w:rsidRPr="00D53E08">
              <w:rPr>
                <w:color w:val="auto"/>
                <w:lang w:val="lt-LT"/>
              </w:rPr>
              <w:t xml:space="preserve"> gr</w:t>
            </w:r>
            <w:r w:rsidR="002918E3" w:rsidRPr="00D53E08">
              <w:rPr>
                <w:color w:val="auto"/>
                <w:lang w:val="lt-LT"/>
              </w:rPr>
              <w:t>upės</w:t>
            </w:r>
            <w:r w:rsidRPr="00D53E08">
              <w:rPr>
                <w:color w:val="auto"/>
                <w:lang w:val="lt-LT"/>
              </w:rPr>
              <w:t xml:space="preserve"> auklėtojas)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Atestuotų pedagoginių darbuotojų skaičius: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eksperto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 w:rsidP="0007057E">
            <w:pPr>
              <w:pStyle w:val="Standard"/>
              <w:jc w:val="center"/>
              <w:rPr>
                <w:lang w:val="lt-LT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kvalifikacinę kategoriją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340974" w:rsidTr="0007057E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 w:rsidP="0007057E">
            <w:pPr>
              <w:pStyle w:val="Standard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Neatestuotų pedagoginių darbuotojų skaičius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EC51FC" w:rsidRDefault="009C7AE9" w:rsidP="00EC51FC">
      <w:pPr>
        <w:pStyle w:val="Porat"/>
        <w:tabs>
          <w:tab w:val="left" w:pos="720"/>
        </w:tabs>
        <w:ind w:firstLine="709"/>
        <w:jc w:val="both"/>
        <w:rPr>
          <w:lang w:val="lt-LT"/>
        </w:rPr>
      </w:pPr>
      <w:r>
        <w:rPr>
          <w:b/>
          <w:bCs/>
          <w:shd w:val="clear" w:color="auto" w:fill="FFFFFF"/>
          <w:lang w:val="lt-LT"/>
        </w:rPr>
        <w:t>Gimnazijos direktoriaus vadybinės veiklos pasiekimai, sėkmės</w:t>
      </w:r>
    </w:p>
    <w:p w:rsidR="00340974" w:rsidRPr="00EC51FC" w:rsidRDefault="009C7AE9" w:rsidP="00EC51FC">
      <w:pPr>
        <w:pStyle w:val="Porat"/>
        <w:tabs>
          <w:tab w:val="left" w:pos="720"/>
        </w:tabs>
        <w:ind w:firstLine="709"/>
        <w:jc w:val="both"/>
        <w:rPr>
          <w:lang w:val="lt-LT"/>
        </w:rPr>
      </w:pPr>
      <w:r w:rsidRPr="00EC51FC">
        <w:t xml:space="preserve">Gera </w:t>
      </w:r>
      <w:proofErr w:type="spellStart"/>
      <w:r w:rsidRPr="00EC51FC">
        <w:t>ugdymo</w:t>
      </w:r>
      <w:proofErr w:type="spellEnd"/>
      <w:r w:rsidRPr="00EC51FC">
        <w:t xml:space="preserve"> </w:t>
      </w:r>
      <w:proofErr w:type="spellStart"/>
      <w:r w:rsidRPr="00EC51FC">
        <w:t>turinio</w:t>
      </w:r>
      <w:proofErr w:type="spellEnd"/>
      <w:r w:rsidRPr="00EC51FC">
        <w:t xml:space="preserve"> </w:t>
      </w:r>
      <w:proofErr w:type="spellStart"/>
      <w:r w:rsidRPr="00EC51FC">
        <w:t>vadyba</w:t>
      </w:r>
      <w:proofErr w:type="spellEnd"/>
      <w:r w:rsidR="00EC51FC">
        <w:t>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center" w:pos="0"/>
          <w:tab w:val="left" w:pos="851"/>
          <w:tab w:val="left" w:pos="1134"/>
        </w:tabs>
        <w:ind w:firstLine="709"/>
        <w:jc w:val="both"/>
      </w:pPr>
      <w:r>
        <w:rPr>
          <w:bCs/>
          <w:shd w:val="clear" w:color="auto" w:fill="FFFFFF"/>
          <w:lang w:val="lt-LT"/>
        </w:rPr>
        <w:t xml:space="preserve">Gimnazijos abiturientų </w:t>
      </w:r>
      <w:r w:rsidRPr="00D53E08">
        <w:rPr>
          <w:bCs/>
          <w:shd w:val="clear" w:color="auto" w:fill="FFFFFF"/>
          <w:lang w:val="lt-LT"/>
        </w:rPr>
        <w:t>valstybinių brandos egzaminų</w:t>
      </w:r>
      <w:r>
        <w:rPr>
          <w:bCs/>
          <w:shd w:val="clear" w:color="auto" w:fill="FFFFFF"/>
          <w:lang w:val="lt-LT"/>
        </w:rPr>
        <w:t xml:space="preserve"> rezultatai – geriausi Panevėžio rajone (išlaikymas – 100 proc.). Gabrielė </w:t>
      </w:r>
      <w:proofErr w:type="spellStart"/>
      <w:r>
        <w:rPr>
          <w:bCs/>
          <w:shd w:val="clear" w:color="auto" w:fill="FFFFFF"/>
          <w:lang w:val="lt-LT"/>
        </w:rPr>
        <w:t>Pleirytė</w:t>
      </w:r>
      <w:proofErr w:type="spellEnd"/>
      <w:r>
        <w:rPr>
          <w:bCs/>
          <w:shd w:val="clear" w:color="auto" w:fill="FFFFFF"/>
          <w:lang w:val="lt-LT"/>
        </w:rPr>
        <w:t xml:space="preserve"> – geriausia rajono abiturientė</w:t>
      </w:r>
      <w:r w:rsidR="00811069">
        <w:rPr>
          <w:bCs/>
          <w:shd w:val="clear" w:color="auto" w:fill="FFFFFF"/>
          <w:lang w:val="lt-LT"/>
        </w:rPr>
        <w:t>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center" w:pos="0"/>
          <w:tab w:val="left" w:pos="1134"/>
        </w:tabs>
        <w:ind w:firstLine="709"/>
        <w:jc w:val="both"/>
      </w:pPr>
      <w:r>
        <w:rPr>
          <w:bCs/>
          <w:shd w:val="clear" w:color="auto" w:fill="FFFFFF"/>
          <w:lang w:val="lt-LT"/>
        </w:rPr>
        <w:t xml:space="preserve">Gimnazijos 6 kl. mokiniai dalyvavo </w:t>
      </w:r>
      <w:r w:rsidRPr="00D53E08">
        <w:rPr>
          <w:bCs/>
          <w:shd w:val="clear" w:color="auto" w:fill="FFFFFF"/>
          <w:lang w:val="lt-LT"/>
        </w:rPr>
        <w:t>nacionaliniame mokinių pasiekimų tyrime</w:t>
      </w:r>
      <w:r>
        <w:rPr>
          <w:bCs/>
          <w:shd w:val="clear" w:color="auto" w:fill="FFFFFF"/>
          <w:lang w:val="lt-LT"/>
        </w:rPr>
        <w:t xml:space="preserve">: rašymas – </w:t>
      </w:r>
      <w:r w:rsidR="00EC51FC">
        <w:rPr>
          <w:bCs/>
          <w:shd w:val="clear" w:color="auto" w:fill="FFFFFF"/>
          <w:lang w:val="lt-LT"/>
        </w:rPr>
        <w:br/>
      </w:r>
      <w:r>
        <w:rPr>
          <w:bCs/>
          <w:shd w:val="clear" w:color="auto" w:fill="FFFFFF"/>
          <w:lang w:val="lt-LT"/>
        </w:rPr>
        <w:t>9,4 proc.; matematika – 6 proc.; skaitymas – 2 proc.</w:t>
      </w:r>
      <w:r w:rsidR="00811069" w:rsidRPr="00811069">
        <w:rPr>
          <w:bCs/>
          <w:shd w:val="clear" w:color="auto" w:fill="FFFFFF"/>
          <w:lang w:val="lt-LT"/>
        </w:rPr>
        <w:t xml:space="preserve"> </w:t>
      </w:r>
      <w:r w:rsidR="00811069">
        <w:rPr>
          <w:bCs/>
          <w:shd w:val="clear" w:color="auto" w:fill="FFFFFF"/>
          <w:lang w:val="lt-LT"/>
        </w:rPr>
        <w:t>(lenkia šalies mokinių pasiekimų vidurkį).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center" w:pos="0"/>
          <w:tab w:val="left" w:pos="851"/>
          <w:tab w:val="left" w:pos="1134"/>
        </w:tabs>
        <w:ind w:firstLine="709"/>
        <w:jc w:val="both"/>
      </w:pPr>
      <w:r>
        <w:rPr>
          <w:bCs/>
          <w:shd w:val="clear" w:color="auto" w:fill="FFFFFF"/>
          <w:lang w:val="lt-LT"/>
        </w:rPr>
        <w:t>Gimnazijos 4 ir 6 kl. mokinių</w:t>
      </w:r>
      <w:r>
        <w:rPr>
          <w:b/>
          <w:bCs/>
          <w:shd w:val="clear" w:color="auto" w:fill="FFFFFF"/>
          <w:lang w:val="lt-LT"/>
        </w:rPr>
        <w:t xml:space="preserve"> </w:t>
      </w:r>
      <w:r w:rsidRPr="00D53E08">
        <w:rPr>
          <w:bCs/>
          <w:shd w:val="clear" w:color="auto" w:fill="FFFFFF"/>
          <w:lang w:val="lt-LT"/>
        </w:rPr>
        <w:t>standartizuotų testų</w:t>
      </w:r>
      <w:r w:rsidRPr="00811069">
        <w:rPr>
          <w:b/>
          <w:bCs/>
          <w:shd w:val="clear" w:color="auto" w:fill="FFFFFF"/>
          <w:lang w:val="lt-LT"/>
        </w:rPr>
        <w:t xml:space="preserve"> </w:t>
      </w:r>
      <w:r w:rsidRPr="00811069">
        <w:rPr>
          <w:bCs/>
          <w:shd w:val="clear" w:color="auto" w:fill="FFFFFF"/>
          <w:lang w:val="lt-LT"/>
        </w:rPr>
        <w:t>(</w:t>
      </w:r>
      <w:r w:rsidRPr="00D53E08">
        <w:rPr>
          <w:bCs/>
          <w:shd w:val="clear" w:color="auto" w:fill="FFFFFF"/>
          <w:lang w:val="lt-LT"/>
        </w:rPr>
        <w:t>skaitymas</w:t>
      </w:r>
      <w:r>
        <w:rPr>
          <w:bCs/>
          <w:shd w:val="clear" w:color="auto" w:fill="FFFFFF"/>
          <w:lang w:val="lt-LT"/>
        </w:rPr>
        <w:t>, rašymas, socialiniai ir gamtos mokslai) rezultatai lenkia rajono ir šalies vidurk</w:t>
      </w:r>
      <w:r w:rsidR="00811069">
        <w:rPr>
          <w:bCs/>
          <w:shd w:val="clear" w:color="auto" w:fill="FFFFFF"/>
          <w:lang w:val="lt-LT"/>
        </w:rPr>
        <w:t>į</w:t>
      </w:r>
      <w:r>
        <w:rPr>
          <w:bCs/>
          <w:shd w:val="clear" w:color="auto" w:fill="FFFFFF"/>
          <w:lang w:val="lt-LT"/>
        </w:rPr>
        <w:t>.</w:t>
      </w:r>
    </w:p>
    <w:p w:rsidR="00EC51FC" w:rsidRDefault="009C7AE9" w:rsidP="00EC51FC">
      <w:pPr>
        <w:pStyle w:val="Porat"/>
        <w:tabs>
          <w:tab w:val="clear" w:pos="4153"/>
          <w:tab w:val="clear" w:pos="8306"/>
          <w:tab w:val="left" w:pos="-2487"/>
          <w:tab w:val="left" w:pos="0"/>
          <w:tab w:val="left" w:pos="851"/>
          <w:tab w:val="left" w:pos="993"/>
        </w:tabs>
        <w:ind w:firstLine="709"/>
        <w:jc w:val="both"/>
      </w:pPr>
      <w:r w:rsidRPr="00EC51FC">
        <w:rPr>
          <w:bCs/>
          <w:shd w:val="clear" w:color="auto" w:fill="FFFFFF"/>
          <w:lang w:val="lt-LT"/>
        </w:rPr>
        <w:t>Kritinės situacijos</w:t>
      </w:r>
      <w:r>
        <w:rPr>
          <w:bCs/>
          <w:shd w:val="clear" w:color="auto" w:fill="FFFFFF"/>
          <w:lang w:val="lt-LT"/>
        </w:rPr>
        <w:t xml:space="preserve"> – mokytojų streiko, kuris truko net 2 savaites, suvaldymas (ugdymo procesas streiko metu iš dalies vyko, vėliau ugdymas buvo intensyvinamas).</w:t>
      </w:r>
    </w:p>
    <w:p w:rsidR="00340974" w:rsidRDefault="009C7AE9" w:rsidP="00EC51FC">
      <w:pPr>
        <w:pStyle w:val="Porat"/>
        <w:tabs>
          <w:tab w:val="clear" w:pos="4153"/>
          <w:tab w:val="clear" w:pos="8306"/>
          <w:tab w:val="left" w:pos="-2487"/>
          <w:tab w:val="left" w:pos="0"/>
          <w:tab w:val="left" w:pos="851"/>
          <w:tab w:val="left" w:pos="993"/>
        </w:tabs>
        <w:ind w:firstLine="709"/>
        <w:jc w:val="both"/>
      </w:pPr>
      <w:r>
        <w:rPr>
          <w:bCs/>
          <w:shd w:val="clear" w:color="auto" w:fill="FFFFFF"/>
          <w:lang w:val="lt-LT"/>
        </w:rPr>
        <w:t xml:space="preserve">Gimnazijoje įkurtas </w:t>
      </w:r>
      <w:r w:rsidRPr="00EC51FC">
        <w:rPr>
          <w:bCs/>
          <w:shd w:val="clear" w:color="auto" w:fill="FFFFFF"/>
          <w:lang w:val="lt-LT"/>
        </w:rPr>
        <w:t>Vaiko dienos centras,</w:t>
      </w:r>
      <w:r>
        <w:rPr>
          <w:b/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 xml:space="preserve">kurį lanko </w:t>
      </w:r>
      <w:proofErr w:type="spellStart"/>
      <w:r>
        <w:rPr>
          <w:bCs/>
          <w:shd w:val="clear" w:color="auto" w:fill="FFFFFF"/>
          <w:lang w:val="lt-LT"/>
        </w:rPr>
        <w:t>soc</w:t>
      </w:r>
      <w:proofErr w:type="spellEnd"/>
      <w:r>
        <w:rPr>
          <w:bCs/>
          <w:shd w:val="clear" w:color="auto" w:fill="FFFFFF"/>
          <w:lang w:val="lt-LT"/>
        </w:rPr>
        <w:t xml:space="preserve">. rizikos ir </w:t>
      </w:r>
      <w:proofErr w:type="spellStart"/>
      <w:r>
        <w:rPr>
          <w:bCs/>
          <w:shd w:val="clear" w:color="auto" w:fill="FFFFFF"/>
          <w:lang w:val="lt-LT"/>
        </w:rPr>
        <w:t>soc</w:t>
      </w:r>
      <w:proofErr w:type="spellEnd"/>
      <w:r>
        <w:rPr>
          <w:bCs/>
          <w:shd w:val="clear" w:color="auto" w:fill="FFFFFF"/>
          <w:lang w:val="lt-LT"/>
        </w:rPr>
        <w:t xml:space="preserve">. remtinų šeimų vaikai (pagal SADM </w:t>
      </w:r>
      <w:r>
        <w:rPr>
          <w:shd w:val="clear" w:color="auto" w:fill="FFFFFF"/>
          <w:lang w:val="lt-LT"/>
        </w:rPr>
        <w:t>Vaiko gerovės 2013–2018 m. projektą</w:t>
      </w:r>
      <w:r>
        <w:rPr>
          <w:lang w:val="lt-LT"/>
        </w:rPr>
        <w:t xml:space="preserve"> „Vaiko ir šeimos socializacija Krekenavos dienos centre“</w:t>
      </w:r>
      <w:r>
        <w:rPr>
          <w:shd w:val="clear" w:color="auto" w:fill="FFFFFF"/>
          <w:lang w:val="lt-LT"/>
        </w:rPr>
        <w:t>,</w:t>
      </w:r>
      <w:r>
        <w:rPr>
          <w:bCs/>
          <w:shd w:val="clear" w:color="auto" w:fill="FFFFFF"/>
          <w:lang w:val="lt-LT"/>
        </w:rPr>
        <w:t xml:space="preserve"> bendradarbiaujant su</w:t>
      </w:r>
      <w:r>
        <w:rPr>
          <w:lang w:val="lt-LT"/>
        </w:rPr>
        <w:t xml:space="preserve"> Labdaros ir paramos fondu „</w:t>
      </w:r>
      <w:r>
        <w:rPr>
          <w:bCs/>
          <w:shd w:val="clear" w:color="auto" w:fill="FFFFFF"/>
          <w:lang w:val="lt-LT"/>
        </w:rPr>
        <w:t>Tavo galimybės“).</w:t>
      </w:r>
    </w:p>
    <w:p w:rsidR="00340974" w:rsidRPr="00811069" w:rsidRDefault="009C7AE9" w:rsidP="00EC51FC">
      <w:pPr>
        <w:pStyle w:val="Porat"/>
        <w:tabs>
          <w:tab w:val="clear" w:pos="4153"/>
          <w:tab w:val="clear" w:pos="8306"/>
          <w:tab w:val="left" w:pos="-2487"/>
          <w:tab w:val="left" w:pos="0"/>
          <w:tab w:val="left" w:pos="851"/>
          <w:tab w:val="left" w:pos="993"/>
        </w:tabs>
        <w:ind w:firstLine="709"/>
        <w:jc w:val="both"/>
      </w:pPr>
      <w:r w:rsidRPr="00EC51FC">
        <w:rPr>
          <w:bCs/>
          <w:shd w:val="clear" w:color="auto" w:fill="FFFFFF"/>
          <w:lang w:val="lt-LT"/>
        </w:rPr>
        <w:t>Papildomų lėšų pritraukimas</w:t>
      </w:r>
      <w:r>
        <w:rPr>
          <w:bCs/>
          <w:shd w:val="clear" w:color="auto" w:fill="FFFFFF"/>
          <w:lang w:val="lt-LT"/>
        </w:rPr>
        <w:t>: paramos ir kitų rėmėjų – 3 200 Eur; projektų – 1 000 Eur</w:t>
      </w:r>
      <w:r>
        <w:t xml:space="preserve">; </w:t>
      </w:r>
      <w:r>
        <w:rPr>
          <w:bCs/>
          <w:shd w:val="clear" w:color="auto" w:fill="FFFFFF"/>
          <w:lang w:val="lt-LT"/>
        </w:rPr>
        <w:t xml:space="preserve">SB (remontas, maitinimas) – </w:t>
      </w:r>
      <w:r>
        <w:t>45 200 Eur;</w:t>
      </w:r>
      <w:r>
        <w:rPr>
          <w:bCs/>
          <w:shd w:val="clear" w:color="auto" w:fill="FFFFFF"/>
          <w:lang w:val="lt-LT"/>
        </w:rPr>
        <w:t xml:space="preserve"> VB (MK, darbo užmokestis) – 31 500 Eur; VIP (gimnazijos pastato modernizavimas, II etapas) – </w:t>
      </w:r>
      <w:r>
        <w:t>72 000 Eur</w:t>
      </w:r>
      <w:r>
        <w:rPr>
          <w:bCs/>
          <w:shd w:val="clear" w:color="auto" w:fill="FFFFFF"/>
          <w:lang w:val="lt-LT"/>
        </w:rPr>
        <w:t xml:space="preserve">; SP (turto nuoma) – 700 Eur. Iš viso – </w:t>
      </w:r>
      <w:r w:rsidRPr="00D53E08">
        <w:rPr>
          <w:bCs/>
          <w:shd w:val="clear" w:color="auto" w:fill="FFFFFF"/>
          <w:lang w:val="lt-LT"/>
        </w:rPr>
        <w:t xml:space="preserve">153 600 </w:t>
      </w:r>
      <w:r w:rsidRPr="00D53E08">
        <w:t>Eur.</w:t>
      </w:r>
    </w:p>
    <w:p w:rsidR="00340974" w:rsidRDefault="00811069">
      <w:pPr>
        <w:pStyle w:val="Standard"/>
        <w:ind w:firstLine="709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G</w:t>
      </w:r>
      <w:r w:rsidR="009C7AE9">
        <w:rPr>
          <w:shd w:val="clear" w:color="auto" w:fill="FFFFFF"/>
          <w:lang w:val="lt-LT"/>
        </w:rPr>
        <w:t xml:space="preserve">imnazijos pagalbos specialistų ir vadovų komanda dalijosi darbo su specialiųjų poreikių mokiniais patirtimi su kitomis Panevėžio rajono mokyklomis </w:t>
      </w:r>
      <w:r>
        <w:rPr>
          <w:shd w:val="clear" w:color="auto" w:fill="FFFFFF"/>
          <w:lang w:val="lt-LT"/>
        </w:rPr>
        <w:t xml:space="preserve">tema </w:t>
      </w:r>
      <w:r w:rsidR="009C7AE9">
        <w:rPr>
          <w:shd w:val="clear" w:color="auto" w:fill="FFFFFF"/>
          <w:lang w:val="lt-LT"/>
        </w:rPr>
        <w:t>„Specialiosios pagalbos teikimo modelio pristatymas“.</w:t>
      </w:r>
    </w:p>
    <w:p w:rsidR="00340974" w:rsidRPr="00E04675" w:rsidRDefault="00811069">
      <w:pPr>
        <w:pStyle w:val="Standard"/>
        <w:ind w:firstLine="709"/>
        <w:jc w:val="both"/>
        <w:rPr>
          <w:lang w:val="lt-LT"/>
        </w:rPr>
      </w:pPr>
      <w:r>
        <w:rPr>
          <w:shd w:val="clear" w:color="auto" w:fill="FFFFFF"/>
          <w:lang w:val="lt-LT"/>
        </w:rPr>
        <w:t>G</w:t>
      </w:r>
      <w:r w:rsidR="009C7AE9">
        <w:rPr>
          <w:shd w:val="clear" w:color="auto" w:fill="FFFFFF"/>
          <w:lang w:val="lt-LT"/>
        </w:rPr>
        <w:t xml:space="preserve">imnazijos bendruomenė planuoja skleisti profesinę metodinę patirtį Panevėžio </w:t>
      </w:r>
      <w:r w:rsidR="009C7AE9" w:rsidRPr="00811069">
        <w:rPr>
          <w:shd w:val="clear" w:color="auto" w:fill="FFFFFF"/>
          <w:lang w:val="lt-LT"/>
        </w:rPr>
        <w:t>rajone</w:t>
      </w:r>
      <w:r w:rsidR="009C7AE9" w:rsidRPr="00D53E08">
        <w:rPr>
          <w:bCs/>
          <w:lang w:val="lt-LT"/>
        </w:rPr>
        <w:t xml:space="preserve"> </w:t>
      </w:r>
      <w:r w:rsidRPr="00D53E08">
        <w:rPr>
          <w:bCs/>
          <w:lang w:val="lt-LT"/>
        </w:rPr>
        <w:t>tema</w:t>
      </w:r>
      <w:r>
        <w:rPr>
          <w:b/>
          <w:bCs/>
          <w:lang w:val="lt-LT"/>
        </w:rPr>
        <w:t xml:space="preserve"> </w:t>
      </w:r>
      <w:r w:rsidR="009C7AE9">
        <w:rPr>
          <w:bCs/>
          <w:lang w:val="lt-LT"/>
        </w:rPr>
        <w:t>„Integruotas mokinių ugdymas netradicinėse erdvėse“.</w:t>
      </w:r>
    </w:p>
    <w:p w:rsidR="00EC51FC" w:rsidRDefault="009C7AE9" w:rsidP="00EC51FC">
      <w:pPr>
        <w:pStyle w:val="Porat"/>
        <w:ind w:firstLine="709"/>
        <w:jc w:val="both"/>
        <w:rPr>
          <w:shd w:val="clear" w:color="auto" w:fill="FFFFFF"/>
          <w:lang w:val="lt-LT"/>
        </w:rPr>
      </w:pPr>
      <w:r w:rsidRPr="00EC51FC">
        <w:rPr>
          <w:shd w:val="clear" w:color="auto" w:fill="FFFFFF"/>
          <w:lang w:val="lt-LT"/>
        </w:rPr>
        <w:t>Gimnazijos kontekstinė aplinka.</w:t>
      </w:r>
    </w:p>
    <w:p w:rsidR="00340974" w:rsidRPr="00EC51FC" w:rsidRDefault="009C7AE9" w:rsidP="00EC51FC">
      <w:pPr>
        <w:pStyle w:val="Porat"/>
        <w:ind w:firstLine="709"/>
        <w:jc w:val="both"/>
        <w:rPr>
          <w:shd w:val="clear" w:color="auto" w:fill="FFFFFF"/>
          <w:lang w:val="lt-LT"/>
        </w:rPr>
      </w:pPr>
      <w:r w:rsidRPr="00EC51FC">
        <w:rPr>
          <w:lang w:val="lt-LT"/>
        </w:rPr>
        <w:lastRenderedPageBreak/>
        <w:t>Geografinė situacija.</w:t>
      </w:r>
      <w:r>
        <w:rPr>
          <w:b/>
          <w:lang w:val="lt-LT"/>
        </w:rPr>
        <w:t xml:space="preserve"> </w:t>
      </w:r>
      <w:r>
        <w:rPr>
          <w:lang w:val="lt-LT"/>
        </w:rPr>
        <w:t>Gimnazijos aplinka (Nevėžio upė ir jos slėniai, miškai, regioninis parkas) ir vietos socialiniai partneriai – Krekenavos regioninis parkas, Krekenavos girininkija, Krekenavos mažoji bazilika, Krekenavos lopšelis-darželis</w:t>
      </w:r>
      <w:r w:rsidR="00811069">
        <w:rPr>
          <w:lang w:val="lt-LT"/>
        </w:rPr>
        <w:t xml:space="preserve"> „Sigutė“</w:t>
      </w:r>
      <w:r>
        <w:rPr>
          <w:lang w:val="lt-LT"/>
        </w:rPr>
        <w:t>, UAB Radviliškių kaimo kepykla – palankūs veiksniai vystyti gamtosauginę, ekologinę, rekreacinę-sportinę, verslumo kryptis.</w:t>
      </w:r>
    </w:p>
    <w:p w:rsidR="00340974" w:rsidRDefault="009C7AE9">
      <w:pPr>
        <w:pStyle w:val="Porat"/>
        <w:ind w:firstLine="709"/>
        <w:jc w:val="both"/>
      </w:pPr>
      <w:r w:rsidRPr="00EC51FC">
        <w:rPr>
          <w:lang w:val="lt-LT"/>
        </w:rPr>
        <w:t>Kultūrinė situacija.</w:t>
      </w:r>
      <w:r>
        <w:rPr>
          <w:lang w:val="lt-LT"/>
        </w:rPr>
        <w:t xml:space="preserve"> Gimnazijoje gilios tradicijos: Šv. arkangelo Mykolo premija, Miško diena, Klojimo teatras, Karnavalas, Žvejo diena, Sporto diena, Šeimos diena. Kuriamos naujos tradicijos: UAB „ORCA TEAM“ premija, Gimnazijos direktoriaus krepšinio taurės varžybos, </w:t>
      </w:r>
      <w:proofErr w:type="spellStart"/>
      <w:r>
        <w:rPr>
          <w:lang w:val="lt-LT"/>
        </w:rPr>
        <w:t>Adventinis</w:t>
      </w:r>
      <w:proofErr w:type="spellEnd"/>
      <w:r>
        <w:rPr>
          <w:lang w:val="lt-LT"/>
        </w:rPr>
        <w:t xml:space="preserve"> rytmetis, Geriausias metų sportininkas.</w:t>
      </w:r>
    </w:p>
    <w:p w:rsidR="00340974" w:rsidRPr="00E04675" w:rsidRDefault="009C7AE9">
      <w:pPr>
        <w:pStyle w:val="Porat"/>
        <w:ind w:firstLine="709"/>
        <w:jc w:val="both"/>
        <w:rPr>
          <w:lang w:val="lt-LT"/>
        </w:rPr>
      </w:pPr>
      <w:r w:rsidRPr="00EC51FC">
        <w:rPr>
          <w:lang w:val="lt-LT"/>
        </w:rPr>
        <w:t>Ekonominė situacija.</w:t>
      </w:r>
      <w:r>
        <w:rPr>
          <w:b/>
          <w:lang w:val="lt-LT"/>
        </w:rPr>
        <w:t xml:space="preserve"> </w:t>
      </w:r>
      <w:r>
        <w:rPr>
          <w:lang w:val="lt-LT"/>
        </w:rPr>
        <w:t>Gimnazijos veikla finansuojama Valstybės biudžeto (Mokinio krepšelis), Panevėžio rajono savivaldybės biudžeto (Moky</w:t>
      </w:r>
      <w:r w:rsidR="00D53E08">
        <w:rPr>
          <w:lang w:val="lt-LT"/>
        </w:rPr>
        <w:t>klos aplinka), paramos lėšomis. Š</w:t>
      </w:r>
      <w:r>
        <w:rPr>
          <w:lang w:val="lt-LT"/>
        </w:rPr>
        <w:t>alies ekonomikos augimas ir finansavimo prioritetas krašto apsaugai daro įtaką ir gimnazijos finansavimui. Gimnazijos bendruomenė gyvena taupymo režimu.</w:t>
      </w:r>
    </w:p>
    <w:p w:rsidR="00340974" w:rsidRPr="00E04675" w:rsidRDefault="009C7AE9">
      <w:pPr>
        <w:pStyle w:val="Porat"/>
        <w:ind w:firstLine="709"/>
        <w:jc w:val="both"/>
        <w:rPr>
          <w:lang w:val="lt-LT"/>
        </w:rPr>
      </w:pPr>
      <w:r w:rsidRPr="00EC51FC">
        <w:rPr>
          <w:lang w:val="lt-LT"/>
        </w:rPr>
        <w:t>Demografinė situacija.</w:t>
      </w:r>
      <w:r>
        <w:rPr>
          <w:b/>
          <w:lang w:val="lt-LT"/>
        </w:rPr>
        <w:t xml:space="preserve"> </w:t>
      </w:r>
      <w:r>
        <w:rPr>
          <w:lang w:val="lt-LT"/>
        </w:rPr>
        <w:t xml:space="preserve">Emigracija ir gimstamumo mažėjimas daro neigiamą įtaką mokinių skaičiui gimnazijoje: 2012 m. – 411 mokinių, 2013 m. – 405, 2014 m. – 372, 2015 m. – 357, </w:t>
      </w:r>
      <w:r w:rsidR="00811069">
        <w:rPr>
          <w:lang w:val="lt-LT"/>
        </w:rPr>
        <w:br/>
      </w:r>
      <w:r>
        <w:rPr>
          <w:lang w:val="lt-LT"/>
        </w:rPr>
        <w:t xml:space="preserve">2016 m. – 349. Specialiųjų poreikių mokinių ir mokinių iš </w:t>
      </w:r>
      <w:proofErr w:type="spellStart"/>
      <w:r>
        <w:rPr>
          <w:lang w:val="lt-LT"/>
        </w:rPr>
        <w:t>soc</w:t>
      </w:r>
      <w:proofErr w:type="spellEnd"/>
      <w:r>
        <w:rPr>
          <w:lang w:val="lt-LT"/>
        </w:rPr>
        <w:t>. remtinų šeimų skaičius nemažėja.</w:t>
      </w:r>
    </w:p>
    <w:p w:rsidR="00340974" w:rsidRDefault="00340974">
      <w:pPr>
        <w:pStyle w:val="Porat"/>
        <w:jc w:val="both"/>
        <w:rPr>
          <w:bCs/>
          <w:lang w:val="lt-LT"/>
        </w:rPr>
      </w:pPr>
    </w:p>
    <w:p w:rsidR="00340974" w:rsidRDefault="009C7AE9" w:rsidP="00D53E08">
      <w:pPr>
        <w:pStyle w:val="Porat"/>
        <w:jc w:val="center"/>
      </w:pPr>
      <w:r>
        <w:rPr>
          <w:b/>
          <w:bCs/>
          <w:lang w:val="lt-LT"/>
        </w:rPr>
        <w:t>II. MOKINIAI</w:t>
      </w:r>
    </w:p>
    <w:p w:rsidR="00340974" w:rsidRDefault="009C7AE9" w:rsidP="00EC51FC">
      <w:pPr>
        <w:pStyle w:val="Standard"/>
        <w:ind w:firstLine="709"/>
        <w:jc w:val="both"/>
        <w:rPr>
          <w:lang w:val="lt-LT"/>
        </w:rPr>
      </w:pPr>
      <w:r>
        <w:rPr>
          <w:lang w:val="lt-LT"/>
        </w:rPr>
        <w:t>Besimokančių mokinių skaičius:</w:t>
      </w: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893"/>
        <w:gridCol w:w="851"/>
        <w:gridCol w:w="992"/>
        <w:gridCol w:w="992"/>
        <w:gridCol w:w="1134"/>
        <w:gridCol w:w="3402"/>
      </w:tblGrid>
      <w:tr w:rsidR="00340974"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  <w:tc>
          <w:tcPr>
            <w:tcW w:w="48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Mokiniai pagal klases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Iš jų specialiųjų ugdymosi poreikių turinčių mokinių</w:t>
            </w:r>
          </w:p>
        </w:tc>
      </w:tr>
      <w:tr w:rsidR="00340974"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340974"/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1</w:t>
            </w:r>
            <w:r>
              <w:t>–</w:t>
            </w:r>
            <w:r>
              <w:rPr>
                <w:lang w:val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5</w:t>
            </w:r>
            <w:r>
              <w:t>–</w:t>
            </w:r>
            <w:r>
              <w:rPr>
                <w:lang w:val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9</w:t>
            </w:r>
            <w:r>
              <w:t>–</w:t>
            </w:r>
            <w:r>
              <w:rPr>
                <w:lang w:val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</w:pPr>
            <w:r>
              <w:rPr>
                <w:lang w:val="lt-LT"/>
              </w:rPr>
              <w:t>11</w:t>
            </w:r>
            <w:r>
              <w:t>–</w:t>
            </w:r>
            <w:r>
              <w:rPr>
                <w:lang w:val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Iš viso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340974">
            <w:pPr>
              <w:pStyle w:val="Standard"/>
              <w:jc w:val="both"/>
              <w:rPr>
                <w:lang w:val="lt-LT"/>
              </w:rPr>
            </w:pPr>
          </w:p>
        </w:tc>
      </w:tr>
      <w:tr w:rsidR="00340974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2015-09-01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349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75</w:t>
            </w:r>
          </w:p>
        </w:tc>
      </w:tr>
      <w:tr w:rsidR="00340974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2016-09-01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341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D53E08" w:rsidRDefault="009C7AE9">
            <w:pPr>
              <w:pStyle w:val="Standard"/>
              <w:jc w:val="center"/>
              <w:rPr>
                <w:lang w:val="lt-LT"/>
              </w:rPr>
            </w:pPr>
            <w:r w:rsidRPr="00D53E08">
              <w:rPr>
                <w:lang w:val="lt-LT"/>
              </w:rPr>
              <w:t>74</w:t>
            </w:r>
          </w:p>
        </w:tc>
      </w:tr>
    </w:tbl>
    <w:p w:rsidR="00340974" w:rsidRDefault="009C7AE9" w:rsidP="00D53E08">
      <w:pPr>
        <w:pStyle w:val="Standard"/>
        <w:ind w:firstLine="709"/>
        <w:jc w:val="both"/>
      </w:pPr>
      <w:r w:rsidRPr="00EC51FC">
        <w:rPr>
          <w:bCs/>
          <w:shd w:val="clear" w:color="auto" w:fill="FFFFFF"/>
          <w:lang w:val="lt-LT"/>
        </w:rPr>
        <w:t xml:space="preserve">Mokinių vežimas. </w:t>
      </w:r>
      <w:r w:rsidRPr="0007057E">
        <w:rPr>
          <w:bCs/>
          <w:shd w:val="clear" w:color="auto" w:fill="FFFFFF"/>
          <w:lang w:val="lt-LT"/>
        </w:rPr>
        <w:t>50,7 proc. mokinių (177</w:t>
      </w:r>
      <w:r>
        <w:rPr>
          <w:bCs/>
          <w:shd w:val="clear" w:color="auto" w:fill="FFFFFF"/>
          <w:lang w:val="lt-LT"/>
        </w:rPr>
        <w:t>) buvo vežama į gimnaziją ir iš jos įvairiais būdais. 2015 m. – 187 mokiniai (</w:t>
      </w:r>
      <w:r>
        <w:t>52,4 proc.</w:t>
      </w:r>
      <w:r>
        <w:rPr>
          <w:bCs/>
          <w:shd w:val="clear" w:color="auto" w:fill="FFFFFF"/>
          <w:lang w:val="lt-LT"/>
        </w:rPr>
        <w:t>).</w:t>
      </w:r>
    </w:p>
    <w:p w:rsidR="00340974" w:rsidRDefault="009C7AE9" w:rsidP="0007057E">
      <w:pPr>
        <w:tabs>
          <w:tab w:val="left" w:pos="5280"/>
        </w:tabs>
        <w:spacing w:after="0"/>
        <w:ind w:firstLine="709"/>
        <w:jc w:val="both"/>
      </w:pPr>
      <w:r w:rsidRPr="00EC51FC">
        <w:rPr>
          <w:rFonts w:ascii="Times New Roman" w:hAnsi="Times New Roman" w:cs="Times New Roman"/>
          <w:sz w:val="24"/>
          <w:szCs w:val="24"/>
        </w:rPr>
        <w:t>Pamokų lankomumas</w:t>
      </w:r>
      <w:r>
        <w:rPr>
          <w:rFonts w:ascii="Times New Roman" w:hAnsi="Times New Roman" w:cs="Times New Roman"/>
          <w:sz w:val="24"/>
          <w:szCs w:val="24"/>
        </w:rPr>
        <w:t xml:space="preserve"> 2015–2016 m. m.: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552"/>
        <w:gridCol w:w="3118"/>
        <w:gridCol w:w="2693"/>
      </w:tblGrid>
      <w:tr w:rsidR="00340974" w:rsidRPr="00E046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Iš viso praleista pamokų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Vidutiniškai 1 mokinys praleido pamokų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75">
              <w:rPr>
                <w:rFonts w:ascii="Times New Roman" w:hAnsi="Times New Roman" w:cs="Times New Roman"/>
                <w:sz w:val="24"/>
                <w:szCs w:val="24"/>
              </w:rPr>
              <w:t>Vidutiniškai 1 mokinys nepateisino pamokų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EC51FC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34097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EC51FC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Default="009C7AE9">
            <w:pPr>
              <w:tabs>
                <w:tab w:val="left" w:pos="52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</w:tbl>
    <w:p w:rsidR="00340974" w:rsidRPr="00D53E08" w:rsidRDefault="009C7AE9" w:rsidP="00D53E0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Priemonės, skirtos gerinti pamokų lankomumą:</w:t>
      </w:r>
      <w:r w:rsidR="00811069">
        <w:rPr>
          <w:rFonts w:ascii="Times New Roman" w:hAnsi="Times New Roman" w:cs="Times New Roman"/>
          <w:sz w:val="24"/>
          <w:szCs w:val="24"/>
        </w:rPr>
        <w:t xml:space="preserve"> </w:t>
      </w:r>
      <w:r w:rsidRPr="00D53E08">
        <w:rPr>
          <w:rFonts w:ascii="Times New Roman" w:hAnsi="Times New Roman" w:cs="Times New Roman"/>
          <w:sz w:val="24"/>
          <w:szCs w:val="24"/>
        </w:rPr>
        <w:t>Mokinių pamokų lankomumo apskaitos tvarkos aprašas,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 susitarimų laikymasis</w:t>
      </w:r>
      <w:r w:rsidR="0081106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0F70">
        <w:rPr>
          <w:rFonts w:ascii="Times New Roman" w:eastAsia="Calibri" w:hAnsi="Times New Roman" w:cs="Times New Roman"/>
          <w:sz w:val="24"/>
          <w:szCs w:val="24"/>
        </w:rPr>
        <w:t>k</w:t>
      </w:r>
      <w:r w:rsidRPr="00D53E08">
        <w:rPr>
          <w:rFonts w:ascii="Times New Roman" w:eastAsia="Calibri" w:hAnsi="Times New Roman" w:cs="Times New Roman"/>
          <w:sz w:val="24"/>
          <w:szCs w:val="24"/>
        </w:rPr>
        <w:t>onkursas „Šauni</w:t>
      </w:r>
      <w:r w:rsidR="00EC51FC">
        <w:rPr>
          <w:rFonts w:ascii="Times New Roman" w:eastAsia="Calibri" w:hAnsi="Times New Roman" w:cs="Times New Roman"/>
          <w:sz w:val="24"/>
          <w:szCs w:val="24"/>
        </w:rPr>
        <w:t>ausia klasė“ (dalyvauja 5–8 ir 9–12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 kl. mokiniai)</w:t>
      </w:r>
      <w:r w:rsidR="0081106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0F70">
        <w:rPr>
          <w:rFonts w:ascii="Times New Roman" w:eastAsia="Calibri" w:hAnsi="Times New Roman" w:cs="Times New Roman"/>
          <w:sz w:val="24"/>
          <w:szCs w:val="24"/>
        </w:rPr>
        <w:t>s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ocialinių įgūdžių ugdymo užsiėmimai „Gerumo mokyklėlė“ mokiniams iš </w:t>
      </w:r>
      <w:proofErr w:type="spellStart"/>
      <w:r w:rsidRPr="00D53E08">
        <w:rPr>
          <w:rFonts w:ascii="Times New Roman" w:eastAsia="Calibri" w:hAnsi="Times New Roman" w:cs="Times New Roman"/>
          <w:sz w:val="24"/>
          <w:szCs w:val="24"/>
        </w:rPr>
        <w:t>soc</w:t>
      </w:r>
      <w:proofErr w:type="spellEnd"/>
      <w:r w:rsidRPr="00D53E08">
        <w:rPr>
          <w:rFonts w:ascii="Times New Roman" w:eastAsia="Calibri" w:hAnsi="Times New Roman" w:cs="Times New Roman"/>
          <w:sz w:val="24"/>
          <w:szCs w:val="24"/>
        </w:rPr>
        <w:t>. rizikos šeimų</w:t>
      </w:r>
      <w:r w:rsidR="0081106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0F70">
        <w:rPr>
          <w:rFonts w:ascii="Times New Roman" w:eastAsia="Calibri" w:hAnsi="Times New Roman" w:cs="Times New Roman"/>
          <w:sz w:val="24"/>
          <w:szCs w:val="24"/>
        </w:rPr>
        <w:t>i</w:t>
      </w:r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ndividualūs vizitai šeimose dėl pamokų nelankymo, pasitelkiant seniūnijos </w:t>
      </w:r>
      <w:proofErr w:type="spellStart"/>
      <w:r w:rsidRPr="00D53E08">
        <w:rPr>
          <w:rFonts w:ascii="Times New Roman" w:eastAsia="Calibri" w:hAnsi="Times New Roman" w:cs="Times New Roman"/>
          <w:sz w:val="24"/>
          <w:szCs w:val="24"/>
        </w:rPr>
        <w:t>soc</w:t>
      </w:r>
      <w:proofErr w:type="spellEnd"/>
      <w:r w:rsidRPr="00D53E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53E08">
        <w:rPr>
          <w:rFonts w:ascii="Times New Roman" w:hAnsi="Times New Roman" w:cs="Times New Roman"/>
          <w:sz w:val="24"/>
          <w:szCs w:val="24"/>
        </w:rPr>
        <w:t>d</w:t>
      </w:r>
      <w:r w:rsidRPr="00D53E08">
        <w:rPr>
          <w:rFonts w:ascii="Times New Roman" w:eastAsia="Calibri" w:hAnsi="Times New Roman" w:cs="Times New Roman"/>
          <w:sz w:val="24"/>
          <w:szCs w:val="24"/>
        </w:rPr>
        <w:t>arbuotojus</w:t>
      </w:r>
      <w:r w:rsidRPr="00D53E08">
        <w:rPr>
          <w:rFonts w:ascii="Times New Roman" w:hAnsi="Times New Roman" w:cs="Times New Roman"/>
          <w:sz w:val="24"/>
          <w:szCs w:val="24"/>
        </w:rPr>
        <w:t>.</w:t>
      </w:r>
    </w:p>
    <w:p w:rsidR="00340974" w:rsidRPr="00EC51FC" w:rsidRDefault="009C7AE9" w:rsidP="0007057E">
      <w:pPr>
        <w:pStyle w:val="Standard"/>
        <w:ind w:firstLine="851"/>
        <w:jc w:val="both"/>
        <w:rPr>
          <w:lang w:val="lt-LT"/>
        </w:rPr>
      </w:pPr>
      <w:r w:rsidRPr="00EC51FC">
        <w:rPr>
          <w:lang w:val="lt-LT"/>
        </w:rPr>
        <w:t>Socialinis gimnazijos kontekstas</w:t>
      </w: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1568"/>
        <w:gridCol w:w="28"/>
        <w:gridCol w:w="2082"/>
        <w:gridCol w:w="725"/>
        <w:gridCol w:w="32"/>
        <w:gridCol w:w="2803"/>
      </w:tblGrid>
      <w:tr w:rsidR="00340974" w:rsidRPr="00E04675"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Šeimos</w:t>
            </w:r>
          </w:p>
        </w:tc>
        <w:tc>
          <w:tcPr>
            <w:tcW w:w="28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Mokinių, gyvenančių šeimose</w:t>
            </w:r>
            <w:r w:rsidR="00811069">
              <w:rPr>
                <w:bCs/>
                <w:lang w:val="lt-LT"/>
              </w:rPr>
              <w:t>,</w:t>
            </w:r>
            <w:r w:rsidRPr="00E04675">
              <w:rPr>
                <w:bCs/>
                <w:lang w:val="lt-LT"/>
              </w:rPr>
              <w:t xml:space="preserve"> skaičius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Proc. nuo mokinių skaičiaus</w:t>
            </w:r>
          </w:p>
        </w:tc>
      </w:tr>
      <w:tr w:rsidR="00340974" w:rsidRPr="00E04675"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both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iCs/>
                <w:lang w:val="lt-LT"/>
              </w:rPr>
            </w:pPr>
            <w:r w:rsidRPr="00E04675">
              <w:rPr>
                <w:iCs/>
                <w:lang w:val="lt-LT"/>
              </w:rPr>
              <w:t>110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iCs/>
                <w:lang w:val="lt-LT"/>
              </w:rPr>
            </w:pPr>
            <w:r w:rsidRPr="00E04675">
              <w:rPr>
                <w:iCs/>
                <w:lang w:val="lt-LT"/>
              </w:rPr>
              <w:t>32,3</w:t>
            </w:r>
          </w:p>
        </w:tc>
      </w:tr>
      <w:tr w:rsidR="00340974" w:rsidRPr="00E04675">
        <w:tc>
          <w:tcPr>
            <w:tcW w:w="4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both"/>
              <w:rPr>
                <w:bCs/>
                <w:lang w:val="lt-LT"/>
              </w:rPr>
            </w:pPr>
            <w:r w:rsidRPr="00E04675">
              <w:rPr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26</w:t>
            </w:r>
          </w:p>
        </w:tc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7,6</w:t>
            </w:r>
          </w:p>
        </w:tc>
      </w:tr>
      <w:tr w:rsidR="00340974" w:rsidRPr="00E04675">
        <w:tc>
          <w:tcPr>
            <w:tcW w:w="4111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</w:pPr>
            <w:proofErr w:type="spellStart"/>
            <w:r w:rsidRPr="00E04675">
              <w:t>Mokinių</w:t>
            </w:r>
            <w:proofErr w:type="spellEnd"/>
            <w:r w:rsidRPr="00E04675">
              <w:t xml:space="preserve">, </w:t>
            </w:r>
            <w:proofErr w:type="spellStart"/>
            <w:r w:rsidRPr="00E04675">
              <w:t>paliktų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kartoti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ugdymo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programos</w:t>
            </w:r>
            <w:proofErr w:type="spellEnd"/>
            <w:r w:rsidRPr="00E04675">
              <w:t xml:space="preserve"> </w:t>
            </w:r>
            <w:proofErr w:type="spellStart"/>
            <w:r w:rsidRPr="00E04675">
              <w:t>kursą</w:t>
            </w:r>
            <w:proofErr w:type="spellEnd"/>
            <w:r w:rsidRPr="00E04675">
              <w:t xml:space="preserve">, </w:t>
            </w:r>
            <w:proofErr w:type="spellStart"/>
            <w:r w:rsidRPr="00E04675">
              <w:t>skaičius</w:t>
            </w:r>
            <w:proofErr w:type="spellEnd"/>
            <w:r w:rsidRPr="00E04675">
              <w:t xml:space="preserve"> – 2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Proc. nuo bendro mokinių skaičiaus</w:t>
            </w:r>
          </w:p>
        </w:tc>
      </w:tr>
      <w:tr w:rsidR="00340974" w:rsidRPr="00E04675">
        <w:tc>
          <w:tcPr>
            <w:tcW w:w="4111" w:type="dxa"/>
            <w:gridSpan w:val="2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340974"/>
        </w:tc>
        <w:tc>
          <w:tcPr>
            <w:tcW w:w="56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0,6</w:t>
            </w:r>
          </w:p>
        </w:tc>
      </w:tr>
      <w:tr w:rsidR="00340974" w:rsidRPr="00E04675">
        <w:tc>
          <w:tcPr>
            <w:tcW w:w="41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Mokiniai</w:t>
            </w:r>
            <w:r w:rsidR="00811069">
              <w:rPr>
                <w:bCs/>
                <w:lang w:val="lt-LT" w:eastAsia="lt-LT"/>
              </w:rPr>
              <w:t>,</w:t>
            </w:r>
            <w:r w:rsidRPr="00E04675">
              <w:rPr>
                <w:bCs/>
                <w:lang w:val="lt-LT" w:eastAsia="lt-LT"/>
              </w:rPr>
              <w:t xml:space="preserve"> gaunantys nemokamą</w:t>
            </w:r>
          </w:p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maitinimą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Mokinių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skaičius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Proc. nuo bendro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mokinių skaičiaus</w:t>
            </w:r>
          </w:p>
        </w:tc>
      </w:tr>
      <w:tr w:rsidR="00340974" w:rsidRPr="00E04675">
        <w:tc>
          <w:tcPr>
            <w:tcW w:w="41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340974"/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126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36,1</w:t>
            </w:r>
          </w:p>
        </w:tc>
      </w:tr>
      <w:tr w:rsidR="00340974" w:rsidRPr="00E04675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Mokykloje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 xml:space="preserve"> proc. nuo mokinių skaičiaus</w:t>
            </w:r>
          </w:p>
        </w:tc>
        <w:tc>
          <w:tcPr>
            <w:tcW w:w="3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Už mokyklos ribų</w:t>
            </w:r>
          </w:p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proc. nuo mokinių skaičiaus</w:t>
            </w:r>
          </w:p>
        </w:tc>
      </w:tr>
      <w:tr w:rsidR="00340974" w:rsidRPr="00E04675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rPr>
                <w:bCs/>
                <w:lang w:val="lt-LT" w:eastAsia="lt-LT"/>
              </w:rPr>
            </w:pPr>
            <w:r w:rsidRPr="00E04675">
              <w:rPr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E04675">
              <w:rPr>
                <w:lang w:val="lt-LT" w:eastAsia="lt-LT"/>
              </w:rPr>
              <w:t>188 (55 proc.)</w:t>
            </w:r>
          </w:p>
        </w:tc>
        <w:tc>
          <w:tcPr>
            <w:tcW w:w="35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E04675" w:rsidRDefault="009C7AE9">
            <w:pPr>
              <w:pStyle w:val="Standard"/>
              <w:jc w:val="center"/>
            </w:pPr>
            <w:r w:rsidRPr="00E04675">
              <w:t>160 (47 proc.)</w:t>
            </w:r>
          </w:p>
        </w:tc>
      </w:tr>
    </w:tbl>
    <w:p w:rsidR="00EC51FC" w:rsidRDefault="00EC51FC" w:rsidP="0007057E">
      <w:pPr>
        <w:pStyle w:val="Standard"/>
        <w:ind w:firstLine="709"/>
        <w:jc w:val="both"/>
        <w:rPr>
          <w:lang w:val="lt-LT" w:eastAsia="lt-LT"/>
        </w:rPr>
      </w:pPr>
    </w:p>
    <w:p w:rsidR="00340974" w:rsidRPr="00EC51FC" w:rsidRDefault="009C7AE9" w:rsidP="0007057E">
      <w:pPr>
        <w:pStyle w:val="Standard"/>
        <w:ind w:firstLine="709"/>
        <w:jc w:val="both"/>
      </w:pPr>
      <w:r w:rsidRPr="00EC51FC">
        <w:rPr>
          <w:lang w:val="lt-LT" w:eastAsia="lt-LT"/>
        </w:rPr>
        <w:lastRenderedPageBreak/>
        <w:t xml:space="preserve">Dalyvavimas </w:t>
      </w:r>
      <w:r w:rsidRPr="00EC51FC">
        <w:rPr>
          <w:bCs/>
          <w:lang w:val="lt-LT" w:eastAsia="lt-LT"/>
        </w:rPr>
        <w:t>renginiuose (olimpiados, konkursai, sporto varžybos):</w:t>
      </w: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701"/>
        <w:gridCol w:w="1418"/>
        <w:gridCol w:w="1275"/>
      </w:tblGrid>
      <w:tr w:rsidR="00340974" w:rsidRPr="0007057E">
        <w:tc>
          <w:tcPr>
            <w:tcW w:w="36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Rajono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Šalies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Tarptautiniuose</w:t>
            </w:r>
          </w:p>
        </w:tc>
      </w:tr>
      <w:tr w:rsidR="00340974" w:rsidRPr="0007057E">
        <w:trPr>
          <w:trHeight w:val="859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 w:rsidP="0007057E">
            <w:pPr>
              <w:pStyle w:val="Standard"/>
              <w:ind w:hanging="35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Dalyvavusių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</w:t>
            </w:r>
          </w:p>
          <w:p w:rsidR="00340974" w:rsidRPr="0007057E" w:rsidRDefault="009C7AE9">
            <w:pPr>
              <w:pStyle w:val="Standard"/>
            </w:pPr>
            <w:r w:rsidRPr="0007057E">
              <w:rPr>
                <w:bCs/>
                <w:lang w:val="lt-LT"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Prizininkų/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Dalyvavusių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Prizininkų/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Dalyvavusių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skaičius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ind w:right="-15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Prizininkų/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laureatų skaičius</w:t>
            </w:r>
          </w:p>
        </w:tc>
      </w:tr>
      <w:tr w:rsidR="00340974" w:rsidRPr="0007057E">
        <w:trPr>
          <w:trHeight w:val="300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</w:pPr>
            <w:r w:rsidRPr="0007057E">
              <w:t>3</w:t>
            </w:r>
          </w:p>
        </w:tc>
      </w:tr>
    </w:tbl>
    <w:p w:rsidR="00340974" w:rsidRDefault="00340974">
      <w:pPr>
        <w:pStyle w:val="Standard"/>
        <w:ind w:left="360"/>
        <w:rPr>
          <w:b/>
        </w:rPr>
      </w:pP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418"/>
        <w:gridCol w:w="1276"/>
        <w:gridCol w:w="1559"/>
        <w:gridCol w:w="1984"/>
      </w:tblGrid>
      <w:tr w:rsidR="00340974" w:rsidRPr="0007057E"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both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Projektai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Socialiniai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shd w:val="clear" w:color="auto" w:fill="FFFFFF"/>
                <w:lang w:val="lt-LT" w:eastAsia="lt-LT"/>
              </w:rPr>
            </w:pPr>
            <w:r w:rsidRPr="0007057E"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Mokomieji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Bendruomenės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Tarptautiniai</w:t>
            </w:r>
          </w:p>
        </w:tc>
      </w:tr>
      <w:tr w:rsidR="00340974" w:rsidRPr="0007057E">
        <w:trPr>
          <w:trHeight w:val="257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lang w:val="lt-LT"/>
              </w:rPr>
            </w:pPr>
            <w:r w:rsidRPr="0007057E">
              <w:rPr>
                <w:bCs/>
                <w:lang w:val="lt-LT" w:eastAsia="lt-LT"/>
              </w:rPr>
              <w:t>Vykdytų projektų skaičius ir dalyvavusių mokinių skaičius (proc. nuo bendro mokinių skaičiaus)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="00147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(pateikta 1 paraiška, finansavimas negautas)</w:t>
            </w:r>
          </w:p>
        </w:tc>
      </w:tr>
    </w:tbl>
    <w:p w:rsidR="00340974" w:rsidRDefault="00340974">
      <w:pPr>
        <w:pStyle w:val="Standard"/>
        <w:rPr>
          <w:b/>
          <w:bCs/>
          <w:lang w:val="lt-LT"/>
        </w:rPr>
      </w:pP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268"/>
        <w:gridCol w:w="2693"/>
      </w:tblGrid>
      <w:tr w:rsidR="00340974" w:rsidRPr="0007057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Mokinių, turinčių specialiųjų ugdymosi poreikių, skaičius</w:t>
            </w:r>
          </w:p>
          <w:p w:rsidR="00340974" w:rsidRPr="0007057E" w:rsidRDefault="009C7AE9">
            <w:pPr>
              <w:pStyle w:val="Standard"/>
              <w:rPr>
                <w:bCs/>
                <w:lang w:val="lt-LT" w:eastAsia="lt-LT"/>
              </w:rPr>
            </w:pPr>
            <w:r w:rsidRPr="0007057E">
              <w:rPr>
                <w:bCs/>
                <w:lang w:val="lt-LT" w:eastAsia="lt-LT"/>
              </w:rPr>
              <w:t>mokykloje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Proc. nuo bendro mokinių skaičiaus</w:t>
            </w:r>
          </w:p>
        </w:tc>
      </w:tr>
      <w:tr w:rsidR="00340974" w:rsidRPr="0007057E">
        <w:trPr>
          <w:trHeight w:val="28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34097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Didelių poreikių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Vidutinių poreikių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 xml:space="preserve">Nedidelių poreikių  </w:t>
            </w:r>
          </w:p>
        </w:tc>
      </w:tr>
      <w:tr w:rsidR="00340974" w:rsidRPr="0007057E">
        <w:trPr>
          <w:trHeight w:val="49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34097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5 (1,5 proc.)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32 (9,4 proc.)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974" w:rsidRPr="0007057E" w:rsidRDefault="009C7AE9">
            <w:pPr>
              <w:pStyle w:val="Standard"/>
              <w:jc w:val="center"/>
              <w:rPr>
                <w:lang w:val="lt-LT" w:eastAsia="lt-LT"/>
              </w:rPr>
            </w:pPr>
            <w:r w:rsidRPr="0007057E">
              <w:rPr>
                <w:lang w:val="lt-LT" w:eastAsia="lt-LT"/>
              </w:rPr>
              <w:t>37 (10,9)</w:t>
            </w:r>
          </w:p>
        </w:tc>
      </w:tr>
    </w:tbl>
    <w:p w:rsidR="00340974" w:rsidRDefault="00340974" w:rsidP="0007057E">
      <w:pPr>
        <w:pStyle w:val="Standard"/>
        <w:ind w:firstLine="851"/>
        <w:jc w:val="center"/>
        <w:rPr>
          <w:b/>
          <w:bCs/>
          <w:lang w:val="lt-LT"/>
        </w:rPr>
      </w:pPr>
    </w:p>
    <w:p w:rsidR="00340974" w:rsidRDefault="009C7AE9" w:rsidP="0007057E">
      <w:pPr>
        <w:pStyle w:val="Standard"/>
        <w:ind w:firstLine="851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340974" w:rsidRPr="00EC51FC" w:rsidRDefault="009C7AE9" w:rsidP="0007057E">
      <w:pPr>
        <w:pStyle w:val="Standard"/>
        <w:ind w:firstLine="851"/>
        <w:jc w:val="both"/>
        <w:rPr>
          <w:lang w:val="lt-LT"/>
        </w:rPr>
      </w:pPr>
      <w:r w:rsidRPr="00EC51FC">
        <w:rPr>
          <w:lang w:val="lt-LT"/>
        </w:rPr>
        <w:t>2015–2016 m. m. Standartizuotų testų rezultatai (4, 6, 8 kl.)</w:t>
      </w:r>
    </w:p>
    <w:p w:rsidR="00340974" w:rsidRDefault="00147BE6" w:rsidP="0007057E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C7AE9">
        <w:rPr>
          <w:rFonts w:ascii="Times New Roman" w:hAnsi="Times New Roman" w:cs="Times New Roman"/>
          <w:sz w:val="24"/>
          <w:szCs w:val="24"/>
        </w:rPr>
        <w:t>imnazijos mokinių savijauta ir akademiniai pasiekimai yra glaudžiai susiję. 4 kl. mokinai geriausiai įvertino mokyklos mikroklimatą, tačiau didesnį dėmesį reikia atkreipti į matematikos ir pasaulio pažinimo dalykų mokymą. Geriausias 6 kl. mokinių rodiklis – rašymas, o žemesni rodikliai – mokyklos kultūros ir mokėjimo mokyti. 8 kl. mokinių geriausi ugdymo(</w:t>
      </w:r>
      <w:proofErr w:type="spellStart"/>
      <w:r w:rsidR="009C7AE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C7AE9">
        <w:rPr>
          <w:rFonts w:ascii="Times New Roman" w:hAnsi="Times New Roman" w:cs="Times New Roman"/>
          <w:sz w:val="24"/>
          <w:szCs w:val="24"/>
        </w:rPr>
        <w:t>) rezultatai – skaitymas ir mokyklos kultūra, o didesnį dėmesį reikia skirti matematiniam ugdymui ir atkreipti dėmesį į patyčias.</w:t>
      </w:r>
    </w:p>
    <w:p w:rsidR="00340974" w:rsidRPr="00EC51FC" w:rsidRDefault="009C7AE9" w:rsidP="0007057E">
      <w:pPr>
        <w:pStyle w:val="Standard"/>
        <w:ind w:firstLine="851"/>
        <w:jc w:val="both"/>
        <w:rPr>
          <w:lang w:val="lt-LT"/>
        </w:rPr>
      </w:pPr>
      <w:r w:rsidRPr="00EC51FC">
        <w:rPr>
          <w:lang w:val="lt-LT"/>
        </w:rPr>
        <w:t>2015–2016 m. m. Pagrindinio ugdymo pasiekimų patikrinimo rezultatai</w:t>
      </w:r>
    </w:p>
    <w:tbl>
      <w:tblPr>
        <w:tblW w:w="4945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1922"/>
        <w:gridCol w:w="2858"/>
        <w:gridCol w:w="1766"/>
      </w:tblGrid>
      <w:tr w:rsidR="00340974" w:rsidRPr="0007057E">
        <w:trPr>
          <w:trHeight w:val="31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Mokymosi pasiekimų lygis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bCs/>
                <w:sz w:val="24"/>
                <w:szCs w:val="24"/>
              </w:rPr>
              <w:t>Mokiniai (proc.)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Mokymosi pasiekimų lygis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bCs/>
                <w:sz w:val="24"/>
                <w:szCs w:val="24"/>
              </w:rPr>
              <w:t>Mokiniai (proc.)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Laikiusiųjų skaičius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Laikiusiųjų skaičius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Aukštesnysis lygis (9–10)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D53E08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 xml:space="preserve">4 (11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Aukštesnysis lygis (9–10)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2 (5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Pagrindinis lygis (6–8)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 (26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Pagrindinis lygis (6–8)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D53E08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 xml:space="preserve">22 (58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rPr>
          <w:trHeight w:val="31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Patenkinamas lygis (4–5)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14 (37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Patenkinamas lygis (4–5)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12 (32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rPr>
          <w:trHeight w:val="333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Nepatenkinamas lygis (1–3)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10 (26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7BE6" w:rsidRPr="00D53E08" w:rsidRDefault="009C7AE9" w:rsidP="00D53E0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 xml:space="preserve">Nepatenkinamas lygis </w:t>
            </w:r>
          </w:p>
          <w:p w:rsidR="00340974" w:rsidRPr="0007057E" w:rsidRDefault="009C7AE9" w:rsidP="00D53E08">
            <w:pPr>
              <w:pStyle w:val="Betarp"/>
            </w:pPr>
            <w:r w:rsidRPr="00D53E08">
              <w:rPr>
                <w:rFonts w:ascii="Times New Roman" w:hAnsi="Times New Roman" w:cs="Times New Roman"/>
                <w:sz w:val="24"/>
                <w:szCs w:val="24"/>
              </w:rPr>
              <w:t>(1–</w:t>
            </w:r>
            <w:r w:rsidRPr="0007057E">
              <w:t>3)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74" w:rsidRPr="0007057E" w:rsidRDefault="009C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2 (5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40974" w:rsidRDefault="009C7AE9">
      <w:pPr>
        <w:pStyle w:val="Standard"/>
        <w:ind w:firstLine="851"/>
        <w:jc w:val="both"/>
      </w:pPr>
      <w:r>
        <w:rPr>
          <w:b/>
          <w:lang w:val="lt-LT"/>
        </w:rPr>
        <w:t>2015–2016 m. m. Brandos egzaminų rezultatai (21 abiturientas baigė gimnaziją)</w:t>
      </w:r>
      <w:r>
        <w:rPr>
          <w:b/>
        </w:rPr>
        <w:t>:</w:t>
      </w:r>
    </w:p>
    <w:tbl>
      <w:tblPr>
        <w:tblW w:w="822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843"/>
      </w:tblGrid>
      <w:tr w:rsidR="00340974" w:rsidRPr="0007057E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Valstybiniai brandos egzaminai: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Laikytų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Išlaikytų valstybinių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72 (100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 w:rsidRPr="0007057E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Mokykliniai egzaminai: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Laikytų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974" w:rsidRPr="0007057E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Išlaikytų pagrindinėje sesijoje mokyklinių egzaminų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 xml:space="preserve">9 (100 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>proc.</w:t>
            </w: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A0F70" w:rsidRDefault="000A0F70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F70" w:rsidRDefault="000A0F70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F70" w:rsidRDefault="000A0F70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F70" w:rsidRDefault="000A0F70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974" w:rsidRDefault="009C7AE9">
      <w:pPr>
        <w:tabs>
          <w:tab w:val="left" w:pos="5280"/>
        </w:tabs>
        <w:spacing w:after="0"/>
        <w:ind w:firstLine="851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Valstybiniai brandos egzaminai </w:t>
      </w:r>
      <w:r w:rsidRPr="00D53E08">
        <w:rPr>
          <w:rFonts w:ascii="Times New Roman" w:hAnsi="Times New Roman" w:cs="Times New Roman"/>
          <w:b/>
          <w:sz w:val="24"/>
          <w:szCs w:val="24"/>
        </w:rPr>
        <w:t>pagal dalykus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975"/>
        <w:gridCol w:w="1047"/>
        <w:gridCol w:w="996"/>
        <w:gridCol w:w="1064"/>
        <w:gridCol w:w="936"/>
        <w:gridCol w:w="996"/>
        <w:gridCol w:w="996"/>
        <w:gridCol w:w="816"/>
        <w:gridCol w:w="996"/>
      </w:tblGrid>
      <w:tr w:rsidR="00340974">
        <w:trPr>
          <w:cantSplit/>
          <w:trHeight w:val="1457"/>
        </w:trPr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(gimtoji)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 (anglų)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0974" w:rsidRDefault="009C7AE9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</w:tr>
      <w:tr w:rsidR="00340974">
        <w:trPr>
          <w:cantSplit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Balai</w:t>
            </w:r>
          </w:p>
          <w:p w:rsidR="00340974" w:rsidRDefault="003409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Pr="0007057E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E">
              <w:rPr>
                <w:rFonts w:ascii="Times New Roman" w:hAnsi="Times New Roman" w:cs="Times New Roman"/>
                <w:sz w:val="24"/>
                <w:szCs w:val="24"/>
              </w:rPr>
              <w:t>86–100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F70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97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36–85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(41,7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(55,6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(41,7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(100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(33,3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(66,7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974">
        <w:trPr>
          <w:cantSplit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3409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16–35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0A0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(44,4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(58,3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(61,1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0A0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 xml:space="preserve"> (50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 w:rsidR="009C7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74" w:rsidRDefault="009C7A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(33,3</w:t>
            </w:r>
            <w:r w:rsidR="00147BE6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40974" w:rsidRDefault="009C7AE9" w:rsidP="00EC51FC">
      <w:pPr>
        <w:tabs>
          <w:tab w:val="left" w:pos="5280"/>
        </w:tabs>
        <w:spacing w:after="0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51FC">
        <w:rPr>
          <w:rFonts w:ascii="Times New Roman" w:hAnsi="Times New Roman" w:cs="Times New Roman"/>
          <w:sz w:val="24"/>
          <w:szCs w:val="24"/>
        </w:rPr>
        <w:t>2016 m. gimnazijos 6 kl. mokiniai dalyvavo Nacional</w:t>
      </w:r>
      <w:r w:rsidR="000A0F70" w:rsidRPr="00EC51FC">
        <w:rPr>
          <w:rFonts w:ascii="Times New Roman" w:hAnsi="Times New Roman" w:cs="Times New Roman"/>
          <w:sz w:val="24"/>
          <w:szCs w:val="24"/>
        </w:rPr>
        <w:t>iniame mokinių pasiekimų tyrime</w:t>
      </w:r>
      <w:r w:rsidR="00EC51FC">
        <w:rPr>
          <w:rFonts w:ascii="Times New Roman" w:hAnsi="Times New Roman" w:cs="Times New Roman"/>
          <w:sz w:val="24"/>
          <w:szCs w:val="24"/>
        </w:rPr>
        <w:t xml:space="preserve">. </w:t>
      </w:r>
      <w:r w:rsidR="00EC51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 klasės mokinių rezultatai yra geresni už šalies mokinių rezultatus. Vidutiniai rezultatai </w:t>
      </w:r>
      <w:r w:rsidR="00147BE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lygint</w:t>
      </w:r>
      <w:r w:rsidR="00147B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šalies rezultatais geresni: rašymas – 9,4 proc., matematika – 6 proc., skaitymas – 2 proc.</w:t>
      </w:r>
    </w:p>
    <w:p w:rsidR="00340974" w:rsidRDefault="00EC51FC" w:rsidP="00EC51FC">
      <w:pPr>
        <w:tabs>
          <w:tab w:val="left" w:pos="528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m. gimnazijos 8, 9, 10</w:t>
      </w:r>
      <w:r w:rsidR="009C7AE9" w:rsidRPr="00EC51FC">
        <w:rPr>
          <w:rFonts w:ascii="Times New Roman" w:hAnsi="Times New Roman" w:cs="Times New Roman"/>
          <w:sz w:val="24"/>
          <w:szCs w:val="24"/>
        </w:rPr>
        <w:t xml:space="preserve"> kl. mokiniai (22) dalyvavo nacionaliniame matematinio ir gam</w:t>
      </w:r>
      <w:r w:rsidR="000A0F70" w:rsidRPr="00EC51FC">
        <w:rPr>
          <w:rFonts w:ascii="Times New Roman" w:hAnsi="Times New Roman" w:cs="Times New Roman"/>
          <w:sz w:val="24"/>
          <w:szCs w:val="24"/>
        </w:rPr>
        <w:t>tamokslinio raštingumo konkurse</w:t>
      </w:r>
      <w:r>
        <w:rPr>
          <w:rFonts w:ascii="Times New Roman" w:hAnsi="Times New Roman" w:cs="Times New Roman"/>
          <w:sz w:val="24"/>
          <w:szCs w:val="24"/>
        </w:rPr>
        <w:t>. 9</w:t>
      </w:r>
      <w:r w:rsidR="009C7AE9">
        <w:rPr>
          <w:rFonts w:ascii="Times New Roman" w:hAnsi="Times New Roman" w:cs="Times New Roman"/>
          <w:sz w:val="24"/>
          <w:szCs w:val="24"/>
        </w:rPr>
        <w:t xml:space="preserve"> kl. mokinių rezultatai geresni n</w:t>
      </w:r>
      <w:r>
        <w:rPr>
          <w:rFonts w:ascii="Times New Roman" w:hAnsi="Times New Roman" w:cs="Times New Roman"/>
          <w:sz w:val="24"/>
          <w:szCs w:val="24"/>
        </w:rPr>
        <w:t>ei šalies vidurkis, 10</w:t>
      </w:r>
      <w:r w:rsidR="009C7AE9">
        <w:rPr>
          <w:rFonts w:ascii="Times New Roman" w:hAnsi="Times New Roman" w:cs="Times New Roman"/>
          <w:sz w:val="24"/>
          <w:szCs w:val="24"/>
        </w:rPr>
        <w:t xml:space="preserve"> kl. – artimi vidurkiui, o 8 kl. – žemesni už šalies vidurkį.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Kiekvieną mėnesį elektronini</w:t>
      </w:r>
      <w:r w:rsidR="00632E4D">
        <w:rPr>
          <w:lang w:val="lt-LT"/>
        </w:rPr>
        <w:t>ame</w:t>
      </w:r>
      <w:r>
        <w:rPr>
          <w:lang w:val="lt-LT"/>
        </w:rPr>
        <w:t xml:space="preserve"> dienyn</w:t>
      </w:r>
      <w:r w:rsidR="00632E4D">
        <w:rPr>
          <w:lang w:val="lt-LT"/>
        </w:rPr>
        <w:t>e</w:t>
      </w:r>
      <w:r>
        <w:rPr>
          <w:lang w:val="lt-LT"/>
        </w:rPr>
        <w:t xml:space="preserve"> rengiamos, analizuojamos mokinių pasiekimų vidurkių ataskaitos, klasių vadovai stebi mokinių pažangą. </w:t>
      </w:r>
      <w:r w:rsidR="00632E4D">
        <w:rPr>
          <w:lang w:val="lt-LT"/>
        </w:rPr>
        <w:t>Aptariama</w:t>
      </w:r>
      <w:r>
        <w:rPr>
          <w:lang w:val="lt-LT"/>
        </w:rPr>
        <w:t xml:space="preserve"> Vaiko gerovės komisijos posėdžiuose, kartu dalyvaujant seniūnijos atstovams ir tėvams (globėjams, rūpintojams). Su mokiniais sudaromos pažangos kėlimo sutartys, </w:t>
      </w:r>
      <w:r w:rsidR="00E04675">
        <w:rPr>
          <w:lang w:val="lt-LT"/>
        </w:rPr>
        <w:t>k</w:t>
      </w:r>
      <w:r>
        <w:rPr>
          <w:lang w:val="lt-LT"/>
        </w:rPr>
        <w:t>reipiamasi į pagalbos mokiniui specialistus, kviečiami tėvai ir aptariama, kokia pagalba mokiniui reikalinga.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Pusmečio</w:t>
      </w:r>
      <w:r w:rsidR="00632E4D">
        <w:rPr>
          <w:lang w:val="lt-LT"/>
        </w:rPr>
        <w:t xml:space="preserve"> </w:t>
      </w:r>
      <w:r>
        <w:rPr>
          <w:lang w:val="lt-LT"/>
        </w:rPr>
        <w:t>/</w:t>
      </w:r>
      <w:r w:rsidR="00632E4D">
        <w:rPr>
          <w:lang w:val="lt-LT"/>
        </w:rPr>
        <w:t xml:space="preserve"> </w:t>
      </w:r>
      <w:r>
        <w:rPr>
          <w:lang w:val="lt-LT"/>
        </w:rPr>
        <w:t>metiniai įvertinimai svarstomi Mokytojų tarybos posėdyje. Analizuojamos nepatenkinamo mokymosi priežastys, numatomi veiksmai joms pašalinti.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Kiekvieno mokinio diagnostinių, standartizuotų testų, pagrindinio ugdymo pasiekimų patikrinimo individualios ataskaitos aptariamos su mokiniu, mokytojais, tėvais. Analizuojamos sritys, kuriose mokinio pasiekimai žemi</w:t>
      </w:r>
      <w:r w:rsidR="00632E4D">
        <w:rPr>
          <w:lang w:val="lt-LT"/>
        </w:rPr>
        <w:t>,</w:t>
      </w:r>
      <w:r>
        <w:rPr>
          <w:lang w:val="lt-LT"/>
        </w:rPr>
        <w:t xml:space="preserve"> ir numatoma, kaip juos pagerinti.</w:t>
      </w:r>
    </w:p>
    <w:p w:rsidR="00340974" w:rsidRDefault="009C7AE9" w:rsidP="0007057E">
      <w:pPr>
        <w:pStyle w:val="Standard"/>
        <w:ind w:firstLine="851"/>
        <w:jc w:val="both"/>
        <w:rPr>
          <w:lang w:val="lt-LT"/>
        </w:rPr>
      </w:pPr>
      <w:r>
        <w:rPr>
          <w:lang w:val="lt-LT"/>
        </w:rPr>
        <w:t>Su mokiniais, kurių I pusmečio įvertinimai nepatenkinami, dalyko mokytojai sudaro sutartį, kurioje numa</w:t>
      </w:r>
      <w:r w:rsidR="00632E4D">
        <w:rPr>
          <w:lang w:val="lt-LT"/>
        </w:rPr>
        <w:t>toma,</w:t>
      </w:r>
      <w:r>
        <w:rPr>
          <w:lang w:val="lt-LT"/>
        </w:rPr>
        <w:t xml:space="preserve"> kaip II pusmetį atsiskaityti ir likviduoti mokymosi spragas. Su šiuo planu rašt</w:t>
      </w:r>
      <w:r w:rsidR="00632E4D">
        <w:rPr>
          <w:lang w:val="lt-LT"/>
        </w:rPr>
        <w:t>u</w:t>
      </w:r>
      <w:r>
        <w:rPr>
          <w:lang w:val="lt-LT"/>
        </w:rPr>
        <w:t xml:space="preserve"> supažindinami ir tėvai. </w:t>
      </w:r>
    </w:p>
    <w:p w:rsidR="00340974" w:rsidRDefault="003409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974" w:rsidRDefault="009C7AE9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PEDAGOGAI</w:t>
      </w:r>
    </w:p>
    <w:p w:rsidR="00340974" w:rsidRPr="00E04675" w:rsidRDefault="00632E4D">
      <w:pPr>
        <w:pStyle w:val="Standard"/>
        <w:ind w:firstLine="709"/>
        <w:jc w:val="both"/>
        <w:rPr>
          <w:lang w:val="lt-LT"/>
        </w:rPr>
      </w:pPr>
      <w:r>
        <w:rPr>
          <w:bCs/>
          <w:lang w:val="lt-LT"/>
        </w:rPr>
        <w:t>P</w:t>
      </w:r>
      <w:r w:rsidR="009C7AE9">
        <w:rPr>
          <w:bCs/>
          <w:lang w:val="lt-LT"/>
        </w:rPr>
        <w:t xml:space="preserve">edagogų kvalifikacijos tobulinimo prioritetai: </w:t>
      </w:r>
      <w:r w:rsidR="009C7AE9">
        <w:rPr>
          <w:lang w:val="lt-LT"/>
        </w:rPr>
        <w:t>mokinių skaitymo gebėjimų įgūdžių lavinim</w:t>
      </w:r>
      <w:r>
        <w:rPr>
          <w:lang w:val="lt-LT"/>
        </w:rPr>
        <w:t>as</w:t>
      </w:r>
      <w:r w:rsidR="009C7AE9">
        <w:rPr>
          <w:lang w:val="lt-LT"/>
        </w:rPr>
        <w:t>; standartizuotų testų, pagrindinio ugdymo pasiekimų patikrinimo, brandos egzaminų rezultatų ugdymo procese panaudojimas; IKT naudojimas ugdymo procese.</w:t>
      </w:r>
    </w:p>
    <w:p w:rsidR="00340974" w:rsidRPr="00632E4D" w:rsidRDefault="00632E4D">
      <w:pPr>
        <w:pStyle w:val="Standard"/>
        <w:ind w:firstLine="709"/>
        <w:jc w:val="both"/>
        <w:rPr>
          <w:lang w:val="lt-LT"/>
        </w:rPr>
      </w:pPr>
      <w:r>
        <w:rPr>
          <w:bCs/>
          <w:lang w:val="lt-LT"/>
        </w:rPr>
        <w:t>M</w:t>
      </w:r>
      <w:r w:rsidR="009C7AE9">
        <w:rPr>
          <w:bCs/>
          <w:lang w:val="lt-LT"/>
        </w:rPr>
        <w:t xml:space="preserve">okytojų dalyvavimas šalies (dalyvavusių mokytojų skaičius – 3 (9 proc. nuo visų mokytojų) ir tarptautiniuose (dalyvavusių mokytojų skaičius – 1 (3 proc.) projektuose, vesti seminarai </w:t>
      </w:r>
      <w:r w:rsidR="00EC51FC">
        <w:rPr>
          <w:bCs/>
          <w:lang w:val="lt-LT"/>
        </w:rPr>
        <w:br/>
      </w:r>
      <w:r w:rsidR="009C7AE9">
        <w:rPr>
          <w:bCs/>
          <w:lang w:val="lt-LT"/>
        </w:rPr>
        <w:t xml:space="preserve">(3 mokytojai (9 proc.). </w:t>
      </w:r>
      <w:r w:rsidR="009C7AE9" w:rsidRPr="00D53E08">
        <w:rPr>
          <w:bCs/>
          <w:lang w:val="lt-LT"/>
        </w:rPr>
        <w:t>Lietuvių kalbos mokytoja Rasa Vyšniauskienė nominuota geriausia Panevėžio rajono 2016 m. mokytoja</w:t>
      </w:r>
      <w:r w:rsidR="009C7AE9" w:rsidRPr="00632E4D">
        <w:rPr>
          <w:bCs/>
          <w:lang w:val="lt-LT"/>
        </w:rPr>
        <w:t>.</w:t>
      </w:r>
    </w:p>
    <w:p w:rsidR="00340974" w:rsidRDefault="00340974">
      <w:pPr>
        <w:pStyle w:val="Standard"/>
        <w:jc w:val="center"/>
        <w:rPr>
          <w:b/>
          <w:bCs/>
          <w:lang w:val="lt-LT"/>
        </w:rPr>
      </w:pPr>
    </w:p>
    <w:p w:rsidR="00340974" w:rsidRDefault="009C7AE9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340974" w:rsidRDefault="009C7AE9">
      <w:pPr>
        <w:pStyle w:val="Pagrindinistekstas2"/>
        <w:ind w:firstLine="709"/>
        <w:rPr>
          <w:color w:val="00000A"/>
        </w:rPr>
      </w:pPr>
      <w:r>
        <w:rPr>
          <w:color w:val="00000A"/>
        </w:rPr>
        <w:t xml:space="preserve">Paramos lėšos. 2 proc. nuo GPM paramos lėšų surinkta 2 200 Eur. Kitų rėmėjų skirtos lėšos – 1 000 </w:t>
      </w:r>
      <w:proofErr w:type="spellStart"/>
      <w:r>
        <w:rPr>
          <w:color w:val="00000A"/>
        </w:rPr>
        <w:t>Eur</w:t>
      </w:r>
      <w:proofErr w:type="spellEnd"/>
      <w:r>
        <w:rPr>
          <w:color w:val="00000A"/>
        </w:rPr>
        <w:t xml:space="preserve">. Iš viso gauta paramos lėšų – 3 200 Eur. Surenkamų paramos lėšų suma trečius metus iš eilės didėja. Šios lėšos </w:t>
      </w:r>
      <w:r w:rsidR="00632E4D">
        <w:rPr>
          <w:color w:val="00000A"/>
        </w:rPr>
        <w:t xml:space="preserve">panaudojamos </w:t>
      </w:r>
      <w:r>
        <w:rPr>
          <w:color w:val="00000A"/>
        </w:rPr>
        <w:t>rengini</w:t>
      </w:r>
      <w:r w:rsidR="00632E4D">
        <w:rPr>
          <w:color w:val="00000A"/>
        </w:rPr>
        <w:t>ams</w:t>
      </w:r>
      <w:r>
        <w:rPr>
          <w:color w:val="00000A"/>
        </w:rPr>
        <w:t xml:space="preserve"> organiz</w:t>
      </w:r>
      <w:r w:rsidR="00632E4D">
        <w:rPr>
          <w:color w:val="00000A"/>
        </w:rPr>
        <w:t>uot</w:t>
      </w:r>
      <w:r>
        <w:rPr>
          <w:color w:val="00000A"/>
        </w:rPr>
        <w:t>i, mokytoj</w:t>
      </w:r>
      <w:r w:rsidR="00632E4D">
        <w:rPr>
          <w:color w:val="00000A"/>
        </w:rPr>
        <w:t>ams</w:t>
      </w:r>
      <w:r>
        <w:rPr>
          <w:color w:val="00000A"/>
        </w:rPr>
        <w:t>, kit</w:t>
      </w:r>
      <w:r w:rsidR="00632E4D">
        <w:rPr>
          <w:color w:val="00000A"/>
        </w:rPr>
        <w:t>iems</w:t>
      </w:r>
      <w:r>
        <w:rPr>
          <w:color w:val="00000A"/>
        </w:rPr>
        <w:t xml:space="preserve"> darbuotoj</w:t>
      </w:r>
      <w:r w:rsidR="00632E4D">
        <w:rPr>
          <w:color w:val="00000A"/>
        </w:rPr>
        <w:t>ams</w:t>
      </w:r>
      <w:r>
        <w:rPr>
          <w:color w:val="00000A"/>
        </w:rPr>
        <w:t xml:space="preserve"> ir mokini</w:t>
      </w:r>
      <w:r w:rsidR="00632E4D">
        <w:rPr>
          <w:color w:val="00000A"/>
        </w:rPr>
        <w:t>ams</w:t>
      </w:r>
      <w:r>
        <w:rPr>
          <w:color w:val="00000A"/>
        </w:rPr>
        <w:t xml:space="preserve"> skatin</w:t>
      </w:r>
      <w:r w:rsidR="00632E4D">
        <w:rPr>
          <w:color w:val="00000A"/>
        </w:rPr>
        <w:t>t</w:t>
      </w:r>
      <w:r>
        <w:rPr>
          <w:color w:val="00000A"/>
        </w:rPr>
        <w:t>i (mokymo priemonių įsigijimas, ekskursijos, išvykos), edukacin</w:t>
      </w:r>
      <w:r w:rsidR="00632E4D">
        <w:rPr>
          <w:color w:val="00000A"/>
        </w:rPr>
        <w:t>ėms</w:t>
      </w:r>
      <w:r>
        <w:rPr>
          <w:color w:val="00000A"/>
        </w:rPr>
        <w:t xml:space="preserve"> erdv</w:t>
      </w:r>
      <w:r w:rsidR="00632E4D">
        <w:rPr>
          <w:color w:val="00000A"/>
        </w:rPr>
        <w:t>ėms</w:t>
      </w:r>
      <w:r>
        <w:rPr>
          <w:color w:val="00000A"/>
        </w:rPr>
        <w:t xml:space="preserve"> reng</w:t>
      </w:r>
      <w:r w:rsidR="00632E4D">
        <w:rPr>
          <w:color w:val="00000A"/>
        </w:rPr>
        <w:t>t</w:t>
      </w:r>
      <w:r>
        <w:rPr>
          <w:color w:val="00000A"/>
        </w:rPr>
        <w:t>i ir plėto</w:t>
      </w:r>
      <w:r w:rsidR="00632E4D">
        <w:rPr>
          <w:color w:val="00000A"/>
        </w:rPr>
        <w:t>t</w:t>
      </w:r>
      <w:r>
        <w:rPr>
          <w:color w:val="00000A"/>
        </w:rPr>
        <w:t>i (lauko žaidimų erdvė, lauko suolai, želdynai, augalai).</w:t>
      </w:r>
    </w:p>
    <w:p w:rsidR="00340974" w:rsidRDefault="009C7AE9">
      <w:pPr>
        <w:pStyle w:val="Pagrindinistekstas2"/>
        <w:ind w:firstLine="709"/>
      </w:pPr>
      <w:r>
        <w:rPr>
          <w:color w:val="00000A"/>
        </w:rPr>
        <w:t>Pagal MK metodiką skiriamų lėšų ugdymo proces</w:t>
      </w:r>
      <w:r w:rsidR="00632E4D">
        <w:rPr>
          <w:color w:val="00000A"/>
        </w:rPr>
        <w:t>ui</w:t>
      </w:r>
      <w:r>
        <w:rPr>
          <w:color w:val="00000A"/>
        </w:rPr>
        <w:t xml:space="preserve"> organiz</w:t>
      </w:r>
      <w:r w:rsidR="00632E4D">
        <w:rPr>
          <w:color w:val="00000A"/>
        </w:rPr>
        <w:t>uot</w:t>
      </w:r>
      <w:r>
        <w:rPr>
          <w:color w:val="00000A"/>
        </w:rPr>
        <w:t>i, ugdymo plan</w:t>
      </w:r>
      <w:r w:rsidR="00632E4D">
        <w:rPr>
          <w:color w:val="00000A"/>
        </w:rPr>
        <w:t>ui</w:t>
      </w:r>
      <w:r>
        <w:rPr>
          <w:color w:val="00000A"/>
        </w:rPr>
        <w:t xml:space="preserve"> įgyvendin</w:t>
      </w:r>
      <w:r w:rsidR="00632E4D">
        <w:rPr>
          <w:color w:val="00000A"/>
        </w:rPr>
        <w:t>t</w:t>
      </w:r>
      <w:r>
        <w:rPr>
          <w:color w:val="00000A"/>
        </w:rPr>
        <w:t>i nepakanka. Tai skaudžiai atsiliepia ugdymo(</w:t>
      </w:r>
      <w:proofErr w:type="spellStart"/>
      <w:r>
        <w:rPr>
          <w:color w:val="00000A"/>
        </w:rPr>
        <w:t>si</w:t>
      </w:r>
      <w:proofErr w:type="spellEnd"/>
      <w:r>
        <w:rPr>
          <w:color w:val="00000A"/>
        </w:rPr>
        <w:t>) kokybei – nėra galimybės skirti val</w:t>
      </w:r>
      <w:r w:rsidR="00632E4D">
        <w:rPr>
          <w:color w:val="00000A"/>
        </w:rPr>
        <w:t>andų</w:t>
      </w:r>
      <w:r>
        <w:rPr>
          <w:color w:val="00000A"/>
        </w:rPr>
        <w:t xml:space="preserve"> gabi</w:t>
      </w:r>
      <w:r w:rsidR="00632E4D">
        <w:rPr>
          <w:color w:val="00000A"/>
        </w:rPr>
        <w:t>ems</w:t>
      </w:r>
      <w:r>
        <w:rPr>
          <w:color w:val="00000A"/>
        </w:rPr>
        <w:t xml:space="preserve"> </w:t>
      </w:r>
      <w:r>
        <w:rPr>
          <w:color w:val="00000A"/>
        </w:rPr>
        <w:lastRenderedPageBreak/>
        <w:t>mokini</w:t>
      </w:r>
      <w:r w:rsidR="00632E4D">
        <w:rPr>
          <w:color w:val="00000A"/>
        </w:rPr>
        <w:t>ams</w:t>
      </w:r>
      <w:r>
        <w:rPr>
          <w:color w:val="00000A"/>
        </w:rPr>
        <w:t xml:space="preserve"> konsult</w:t>
      </w:r>
      <w:r w:rsidR="00632E4D">
        <w:rPr>
          <w:color w:val="00000A"/>
        </w:rPr>
        <w:t>uot</w:t>
      </w:r>
      <w:r>
        <w:rPr>
          <w:color w:val="00000A"/>
        </w:rPr>
        <w:t>i, apribotos NVŠ valandos (tik 10 val.</w:t>
      </w:r>
      <w:r w:rsidR="00632E4D">
        <w:rPr>
          <w:color w:val="00000A"/>
        </w:rPr>
        <w:t xml:space="preserve"> – </w:t>
      </w:r>
      <w:r>
        <w:rPr>
          <w:color w:val="00000A"/>
        </w:rPr>
        <w:t>20 proc.), mokymo priemonių (vadovėlių) trūkumas dirbant pagal atnaujintą lietuvių kalbos ir literatūros bendrąją programą.</w:t>
      </w:r>
    </w:p>
    <w:p w:rsidR="00340974" w:rsidRDefault="00340974">
      <w:pPr>
        <w:pStyle w:val="Pagrindinistekstas2"/>
        <w:ind w:firstLine="709"/>
        <w:rPr>
          <w:color w:val="00000A"/>
        </w:rPr>
      </w:pPr>
    </w:p>
    <w:p w:rsidR="00340974" w:rsidRDefault="00EC51FC" w:rsidP="00025634">
      <w:pPr>
        <w:pStyle w:val="Standard"/>
        <w:ind w:left="1571"/>
        <w:jc w:val="center"/>
        <w:rPr>
          <w:b/>
          <w:lang w:val="lt-LT"/>
        </w:rPr>
      </w:pPr>
      <w:r>
        <w:rPr>
          <w:b/>
          <w:lang w:val="lt-LT"/>
        </w:rPr>
        <w:t xml:space="preserve">VI. </w:t>
      </w:r>
      <w:r w:rsidR="009C7AE9">
        <w:rPr>
          <w:b/>
          <w:lang w:val="lt-LT"/>
        </w:rPr>
        <w:t>PROBLEMOS, SUSIJUSIOS SU ĮSTAIGOS VEIKLA, IR VADOVO SIŪLOMI JŲ SPRENDIMO BŪDAI</w:t>
      </w:r>
    </w:p>
    <w:p w:rsidR="00340974" w:rsidRDefault="009C7AE9" w:rsidP="00025634">
      <w:pPr>
        <w:pStyle w:val="Standard"/>
        <w:ind w:firstLine="284"/>
        <w:jc w:val="both"/>
        <w:rPr>
          <w:lang w:val="lt-LT"/>
        </w:rPr>
      </w:pPr>
      <w:r w:rsidRPr="0007057E">
        <w:rPr>
          <w:lang w:val="lt-LT"/>
        </w:rPr>
        <w:t>Iššūkiai 2017 m.:</w:t>
      </w:r>
      <w:r w:rsidR="00025634">
        <w:rPr>
          <w:lang w:val="lt-LT"/>
        </w:rPr>
        <w:t xml:space="preserve"> p</w:t>
      </w:r>
      <w:r>
        <w:rPr>
          <w:lang w:val="lt-LT"/>
        </w:rPr>
        <w:t>astato renovacija ir edukacinių erdvių atnaujin</w:t>
      </w:r>
      <w:r w:rsidR="00025634">
        <w:rPr>
          <w:lang w:val="lt-LT"/>
        </w:rPr>
        <w:t xml:space="preserve">imas, sporto aikštyno įrengimas; </w:t>
      </w:r>
      <w:r>
        <w:rPr>
          <w:color w:val="00000A"/>
          <w:lang w:val="lt-LT"/>
        </w:rPr>
        <w:t>IKT bazės atnaujinimas (kompiuteriai p</w:t>
      </w:r>
      <w:r w:rsidR="00025634">
        <w:rPr>
          <w:color w:val="00000A"/>
          <w:lang w:val="lt-LT"/>
        </w:rPr>
        <w:t>asenę, nėra išmaniosios klasės); m</w:t>
      </w:r>
      <w:r>
        <w:rPr>
          <w:bCs/>
          <w:lang w:val="lt-LT"/>
        </w:rPr>
        <w:t>etodinio renginio</w:t>
      </w:r>
      <w:r w:rsidRPr="00D53E08">
        <w:rPr>
          <w:bCs/>
          <w:lang w:val="lt-LT"/>
        </w:rPr>
        <w:t xml:space="preserve"> </w:t>
      </w:r>
      <w:r w:rsidRPr="0007057E">
        <w:rPr>
          <w:bCs/>
          <w:lang w:val="lt-LT"/>
        </w:rPr>
        <w:t>„Kūrybinių dirbtuvių 2017“</w:t>
      </w:r>
      <w:r w:rsidRPr="00D53E08">
        <w:rPr>
          <w:bCs/>
          <w:lang w:val="lt-LT"/>
        </w:rPr>
        <w:t xml:space="preserve"> </w:t>
      </w:r>
      <w:r w:rsidR="00025634">
        <w:rPr>
          <w:lang w:val="lt-LT"/>
        </w:rPr>
        <w:t>organizavimas; g</w:t>
      </w:r>
      <w:r>
        <w:rPr>
          <w:lang w:val="lt-LT"/>
        </w:rPr>
        <w:t>imnazijos 2018–202</w:t>
      </w:r>
      <w:r w:rsidR="00025634">
        <w:rPr>
          <w:lang w:val="lt-LT"/>
        </w:rPr>
        <w:t xml:space="preserve">0 m. strateginio plano rengimas; </w:t>
      </w:r>
      <w:bookmarkStart w:id="0" w:name="_GoBack"/>
      <w:bookmarkEnd w:id="0"/>
      <w:r w:rsidR="00025634">
        <w:rPr>
          <w:lang w:val="lt-LT"/>
        </w:rPr>
        <w:t>t</w:t>
      </w:r>
      <w:r>
        <w:rPr>
          <w:lang w:val="lt-LT"/>
        </w:rPr>
        <w:t>eisinės bazės pasikeitimai: Švietimo įstatymas (2017-09-01, privalomas prevencinės programos įgyvendinimas; etatinis mokytojų darbo apmokėjimas); naujas biudžetinių įstaigų darbuotojų DU įstatymas (2017-02-01, darbo sutarčių, pareigybių aprašymų keitimas, metinių užduočių darbuotojams formulavimas); naujas Darbo kodeksas (2017-07-01).</w:t>
      </w:r>
    </w:p>
    <w:p w:rsidR="00340974" w:rsidRDefault="00340974">
      <w:pPr>
        <w:pStyle w:val="Standard"/>
        <w:ind w:firstLine="284"/>
        <w:rPr>
          <w:lang w:val="lt-LT"/>
        </w:rPr>
      </w:pPr>
    </w:p>
    <w:p w:rsidR="00340974" w:rsidRDefault="00340974">
      <w:pPr>
        <w:pStyle w:val="Standard"/>
        <w:rPr>
          <w:lang w:val="lt-LT"/>
        </w:rPr>
      </w:pPr>
    </w:p>
    <w:p w:rsidR="00340974" w:rsidRDefault="009C7AE9">
      <w:pPr>
        <w:pStyle w:val="Standard"/>
      </w:pPr>
      <w:r>
        <w:rPr>
          <w:lang w:val="lt-LT"/>
        </w:rPr>
        <w:t>Gimnazijos 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Vaidas Pocius</w:t>
      </w:r>
    </w:p>
    <w:sectPr w:rsidR="00340974">
      <w:headerReference w:type="default" r:id="rId7"/>
      <w:pgSz w:w="11906" w:h="16838"/>
      <w:pgMar w:top="1134" w:right="567" w:bottom="1134" w:left="1701" w:header="567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8D" w:rsidRDefault="002F0C8D">
      <w:pPr>
        <w:spacing w:after="0"/>
      </w:pPr>
      <w:r>
        <w:separator/>
      </w:r>
    </w:p>
  </w:endnote>
  <w:endnote w:type="continuationSeparator" w:id="0">
    <w:p w:rsidR="002F0C8D" w:rsidRDefault="002F0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8D" w:rsidRDefault="002F0C8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F0C8D" w:rsidRDefault="002F0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C0" w:rsidRDefault="002F0C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DCB"/>
    <w:multiLevelType w:val="multilevel"/>
    <w:tmpl w:val="F5600C2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0250D42"/>
    <w:multiLevelType w:val="multilevel"/>
    <w:tmpl w:val="8ED4FFF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149585C"/>
    <w:multiLevelType w:val="multilevel"/>
    <w:tmpl w:val="F5F41B66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C6050AC"/>
    <w:multiLevelType w:val="multilevel"/>
    <w:tmpl w:val="139ED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4" w15:restartNumberingAfterBreak="0">
    <w:nsid w:val="4FAD7773"/>
    <w:multiLevelType w:val="multilevel"/>
    <w:tmpl w:val="B30C84E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66D54D02"/>
    <w:multiLevelType w:val="multilevel"/>
    <w:tmpl w:val="4DE267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decimal"/>
      <w:lvlText w:val="%4."/>
      <w:lvlJc w:val="center"/>
      <w:pPr>
        <w:ind w:left="3229" w:hanging="360"/>
      </w:pPr>
      <w:rPr>
        <w:rFonts w:hint="default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" w15:restartNumberingAfterBreak="0">
    <w:nsid w:val="6B3C3969"/>
    <w:multiLevelType w:val="multilevel"/>
    <w:tmpl w:val="6E06487E"/>
    <w:lvl w:ilvl="0">
      <w:start w:val="6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DE3C4D"/>
    <w:multiLevelType w:val="multilevel"/>
    <w:tmpl w:val="4DE267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decimal"/>
      <w:lvlText w:val="%4."/>
      <w:lvlJc w:val="center"/>
      <w:pPr>
        <w:ind w:left="3229" w:hanging="360"/>
      </w:pPr>
      <w:rPr>
        <w:rFonts w:hint="default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74"/>
    <w:rsid w:val="00025634"/>
    <w:rsid w:val="0007057E"/>
    <w:rsid w:val="000A0F70"/>
    <w:rsid w:val="00147BE6"/>
    <w:rsid w:val="002918E3"/>
    <w:rsid w:val="002E33CD"/>
    <w:rsid w:val="002F0C8D"/>
    <w:rsid w:val="00340974"/>
    <w:rsid w:val="00602A77"/>
    <w:rsid w:val="00632E4D"/>
    <w:rsid w:val="00811069"/>
    <w:rsid w:val="009C7AE9"/>
    <w:rsid w:val="00B71EA2"/>
    <w:rsid w:val="00B86D83"/>
    <w:rsid w:val="00C317A7"/>
    <w:rsid w:val="00D53E08"/>
    <w:rsid w:val="00E04675"/>
    <w:rsid w:val="00E1388F"/>
    <w:rsid w:val="00EC51FC"/>
    <w:rsid w:val="00F71A8D"/>
    <w:rsid w:val="00F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7DE8E-BAA9-4B6E-A411-A2B2A48F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Calibri" w:hAnsi="Times New Roman" w:cs="Times New Roman"/>
      <w:color w:val="000000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Pr>
      <w:sz w:val="20"/>
      <w:szCs w:val="20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  <w:spacing w:after="0"/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HeaderChar">
    <w:name w:val="Header Char"/>
    <w:basedOn w:val="Numatytasispastraiposriftas"/>
  </w:style>
  <w:style w:type="paragraph" w:styleId="Sraopastraipa">
    <w:name w:val="List Paragraph"/>
    <w:basedOn w:val="prastasis"/>
    <w:pPr>
      <w:ind w:left="720"/>
    </w:pPr>
  </w:style>
  <w:style w:type="paragraph" w:styleId="Pavadinimas">
    <w:name w:val="Title"/>
    <w:basedOn w:val="prastasis"/>
    <w:pPr>
      <w:widowControl/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PavadinimasDiagrama">
    <w:name w:val="Pavadinimas Diagrama"/>
    <w:basedOn w:val="Numatytasispastraiposriftas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Default11">
    <w:name w:val="Default+11"/>
    <w:basedOn w:val="prastasis"/>
    <w:next w:val="prastasis"/>
    <w:pPr>
      <w:widowControl/>
      <w:suppressAutoHyphens w:val="0"/>
      <w:autoSpaceDE w:val="0"/>
      <w:spacing w:after="0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lt-LT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paragraph" w:styleId="Betarp">
    <w:name w:val="No Spacing"/>
    <w:uiPriority w:val="1"/>
    <w:qFormat/>
    <w:rsid w:val="00147BE6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7849</Words>
  <Characters>4474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8</cp:revision>
  <cp:lastPrinted>2017-01-24T13:46:00Z</cp:lastPrinted>
  <dcterms:created xsi:type="dcterms:W3CDTF">2017-04-21T08:24:00Z</dcterms:created>
  <dcterms:modified xsi:type="dcterms:W3CDTF">2017-04-24T11:40:00Z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