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F16EFC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45822826" r:id="rId8"/>
        </w:obje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F132A">
        <w:rPr>
          <w:b/>
          <w:bCs/>
          <w:sz w:val="24"/>
          <w:szCs w:val="24"/>
        </w:rPr>
        <w:t xml:space="preserve">SAVIVALDYBĖS TARYBOS 2015 M. SPALIO 22 D. SPRENDIMO NR. T-211 „DĖL </w:t>
      </w:r>
      <w:r>
        <w:rPr>
          <w:b/>
          <w:bCs/>
          <w:sz w:val="24"/>
          <w:szCs w:val="24"/>
        </w:rPr>
        <w:t>SAVIVALDYBĖS TARYBOS 2015 M. RUGPJŪČIO 20 D. SPRENDIMO NR. T-165 „DĖL PANEVĖŽIO RAJONO SAVIVALDYBĖS SMULKAUS IR VIDUTINIO VERSLO RĖMIMO NUOSTATŲ PATVIRTINIMO“ PAKEITIMO</w:t>
      </w:r>
      <w:r w:rsidR="007F132A">
        <w:rPr>
          <w:b/>
          <w:bCs/>
          <w:sz w:val="24"/>
          <w:szCs w:val="24"/>
        </w:rPr>
        <w:t>“ 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6BFF">
        <w:rPr>
          <w:sz w:val="24"/>
          <w:szCs w:val="24"/>
        </w:rPr>
        <w:t>7</w:t>
      </w:r>
      <w:r>
        <w:rPr>
          <w:sz w:val="24"/>
          <w:szCs w:val="24"/>
        </w:rPr>
        <w:t xml:space="preserve"> m. s</w:t>
      </w:r>
      <w:r w:rsidR="000C6BFF">
        <w:rPr>
          <w:sz w:val="24"/>
          <w:szCs w:val="24"/>
        </w:rPr>
        <w:t>ausio 26</w:t>
      </w:r>
      <w:r>
        <w:rPr>
          <w:sz w:val="24"/>
          <w:szCs w:val="24"/>
        </w:rPr>
        <w:t xml:space="preserve"> d. Nr. T-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smulkaus ir vidutin</w:t>
      </w:r>
      <w:r w:rsidR="00C76B37">
        <w:rPr>
          <w:color w:val="000000"/>
          <w:sz w:val="24"/>
          <w:szCs w:val="24"/>
        </w:rPr>
        <w:t xml:space="preserve">io verslo rėmimo komisijos </w:t>
      </w:r>
      <w:r w:rsidR="00C76B37">
        <w:rPr>
          <w:color w:val="000000"/>
          <w:sz w:val="24"/>
          <w:szCs w:val="24"/>
        </w:rPr>
        <w:br/>
      </w:r>
      <w:r w:rsidR="000C6BFF">
        <w:rPr>
          <w:color w:val="000000"/>
          <w:sz w:val="24"/>
          <w:szCs w:val="24"/>
        </w:rPr>
        <w:t>2017-01-13 posėdžio protokolą Nr. T4</w:t>
      </w:r>
      <w:r w:rsidR="00233991">
        <w:rPr>
          <w:color w:val="000000"/>
          <w:sz w:val="24"/>
          <w:szCs w:val="24"/>
        </w:rPr>
        <w:t>-</w:t>
      </w:r>
      <w:r w:rsidR="007F132A">
        <w:rPr>
          <w:color w:val="000000"/>
          <w:sz w:val="24"/>
          <w:szCs w:val="24"/>
        </w:rPr>
        <w:t>2</w:t>
      </w:r>
      <w:r w:rsidR="000C6BFF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:rsidR="00F16EFC" w:rsidRDefault="00F16EFC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Pakeisti </w:t>
      </w:r>
      <w:r w:rsidR="00CF1647">
        <w:rPr>
          <w:sz w:val="24"/>
        </w:rPr>
        <w:t xml:space="preserve">Panevėžio rajono savivaldybės smulkaus ir vidutinio verslo rėmimo nuostatų, patvirtintų </w:t>
      </w:r>
      <w:r w:rsidR="007F132A">
        <w:rPr>
          <w:sz w:val="24"/>
        </w:rPr>
        <w:t>Savivaldybės tarybos 2015 m. spalio 22 d. sprendim</w:t>
      </w:r>
      <w:r w:rsidR="00CF1647">
        <w:rPr>
          <w:sz w:val="24"/>
        </w:rPr>
        <w:t>u</w:t>
      </w:r>
      <w:r w:rsidR="007F132A">
        <w:rPr>
          <w:sz w:val="24"/>
        </w:rPr>
        <w:t xml:space="preserve"> Nr. T-211 „Dėl Savivaldybės tarybos 2015 m. rugpjūčio </w:t>
      </w:r>
      <w:r>
        <w:rPr>
          <w:sz w:val="24"/>
        </w:rPr>
        <w:t>20 d. sprendim</w:t>
      </w:r>
      <w:r w:rsidR="007F132A">
        <w:rPr>
          <w:sz w:val="24"/>
        </w:rPr>
        <w:t>o</w:t>
      </w:r>
      <w:r>
        <w:rPr>
          <w:sz w:val="24"/>
        </w:rPr>
        <w:t xml:space="preserve"> Nr. T-165 „Dėl Panevėžio rajono savivaldybės smulkaus ir vidutinio verslo rėmimo nuostatų patvirtinimo“</w:t>
      </w:r>
      <w:r w:rsidR="00DD50D4">
        <w:rPr>
          <w:sz w:val="24"/>
        </w:rPr>
        <w:t xml:space="preserve"> pakeitimo“</w:t>
      </w:r>
      <w:r w:rsidR="00C76B37">
        <w:rPr>
          <w:sz w:val="24"/>
        </w:rPr>
        <w:t>,</w:t>
      </w:r>
      <w:r>
        <w:rPr>
          <w:sz w:val="24"/>
        </w:rPr>
        <w:t xml:space="preserve"> </w:t>
      </w:r>
      <w:r w:rsidR="006B4B7F">
        <w:rPr>
          <w:sz w:val="24"/>
        </w:rPr>
        <w:t xml:space="preserve">9.3 ir 9.4 punktus </w:t>
      </w:r>
      <w:r>
        <w:rPr>
          <w:sz w:val="24"/>
        </w:rPr>
        <w:t>ir juos išdėstyti taip:</w:t>
      </w:r>
    </w:p>
    <w:p w:rsidR="00F16EFC" w:rsidRDefault="00F16EFC" w:rsidP="006B4B7F">
      <w:pPr>
        <w:ind w:left="68" w:right="-8" w:firstLine="586"/>
        <w:jc w:val="both"/>
        <w:rPr>
          <w:sz w:val="24"/>
          <w:szCs w:val="24"/>
        </w:rPr>
      </w:pPr>
      <w:r>
        <w:rPr>
          <w:sz w:val="24"/>
        </w:rPr>
        <w:t>„</w:t>
      </w:r>
      <w:r w:rsidR="00FF4DCF">
        <w:rPr>
          <w:sz w:val="24"/>
          <w:szCs w:val="24"/>
        </w:rPr>
        <w:t>9.3. į</w:t>
      </w:r>
      <w:r>
        <w:rPr>
          <w:sz w:val="24"/>
          <w:szCs w:val="24"/>
        </w:rPr>
        <w:t xml:space="preserve">monėms mugių, parodų ir kitų renginių išlaidoms padengti. Maksimalus paramos dydis kalendoriniais metais – </w:t>
      </w:r>
      <w:r w:rsidR="000C6BFF">
        <w:rPr>
          <w:sz w:val="24"/>
          <w:szCs w:val="24"/>
        </w:rPr>
        <w:t>2 000</w:t>
      </w:r>
      <w:r>
        <w:rPr>
          <w:sz w:val="24"/>
          <w:szCs w:val="24"/>
        </w:rPr>
        <w:t xml:space="preserve"> Eur, iš jų – </w:t>
      </w:r>
      <w:r w:rsidR="000C6BFF">
        <w:rPr>
          <w:sz w:val="24"/>
          <w:szCs w:val="24"/>
        </w:rPr>
        <w:t>8</w:t>
      </w:r>
      <w:r>
        <w:rPr>
          <w:sz w:val="24"/>
          <w:szCs w:val="24"/>
        </w:rPr>
        <w:t xml:space="preserve">00 Eur mugėms, parodoms ir kitiems renginiams, organizuojamiems Lietuvos Respublikoje, ir 1 </w:t>
      </w:r>
      <w:r w:rsidR="000C6BFF">
        <w:rPr>
          <w:sz w:val="24"/>
          <w:szCs w:val="24"/>
        </w:rPr>
        <w:t>2</w:t>
      </w:r>
      <w:r>
        <w:rPr>
          <w:sz w:val="24"/>
          <w:szCs w:val="24"/>
        </w:rPr>
        <w:t>00 Eur mugėms, parodoms ir kitiems renginiams, organizuojamiems už Lietuvos Respublikos ribų;</w:t>
      </w:r>
    </w:p>
    <w:p w:rsidR="00F16EFC" w:rsidRDefault="00F16EFC" w:rsidP="00FF4DCF">
      <w:pPr>
        <w:ind w:left="68" w:right="-8" w:firstLine="586"/>
        <w:jc w:val="both"/>
        <w:rPr>
          <w:sz w:val="24"/>
          <w:szCs w:val="24"/>
        </w:rPr>
      </w:pPr>
      <w:r>
        <w:rPr>
          <w:sz w:val="24"/>
          <w:szCs w:val="24"/>
        </w:rPr>
        <w:t>9.4. naujai įregistruotų įmonių įsteigimo išlaidoms padengti, jei įmonė kreipiasi nuo įmonės įregistravimo dienos per 1 (vienerius) metus. Maksimalus paramos dydis – 120 Eur.</w:t>
      </w:r>
      <w:r w:rsidR="000C6BFF">
        <w:rPr>
          <w:sz w:val="24"/>
          <w:szCs w:val="24"/>
        </w:rPr>
        <w:t xml:space="preserve"> Šiai paramos rūšiai netaikoma 8 punkte numatyta sąlyga – jose ne mažiau kaip 20 proc. darbuotojų gyvenamąją vietą deklaravę Panevėžio rajone.</w:t>
      </w:r>
      <w:r>
        <w:rPr>
          <w:sz w:val="24"/>
          <w:szCs w:val="24"/>
        </w:rPr>
        <w:t>“</w:t>
      </w:r>
    </w:p>
    <w:p w:rsidR="00F16EFC" w:rsidRDefault="00F16EFC">
      <w:pPr>
        <w:ind w:firstLine="720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F16EFC" w:rsidRDefault="00F16EFC">
      <w:pPr>
        <w:ind w:firstLine="720"/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6B4B7F" w:rsidRDefault="006B4B7F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6EFC" w:rsidRDefault="00F16EFC">
      <w:pPr>
        <w:rPr>
          <w:sz w:val="24"/>
          <w:szCs w:val="24"/>
        </w:rPr>
      </w:pPr>
      <w:r>
        <w:rPr>
          <w:sz w:val="24"/>
          <w:szCs w:val="24"/>
        </w:rPr>
        <w:t>Lina Gaidytė</w:t>
      </w:r>
    </w:p>
    <w:p w:rsidR="00F16EFC" w:rsidRDefault="00FF4DCF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0C6BFF">
        <w:rPr>
          <w:sz w:val="24"/>
          <w:szCs w:val="24"/>
        </w:rPr>
        <w:t>7-01-13</w:t>
      </w:r>
    </w:p>
    <w:p w:rsidR="00F16EFC" w:rsidRDefault="00F16EFC"/>
    <w:p w:rsidR="00FF4DCF" w:rsidRDefault="00F16EFC" w:rsidP="00FF4DC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>
        <w:rPr>
          <w:b/>
          <w:sz w:val="24"/>
          <w:szCs w:val="24"/>
        </w:rPr>
        <w:t>ANEVĖŽIO RAJONO SAVIVALDYBĖS ADMINISTRACIJOS</w:t>
      </w:r>
    </w:p>
    <w:p w:rsidR="00F16EFC" w:rsidRDefault="00F16EFC" w:rsidP="00FF4D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F16EFC" w:rsidRDefault="00F16EFC">
      <w:pPr>
        <w:ind w:right="72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</w:p>
    <w:p w:rsidR="00F16EFC" w:rsidRDefault="00F16EFC">
      <w:pPr>
        <w:pStyle w:val="Heading1"/>
        <w:jc w:val="center"/>
        <w:rPr>
          <w:bCs/>
          <w:szCs w:val="24"/>
        </w:rPr>
      </w:pPr>
      <w:r>
        <w:rPr>
          <w:szCs w:val="24"/>
        </w:rPr>
        <w:t>AIŠKINAMASIS RAŠTAS DĖL SPRENDIMO „</w:t>
      </w:r>
      <w:r>
        <w:rPr>
          <w:bCs/>
          <w:szCs w:val="24"/>
        </w:rPr>
        <w:t xml:space="preserve">DĖL SAVIVALDYBĖS TARYBOS </w:t>
      </w:r>
    </w:p>
    <w:p w:rsidR="00F16EFC" w:rsidRDefault="00F16EFC">
      <w:pPr>
        <w:pStyle w:val="Heading1"/>
        <w:jc w:val="center"/>
        <w:rPr>
          <w:szCs w:val="24"/>
        </w:rPr>
      </w:pPr>
      <w:r>
        <w:rPr>
          <w:bCs/>
          <w:szCs w:val="24"/>
        </w:rPr>
        <w:t xml:space="preserve">2015 M. RUGPJŪČIO 20 D. SPRENDIMO NR. T-165 „DĖL PANEVĖŽIO RAJONO SAVIVALDYBĖS SMULKAUS IR VIDUTINIO VERSLO RĖMIMO NUOSTATŲ PATVIRTINIMO“ PAKEITIMO“ </w:t>
      </w:r>
      <w:r>
        <w:rPr>
          <w:szCs w:val="24"/>
        </w:rPr>
        <w:t>PROJEKTO</w:t>
      </w:r>
    </w:p>
    <w:p w:rsidR="00F16EFC" w:rsidRDefault="00F16EFC">
      <w:pPr>
        <w:ind w:left="720" w:right="72"/>
        <w:jc w:val="center"/>
        <w:rPr>
          <w:sz w:val="24"/>
          <w:szCs w:val="24"/>
        </w:rPr>
      </w:pP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6BF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0C6BFF">
        <w:rPr>
          <w:sz w:val="24"/>
          <w:szCs w:val="24"/>
        </w:rPr>
        <w:t>sausio 13</w:t>
      </w:r>
      <w:r>
        <w:rPr>
          <w:sz w:val="24"/>
          <w:szCs w:val="24"/>
        </w:rPr>
        <w:t xml:space="preserve"> d.</w:t>
      </w: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ind w:right="72"/>
        <w:jc w:val="center"/>
        <w:rPr>
          <w:sz w:val="24"/>
          <w:szCs w:val="24"/>
        </w:rPr>
      </w:pPr>
    </w:p>
    <w:p w:rsidR="00F16EFC" w:rsidRDefault="00F16EFC">
      <w:pPr>
        <w:tabs>
          <w:tab w:val="left" w:pos="360"/>
        </w:tabs>
        <w:ind w:right="23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Projekto rengimą paskatinusios priežastys.</w:t>
      </w:r>
    </w:p>
    <w:p w:rsidR="002C2437" w:rsidRPr="002C2437" w:rsidRDefault="00F16EFC" w:rsidP="00C86FAF">
      <w:pPr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b/>
          <w:bCs/>
          <w:sz w:val="24"/>
          <w:szCs w:val="24"/>
        </w:rPr>
        <w:tab/>
      </w:r>
      <w:r w:rsidR="000C6BFF" w:rsidRPr="000C6BFF">
        <w:rPr>
          <w:bCs/>
          <w:sz w:val="24"/>
          <w:szCs w:val="24"/>
        </w:rPr>
        <w:t>Panevėžio rajono savivaldybės smulkaus ir vidutinio verslo rėmimo komisijos pasiūly</w:t>
      </w:r>
      <w:r w:rsidR="00C76B37">
        <w:rPr>
          <w:bCs/>
          <w:sz w:val="24"/>
          <w:szCs w:val="24"/>
        </w:rPr>
        <w:t xml:space="preserve">mas 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>Smulkaus ir vidutinio ve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>rslo rėmimo nuostatuose numatytos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 paramos rūšies sąlyg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>os – įmonėse ne mažiau kaip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 20 proc. darbuotojų gyvenamąją v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>ietą deklaravę Panevėžio rajone –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 ne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taikyti visoms 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>naujai į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>steigtoms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įmonėms, kurios kreipiasi dėl naujai įregistruotos įmonės </w:t>
      </w:r>
      <w:r w:rsidR="002C2437" w:rsidRPr="00701896">
        <w:rPr>
          <w:rFonts w:eastAsia="SimSun" w:cs="Mangal"/>
          <w:kern w:val="1"/>
          <w:sz w:val="24"/>
          <w:szCs w:val="24"/>
          <w:lang w:eastAsia="hi-IN" w:bidi="hi-IN"/>
        </w:rPr>
        <w:t xml:space="preserve">įsikūrimo 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>išlaidų padengimo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>. Siekiant smulkaus ir vidutinio verslo subjektams suvienodinti sąlygas taikant konkrečią paramos formą, t. y. visoms įmonėms padengti įstei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>gimo išlaidas, siūloma papildomą sąlygą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>, kad įmonėje turi būti ne mažiau kaip 20 proc. darbuotojų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>, gyvenamąją vietą deklaravusių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 xml:space="preserve"> Panevėžio rajone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>,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 xml:space="preserve"> panaikinti, nes kai kurių rūšių įmonės (mažosios bendrijos, individualios įmonės) gali įsteigti įmonę ir pradėti veiklą vykdyti ir 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>n</w:t>
      </w:r>
      <w:r w:rsidR="002C2437" w:rsidRPr="002C2437">
        <w:rPr>
          <w:rFonts w:eastAsia="SimSun" w:cs="Mangal"/>
          <w:kern w:val="1"/>
          <w:sz w:val="24"/>
          <w:szCs w:val="24"/>
          <w:lang w:eastAsia="hi-IN" w:bidi="hi-IN"/>
        </w:rPr>
        <w:t>eįdarbin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>usios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 darbuotojų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>, jeigu dirba nar</w:t>
      </w:r>
      <w:r w:rsidR="00C86FAF">
        <w:rPr>
          <w:rFonts w:eastAsia="SimSun" w:cs="Mangal"/>
          <w:kern w:val="1"/>
          <w:sz w:val="24"/>
          <w:szCs w:val="24"/>
          <w:lang w:eastAsia="hi-IN" w:bidi="hi-IN"/>
        </w:rPr>
        <w:t>ys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 xml:space="preserve"> maž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 xml:space="preserve">ojoje bendrijoje 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>ar individualios įmonės savininkas</w:t>
      </w:r>
      <w:r w:rsidR="002C2437">
        <w:rPr>
          <w:rFonts w:eastAsia="SimSun" w:cs="Mangal"/>
          <w:kern w:val="1"/>
          <w:sz w:val="24"/>
          <w:szCs w:val="24"/>
          <w:lang w:eastAsia="hi-IN" w:bidi="hi-IN"/>
        </w:rPr>
        <w:t>.</w:t>
      </w:r>
      <w:r w:rsidR="00DB31D7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</w:p>
    <w:p w:rsidR="002C2437" w:rsidRDefault="002C2437" w:rsidP="002C2437">
      <w:pPr>
        <w:ind w:firstLine="709"/>
        <w:jc w:val="both"/>
        <w:rPr>
          <w:sz w:val="24"/>
          <w:szCs w:val="24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Taip pat siūloma padidinti</w:t>
      </w:r>
      <w:r w:rsidRPr="002C2437">
        <w:rPr>
          <w:rFonts w:eastAsia="SimSun" w:cs="Mangal"/>
          <w:kern w:val="1"/>
          <w:sz w:val="24"/>
          <w:szCs w:val="24"/>
          <w:lang w:eastAsia="hi-IN" w:bidi="hi-IN"/>
        </w:rPr>
        <w:t xml:space="preserve"> įmonėms dalyvavimo mugėse, parodose ir kituose renginiuose išlaidas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 iki 2</w:t>
      </w:r>
      <w:r w:rsidR="00C76B37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000 Eur, iš jų </w:t>
      </w:r>
      <w:r>
        <w:rPr>
          <w:sz w:val="24"/>
          <w:szCs w:val="24"/>
        </w:rPr>
        <w:t>– 800 Eur mugėms, parodoms ir kitiems renginiams, organizuojamiems Lietuvos Respublikoje, ir 1 200 Eur mugėms, parodoms ir kitiems renginiams, organizuojamiems už Lietuvos Respublikos ribų;</w:t>
      </w:r>
    </w:p>
    <w:p w:rsidR="00F16EFC" w:rsidRDefault="00F16E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Projekto rengimo esmė ir tikslai.</w:t>
      </w:r>
    </w:p>
    <w:p w:rsidR="00F16EFC" w:rsidRDefault="00F16E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</w:t>
      </w:r>
      <w:r w:rsidR="002C2437">
        <w:rPr>
          <w:sz w:val="24"/>
          <w:szCs w:val="24"/>
        </w:rPr>
        <w:t xml:space="preserve">Komisijos siūlymus, </w:t>
      </w:r>
      <w:r>
        <w:rPr>
          <w:sz w:val="24"/>
          <w:szCs w:val="24"/>
        </w:rPr>
        <w:t>siūloma pakeisti Panevėžio rajono savivaldybės smulkaus ir vidutinio verslo rėmimo nuostatus.</w:t>
      </w:r>
    </w:p>
    <w:p w:rsidR="00F16EFC" w:rsidRDefault="00F16EFC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F16EFC" w:rsidRDefault="002C2437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Padaugės </w:t>
      </w:r>
      <w:r w:rsidR="00C76B37">
        <w:rPr>
          <w:bCs/>
          <w:sz w:val="24"/>
          <w:szCs w:val="24"/>
        </w:rPr>
        <w:t xml:space="preserve">iš Smulkaus ir vidutinio verslo rėmimo lėšų </w:t>
      </w:r>
      <w:r>
        <w:rPr>
          <w:bCs/>
          <w:sz w:val="24"/>
          <w:szCs w:val="24"/>
        </w:rPr>
        <w:t>paremtų įmonių skaičius.</w:t>
      </w:r>
    </w:p>
    <w:p w:rsidR="00F16EFC" w:rsidRDefault="00F16EFC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F16EFC" w:rsidRDefault="00F16EFC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Kokius galiojančius teisės aktus būtina </w:t>
      </w:r>
      <w:r w:rsidRPr="00701896">
        <w:rPr>
          <w:b/>
          <w:sz w:val="24"/>
          <w:szCs w:val="24"/>
        </w:rPr>
        <w:t>pakeisti ar panaikinti</w:t>
      </w:r>
      <w:r>
        <w:rPr>
          <w:b/>
          <w:color w:val="000000"/>
          <w:sz w:val="24"/>
          <w:szCs w:val="24"/>
        </w:rPr>
        <w:t>, priėmus teikiamą projektą.</w:t>
      </w:r>
    </w:p>
    <w:p w:rsidR="00F16EFC" w:rsidRDefault="00CF1647" w:rsidP="00DB31D7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Reikės pakeisti </w:t>
      </w:r>
      <w:r w:rsidR="005F6AD7">
        <w:rPr>
          <w:sz w:val="24"/>
          <w:szCs w:val="24"/>
        </w:rPr>
        <w:t>S</w:t>
      </w:r>
      <w:r w:rsidR="00F16EFC">
        <w:rPr>
          <w:sz w:val="24"/>
          <w:szCs w:val="24"/>
        </w:rPr>
        <w:t xml:space="preserve">avivaldybės </w:t>
      </w:r>
      <w:r w:rsidR="00DB31D7">
        <w:rPr>
          <w:sz w:val="24"/>
          <w:szCs w:val="24"/>
        </w:rPr>
        <w:t xml:space="preserve">administracijos direktoriaus </w:t>
      </w:r>
      <w:r w:rsidR="00F16EFC">
        <w:rPr>
          <w:sz w:val="24"/>
          <w:szCs w:val="24"/>
        </w:rPr>
        <w:t xml:space="preserve">2015 m. </w:t>
      </w:r>
      <w:r w:rsidR="00DB31D7">
        <w:rPr>
          <w:sz w:val="24"/>
          <w:szCs w:val="24"/>
        </w:rPr>
        <w:t>lapkričio 5</w:t>
      </w:r>
      <w:r w:rsidR="00F16EFC">
        <w:rPr>
          <w:sz w:val="24"/>
          <w:szCs w:val="24"/>
        </w:rPr>
        <w:t xml:space="preserve"> d. </w:t>
      </w:r>
      <w:r w:rsidR="00DB31D7">
        <w:rPr>
          <w:sz w:val="24"/>
          <w:szCs w:val="24"/>
        </w:rPr>
        <w:t>įsakym</w:t>
      </w:r>
      <w:r>
        <w:rPr>
          <w:sz w:val="24"/>
          <w:szCs w:val="24"/>
        </w:rPr>
        <w:t>ą</w:t>
      </w:r>
      <w:r w:rsidR="00F16EFC">
        <w:rPr>
          <w:sz w:val="24"/>
          <w:szCs w:val="24"/>
        </w:rPr>
        <w:t xml:space="preserve"> Nr. </w:t>
      </w:r>
      <w:r w:rsidR="00DB31D7">
        <w:rPr>
          <w:sz w:val="24"/>
          <w:szCs w:val="24"/>
        </w:rPr>
        <w:t>A</w:t>
      </w:r>
      <w:r w:rsidR="00F16EFC">
        <w:rPr>
          <w:sz w:val="24"/>
          <w:szCs w:val="24"/>
        </w:rPr>
        <w:t>-</w:t>
      </w:r>
      <w:r w:rsidR="00DB31D7">
        <w:rPr>
          <w:sz w:val="24"/>
          <w:szCs w:val="24"/>
        </w:rPr>
        <w:t>1167</w:t>
      </w:r>
      <w:r w:rsidR="00F16EFC">
        <w:rPr>
          <w:sz w:val="24"/>
          <w:szCs w:val="24"/>
        </w:rPr>
        <w:t xml:space="preserve"> „Dėl </w:t>
      </w:r>
      <w:r w:rsidR="00C76B37">
        <w:rPr>
          <w:sz w:val="24"/>
          <w:szCs w:val="24"/>
        </w:rPr>
        <w:t>F</w:t>
      </w:r>
      <w:r w:rsidR="00DB31D7">
        <w:rPr>
          <w:sz w:val="24"/>
          <w:szCs w:val="24"/>
        </w:rPr>
        <w:t>inansinės paramos suteikimo ūkio subjektams tvarkos aprašo patvirtinimo</w:t>
      </w:r>
      <w:r w:rsidR="00F16EFC">
        <w:rPr>
          <w:sz w:val="24"/>
          <w:szCs w:val="24"/>
        </w:rPr>
        <w:t>“.</w:t>
      </w:r>
    </w:p>
    <w:p w:rsidR="00F16EFC" w:rsidRDefault="00F16EFC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F16E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02" w:rsidRDefault="00BE0702">
      <w:r>
        <w:separator/>
      </w:r>
    </w:p>
  </w:endnote>
  <w:endnote w:type="continuationSeparator" w:id="0">
    <w:p w:rsidR="00BE0702" w:rsidRDefault="00BE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02" w:rsidRDefault="00BE0702">
      <w:r>
        <w:separator/>
      </w:r>
    </w:p>
  </w:footnote>
  <w:footnote w:type="continuationSeparator" w:id="0">
    <w:p w:rsidR="00BE0702" w:rsidRDefault="00BE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C6BFF"/>
    <w:rsid w:val="00233991"/>
    <w:rsid w:val="002C2437"/>
    <w:rsid w:val="002E39FF"/>
    <w:rsid w:val="00562534"/>
    <w:rsid w:val="005F6AD7"/>
    <w:rsid w:val="006B4B7F"/>
    <w:rsid w:val="00701896"/>
    <w:rsid w:val="007C3497"/>
    <w:rsid w:val="007F132A"/>
    <w:rsid w:val="00A32892"/>
    <w:rsid w:val="00BE0702"/>
    <w:rsid w:val="00C76B37"/>
    <w:rsid w:val="00C86FAF"/>
    <w:rsid w:val="00CF1647"/>
    <w:rsid w:val="00D02C02"/>
    <w:rsid w:val="00D22312"/>
    <w:rsid w:val="00D4551C"/>
    <w:rsid w:val="00D915B1"/>
    <w:rsid w:val="00DB31D7"/>
    <w:rsid w:val="00DD50D4"/>
    <w:rsid w:val="00F16EFC"/>
    <w:rsid w:val="00F20015"/>
    <w:rsid w:val="00F444BF"/>
    <w:rsid w:val="00F87A8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</cp:revision>
  <cp:lastPrinted>2017-01-13T12:11:00Z</cp:lastPrinted>
  <dcterms:created xsi:type="dcterms:W3CDTF">2017-01-13T12:27:00Z</dcterms:created>
  <dcterms:modified xsi:type="dcterms:W3CDTF">2017-01-13T12:27:00Z</dcterms:modified>
</cp:coreProperties>
</file>