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49166508" r:id="rId6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C1FC5" w:rsidRDefault="00E610EB" w:rsidP="003C1FC5">
      <w:pPr>
        <w:pStyle w:val="Pagrindinistekstas"/>
      </w:pPr>
      <w:r>
        <w:t>DĖL PANEVĖŽIO RAJONO SAVIVALDYBĖS TARYBOS 2014 M. GRUODŽIO 22 D. SPRENDIMO</w:t>
      </w:r>
      <w:r w:rsidR="00004ABF">
        <w:t xml:space="preserve"> NR. T-243</w:t>
      </w:r>
      <w:r>
        <w:t xml:space="preserve"> „</w:t>
      </w:r>
      <w:r w:rsidR="003C1FC5">
        <w:t>DĖL PANEVĖŽIO RAJONO SAVIVALDYBĖS BIUDŽETINIŲ ĮSTAIGŲ DARBUOTOJŲ, DIRBANČIŲ PAGAL DARBO SUTARTIS, TARNYBINIŲ ATLYGINIMŲ SCHEMŲ (KOEFICIENTAIS) PATVIRTINIMO</w:t>
      </w:r>
      <w:r>
        <w:t>“ PRIPAŽINIMO NETEKUSIU GALIOS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3C1FC5" w:rsidRDefault="00E610EB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3C1FC5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23</w:t>
      </w:r>
      <w:r w:rsidR="003C1FC5">
        <w:rPr>
          <w:sz w:val="24"/>
          <w:lang w:val="lt-LT"/>
        </w:rPr>
        <w:t xml:space="preserve">   d.  Nr. T-</w:t>
      </w:r>
    </w:p>
    <w:p w:rsidR="003C1FC5" w:rsidRDefault="003C1FC5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E610EB" w:rsidRPr="003458B9" w:rsidRDefault="009D04FE" w:rsidP="00E610E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E610EB" w:rsidRPr="003458B9">
        <w:rPr>
          <w:sz w:val="24"/>
          <w:szCs w:val="24"/>
          <w:lang w:val="lt-LT"/>
        </w:rPr>
        <w:t>Vadovaudamasi Lietuvos Respublikos vietos sa</w:t>
      </w:r>
      <w:r w:rsidR="00E610EB">
        <w:rPr>
          <w:sz w:val="24"/>
          <w:szCs w:val="24"/>
          <w:lang w:val="lt-LT"/>
        </w:rPr>
        <w:t xml:space="preserve">vivaldos įstatymo 18 straipsnio 1 dalimi, </w:t>
      </w:r>
      <w:r w:rsidR="00E610EB" w:rsidRPr="003458B9">
        <w:rPr>
          <w:sz w:val="24"/>
          <w:szCs w:val="24"/>
          <w:lang w:val="lt-LT"/>
        </w:rPr>
        <w:t>Savivaldybės taryba</w:t>
      </w:r>
      <w:r w:rsidR="00E610EB">
        <w:rPr>
          <w:spacing w:val="60"/>
          <w:sz w:val="24"/>
          <w:szCs w:val="24"/>
          <w:lang w:val="lt-LT"/>
        </w:rPr>
        <w:t xml:space="preserve"> nusprendžia:</w:t>
      </w:r>
    </w:p>
    <w:p w:rsidR="00E610EB" w:rsidRDefault="00E610EB" w:rsidP="00E610EB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  <w:t xml:space="preserve">Pripažinti netekusiu galios Panevėžio rajono savivaldybės tarybos 2014 m. gruodžio 22 d. sprendimą Nr. T-243 „Dėl Panevėžio </w:t>
      </w:r>
      <w:r w:rsidRPr="00E610EB">
        <w:rPr>
          <w:sz w:val="24"/>
          <w:szCs w:val="24"/>
        </w:rPr>
        <w:t>rajono savivaldybės biudžetinių įstaigų darbuotojų, dirbančių pagal darbo sutartis, tarnybinių atlyginimų schemų (koeficientais) patvirtinimo“</w:t>
      </w:r>
      <w:r w:rsidR="00E401A9">
        <w:rPr>
          <w:sz w:val="24"/>
          <w:szCs w:val="24"/>
        </w:rPr>
        <w:t xml:space="preserve"> su visais pakeitimais ir papildymais</w:t>
      </w:r>
      <w:r>
        <w:rPr>
          <w:sz w:val="24"/>
          <w:szCs w:val="24"/>
        </w:rPr>
        <w:t>.</w:t>
      </w: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Pr="00E610EB" w:rsidRDefault="00E610EB" w:rsidP="00E610EB">
      <w:pPr>
        <w:jc w:val="both"/>
        <w:rPr>
          <w:sz w:val="24"/>
          <w:szCs w:val="24"/>
          <w:lang w:val="lt-LT"/>
        </w:rPr>
      </w:pPr>
    </w:p>
    <w:p w:rsidR="00F07CEE" w:rsidRDefault="001D18F7" w:rsidP="00E610EB">
      <w:pPr>
        <w:jc w:val="both"/>
        <w:rPr>
          <w:lang w:val="lt-LT"/>
        </w:rPr>
      </w:pPr>
      <w:r>
        <w:rPr>
          <w:sz w:val="24"/>
          <w:lang w:val="lt-LT"/>
        </w:rPr>
        <w:tab/>
      </w: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50572A" w:rsidRDefault="0050572A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Pr="00E70D98" w:rsidRDefault="00E70D98" w:rsidP="0007454A">
      <w:pPr>
        <w:pStyle w:val="Betarp"/>
        <w:rPr>
          <w:sz w:val="24"/>
          <w:szCs w:val="24"/>
          <w:lang w:val="lt-LT"/>
        </w:rPr>
      </w:pPr>
      <w:r w:rsidRPr="00E70D98">
        <w:rPr>
          <w:sz w:val="24"/>
          <w:szCs w:val="24"/>
          <w:lang w:val="lt-LT"/>
        </w:rPr>
        <w:t>Stasė Venslavičienė</w:t>
      </w:r>
    </w:p>
    <w:p w:rsidR="00E70D98" w:rsidRPr="00E70D98" w:rsidRDefault="00E610EB" w:rsidP="0007454A">
      <w:pPr>
        <w:pStyle w:val="Betarp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2017-02-09</w:t>
      </w:r>
    </w:p>
    <w:p w:rsidR="00F07CEE" w:rsidRDefault="00F07CEE" w:rsidP="0007454A">
      <w:pPr>
        <w:pStyle w:val="Betarp"/>
        <w:rPr>
          <w:lang w:val="lt-LT"/>
        </w:rPr>
      </w:pPr>
    </w:p>
    <w:p w:rsidR="00B32069" w:rsidRDefault="00F07CEE" w:rsidP="00E610EB">
      <w:pPr>
        <w:pStyle w:val="Betarp"/>
        <w:rPr>
          <w:sz w:val="24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32069" w:rsidRDefault="00B32069">
      <w:pPr>
        <w:rPr>
          <w:sz w:val="24"/>
          <w:lang w:val="lt-LT"/>
        </w:rPr>
      </w:pPr>
    </w:p>
    <w:p w:rsidR="00414A15" w:rsidRDefault="00414A15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Default="006737E7" w:rsidP="006737E7">
      <w:pPr>
        <w:rPr>
          <w:lang w:val="lt-LT"/>
        </w:rPr>
      </w:pPr>
    </w:p>
    <w:p w:rsidR="00FB76D6" w:rsidRPr="006737E7" w:rsidRDefault="00FB76D6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Default="006737E7" w:rsidP="006737E7">
      <w:pPr>
        <w:rPr>
          <w:lang w:val="lt-LT"/>
        </w:rPr>
      </w:pPr>
    </w:p>
    <w:p w:rsidR="00FB76D6" w:rsidRPr="006737E7" w:rsidRDefault="00FB76D6" w:rsidP="006737E7">
      <w:pPr>
        <w:rPr>
          <w:lang w:val="lt-LT"/>
        </w:rPr>
      </w:pP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Pr="003C1FC5" w:rsidRDefault="00E610EB" w:rsidP="003C1FC5">
      <w:pPr>
        <w:pStyle w:val="Pagrindinistekstas"/>
      </w:pPr>
      <w:r>
        <w:rPr>
          <w:b w:val="0"/>
        </w:rPr>
        <w:t>„</w:t>
      </w:r>
      <w:r>
        <w:t xml:space="preserve">DĖL PANEVĖŽIO RAJONO SAVIVALDYBĖS TARYBOS 2014 M. GRUODŽIO 22 D. SPRENDIMO </w:t>
      </w:r>
      <w:r w:rsidR="00004ABF">
        <w:t>NR. 243</w:t>
      </w:r>
      <w:r>
        <w:t>„DĖL PANEVĖŽIO RAJONO SAVIVALDYBĖS BIUDŽETINIŲ ĮSTAIGŲ DARBUOTOJŲ, DIRBANČIŲ PAGAL DARBO SUTARTIS, TARNYBINIŲ ATLYGINIMŲ SCHEMŲ (KOEFICIENTAIS) PATVIRTINIMO“ PRIPAŽINIMO NETEKUSIU GALIO</w:t>
      </w:r>
      <w:r w:rsidR="00E401A9">
        <w:t>S</w:t>
      </w:r>
      <w:r w:rsidR="00B07407" w:rsidRPr="003C1FC5"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E401A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2017-02-09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E401A9">
        <w:rPr>
          <w:sz w:val="24"/>
          <w:szCs w:val="24"/>
          <w:lang w:val="lt-LT"/>
        </w:rPr>
        <w:t>Lietuvos Respublikos valstybės ir savivaldybių įstaigų darbuotojų darbo apmokėjimo įstatymas.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F90FBD" w:rsidRDefault="004831F7" w:rsidP="004831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E401A9" w:rsidRPr="00E9303E">
        <w:rPr>
          <w:sz w:val="24"/>
          <w:szCs w:val="24"/>
          <w:lang w:val="lt-LT"/>
        </w:rPr>
        <w:t>Lietuvos Respublikos Seimas priėmė Valstybės ir savivaldybių įstaigų darbuotojų darbo apmokėjimo įstatymą</w:t>
      </w:r>
      <w:r w:rsidR="00E401A9">
        <w:rPr>
          <w:sz w:val="24"/>
          <w:szCs w:val="24"/>
          <w:lang w:val="lt-LT"/>
        </w:rPr>
        <w:t>,</w:t>
      </w:r>
      <w:r w:rsidR="00E401A9" w:rsidRPr="00E9303E">
        <w:rPr>
          <w:sz w:val="24"/>
          <w:szCs w:val="24"/>
          <w:lang w:val="lt-LT"/>
        </w:rPr>
        <w:t xml:space="preserve"> kuriuo įtvirtinami biudžeti</w:t>
      </w:r>
      <w:r w:rsidR="00E401A9">
        <w:rPr>
          <w:sz w:val="24"/>
          <w:szCs w:val="24"/>
          <w:lang w:val="lt-LT"/>
        </w:rPr>
        <w:t xml:space="preserve">nių įstaigų </w:t>
      </w:r>
      <w:r w:rsidR="00E401A9" w:rsidRPr="00E9303E">
        <w:rPr>
          <w:sz w:val="24"/>
          <w:szCs w:val="24"/>
          <w:lang w:val="lt-LT"/>
        </w:rPr>
        <w:t>darbuotojų, dirbančių pagal darbo sutartis, darb</w:t>
      </w:r>
      <w:r w:rsidR="00E401A9">
        <w:rPr>
          <w:sz w:val="24"/>
          <w:szCs w:val="24"/>
          <w:lang w:val="lt-LT"/>
        </w:rPr>
        <w:t>o apmokėjimo sąlygos ir dydžiai. Visų biudžetinių įstaigų darbuotojų pareiginės al</w:t>
      </w:r>
      <w:r w:rsidR="008E3ED9">
        <w:rPr>
          <w:sz w:val="24"/>
          <w:szCs w:val="24"/>
          <w:lang w:val="lt-LT"/>
        </w:rPr>
        <w:t>gos pastovioji ir kintamoji daly</w:t>
      </w:r>
      <w:r w:rsidR="00E401A9">
        <w:rPr>
          <w:sz w:val="24"/>
          <w:szCs w:val="24"/>
          <w:lang w:val="lt-LT"/>
        </w:rPr>
        <w:t>s bus nustatom</w:t>
      </w:r>
      <w:r w:rsidR="008E3ED9">
        <w:rPr>
          <w:sz w:val="24"/>
          <w:szCs w:val="24"/>
          <w:lang w:val="lt-LT"/>
        </w:rPr>
        <w:t>os</w:t>
      </w:r>
      <w:r w:rsidR="00E401A9">
        <w:rPr>
          <w:sz w:val="24"/>
          <w:szCs w:val="24"/>
          <w:lang w:val="lt-LT"/>
        </w:rPr>
        <w:t>, vadovaujantis minėtu įstatymu. Šiuo įstat</w:t>
      </w:r>
      <w:r w:rsidR="008E3ED9">
        <w:rPr>
          <w:sz w:val="24"/>
          <w:szCs w:val="24"/>
          <w:lang w:val="lt-LT"/>
        </w:rPr>
        <w:t>ymu</w:t>
      </w:r>
      <w:r w:rsidR="00E401A9">
        <w:rPr>
          <w:sz w:val="24"/>
          <w:szCs w:val="24"/>
          <w:lang w:val="lt-LT"/>
        </w:rPr>
        <w:t xml:space="preserve"> yra nurodyta, kad savininko teises ir pareigas įgyvendinanti institucija nustato jos reguliavimo sričiai priskirtų biudžetinių įstaigų vadovų darbo apmokėjimo sistemą, o visų kitų biudžetinių įstaigų darbuotojų, dirbančių pagal darbo sutartis, darbo apmokėjimo sistema nustatoma įstaigos kolektyvinėje sutartyje arba įstaigos vidaus ar darbo tvarkos taisyklėse, kurias tvirtina įstaigos vadovas.</w:t>
      </w:r>
    </w:p>
    <w:p w:rsidR="00E401A9" w:rsidRPr="00E401A9" w:rsidRDefault="00E401A9" w:rsidP="004831F7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  <w:t xml:space="preserve">Dėl šios priežasties sprendimo projektu siūloma pripažinti netekusiu galios Panevėžio rajono savivaldybės tarybos 2014 m. gruodžio 22 d. sprendimą Nr. T-243 „Dėl Panevėžio </w:t>
      </w:r>
      <w:r w:rsidRPr="00E610EB">
        <w:rPr>
          <w:sz w:val="24"/>
          <w:szCs w:val="24"/>
        </w:rPr>
        <w:t>rajono savivaldybės biudžetinių įstaigų darbuotojų, dirbančių pagal darbo sutartis, tarnybinių atlyginimų schemų (koeficientais) patvirtinimo“</w:t>
      </w:r>
      <w:r>
        <w:rPr>
          <w:sz w:val="24"/>
          <w:szCs w:val="24"/>
        </w:rPr>
        <w:t xml:space="preserve"> su visais pakeitimais ir papildymais.</w:t>
      </w:r>
    </w:p>
    <w:p w:rsidR="00B07407" w:rsidRDefault="00B07407" w:rsidP="004831F7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B07407" w:rsidRPr="003106DC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3106DC" w:rsidRPr="003106DC">
        <w:rPr>
          <w:sz w:val="24"/>
        </w:rPr>
        <w:t>Vykdomi teisės aktai.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F90FBD" w:rsidRDefault="00F90FBD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  <w:lang w:val="lt-LT"/>
        </w:rPr>
        <w:t>Neigiamų pasekmių nenumatoma.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B07407" w:rsidRDefault="00B0740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3106DC">
        <w:rPr>
          <w:sz w:val="24"/>
          <w:lang w:val="lt-LT"/>
        </w:rPr>
        <w:t>Sprendimo įgyvendinimui finansavimas nereikalingas</w:t>
      </w:r>
      <w:r w:rsidR="00727C89">
        <w:rPr>
          <w:sz w:val="24"/>
          <w:lang w:val="lt-LT"/>
        </w:rPr>
        <w:t>.</w:t>
      </w:r>
    </w:p>
    <w:p w:rsidR="00B07407" w:rsidRDefault="00A428D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E56BEB" w:rsidRPr="00A428D6" w:rsidRDefault="00E56BEB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sectPr w:rsidR="00B07407" w:rsidRPr="00A428D6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4ABF"/>
    <w:rsid w:val="0007454A"/>
    <w:rsid w:val="000772FE"/>
    <w:rsid w:val="00090F20"/>
    <w:rsid w:val="000B0152"/>
    <w:rsid w:val="00107734"/>
    <w:rsid w:val="0012197F"/>
    <w:rsid w:val="00133229"/>
    <w:rsid w:val="001612A3"/>
    <w:rsid w:val="001776DA"/>
    <w:rsid w:val="001B7C7A"/>
    <w:rsid w:val="001C2743"/>
    <w:rsid w:val="001D18F7"/>
    <w:rsid w:val="001D6E70"/>
    <w:rsid w:val="002035BF"/>
    <w:rsid w:val="00266048"/>
    <w:rsid w:val="002740C4"/>
    <w:rsid w:val="002E485C"/>
    <w:rsid w:val="002F7822"/>
    <w:rsid w:val="003106DC"/>
    <w:rsid w:val="003526F0"/>
    <w:rsid w:val="00367A82"/>
    <w:rsid w:val="00372C7A"/>
    <w:rsid w:val="003913F2"/>
    <w:rsid w:val="003B2355"/>
    <w:rsid w:val="003C11EE"/>
    <w:rsid w:val="003C1FC5"/>
    <w:rsid w:val="003F392F"/>
    <w:rsid w:val="00414A15"/>
    <w:rsid w:val="0041567C"/>
    <w:rsid w:val="0042450A"/>
    <w:rsid w:val="004831F7"/>
    <w:rsid w:val="0050572A"/>
    <w:rsid w:val="0053782D"/>
    <w:rsid w:val="005A01B4"/>
    <w:rsid w:val="005B727A"/>
    <w:rsid w:val="005C2B3D"/>
    <w:rsid w:val="006573E4"/>
    <w:rsid w:val="006573E7"/>
    <w:rsid w:val="00670426"/>
    <w:rsid w:val="006735AC"/>
    <w:rsid w:val="006737E7"/>
    <w:rsid w:val="006868B8"/>
    <w:rsid w:val="006D4C80"/>
    <w:rsid w:val="00727C89"/>
    <w:rsid w:val="00773F12"/>
    <w:rsid w:val="00787733"/>
    <w:rsid w:val="007B3AAD"/>
    <w:rsid w:val="007B6765"/>
    <w:rsid w:val="007F569E"/>
    <w:rsid w:val="008004BF"/>
    <w:rsid w:val="008142EE"/>
    <w:rsid w:val="00861E94"/>
    <w:rsid w:val="00864626"/>
    <w:rsid w:val="00874DE2"/>
    <w:rsid w:val="008751E8"/>
    <w:rsid w:val="008E3ED9"/>
    <w:rsid w:val="009023CA"/>
    <w:rsid w:val="00927C20"/>
    <w:rsid w:val="00993D92"/>
    <w:rsid w:val="009D04FE"/>
    <w:rsid w:val="00A1675D"/>
    <w:rsid w:val="00A35EB2"/>
    <w:rsid w:val="00A428D6"/>
    <w:rsid w:val="00A86584"/>
    <w:rsid w:val="00AD781D"/>
    <w:rsid w:val="00B07407"/>
    <w:rsid w:val="00B32069"/>
    <w:rsid w:val="00B37A57"/>
    <w:rsid w:val="00BF281B"/>
    <w:rsid w:val="00C06FB2"/>
    <w:rsid w:val="00C4269F"/>
    <w:rsid w:val="00C718BE"/>
    <w:rsid w:val="00C72940"/>
    <w:rsid w:val="00CA74CB"/>
    <w:rsid w:val="00CB3775"/>
    <w:rsid w:val="00CB64A9"/>
    <w:rsid w:val="00CE7BD6"/>
    <w:rsid w:val="00D157E4"/>
    <w:rsid w:val="00D35C33"/>
    <w:rsid w:val="00D4507D"/>
    <w:rsid w:val="00DC03EE"/>
    <w:rsid w:val="00DC1905"/>
    <w:rsid w:val="00DD5282"/>
    <w:rsid w:val="00E401A9"/>
    <w:rsid w:val="00E4183E"/>
    <w:rsid w:val="00E51087"/>
    <w:rsid w:val="00E56BEB"/>
    <w:rsid w:val="00E610EB"/>
    <w:rsid w:val="00E709EB"/>
    <w:rsid w:val="00E70D98"/>
    <w:rsid w:val="00E932DB"/>
    <w:rsid w:val="00F07CEE"/>
    <w:rsid w:val="00F12C7F"/>
    <w:rsid w:val="00F70E89"/>
    <w:rsid w:val="00F90FBD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47F9D3-2420-4030-AB9A-52F8532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2017-02-09T13:05:00Z</cp:lastPrinted>
  <dcterms:created xsi:type="dcterms:W3CDTF">2017-02-21T05:15:00Z</dcterms:created>
  <dcterms:modified xsi:type="dcterms:W3CDTF">2017-02-21T05:15:00Z</dcterms:modified>
</cp:coreProperties>
</file>