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9E" w:rsidRDefault="004E519E">
      <w:pPr>
        <w:pStyle w:val="Antrats"/>
        <w:jc w:val="center"/>
      </w:pPr>
    </w:p>
    <w:p w:rsidR="00716AA5" w:rsidRDefault="001973EB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16AA5" w:rsidRDefault="00716AA5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716AA5" w:rsidRDefault="00716AA5">
      <w:pPr>
        <w:pStyle w:val="Antrats"/>
        <w:jc w:val="center"/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716AA5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A84E9E">
        <w:rPr>
          <w:b/>
          <w:bCs/>
          <w:caps/>
          <w:color w:val="000000"/>
          <w:sz w:val="24"/>
          <w:szCs w:val="24"/>
        </w:rPr>
        <w:t>KELEI</w:t>
      </w:r>
      <w:r w:rsidR="008F30AD">
        <w:rPr>
          <w:b/>
          <w:bCs/>
          <w:caps/>
          <w:color w:val="000000"/>
          <w:sz w:val="24"/>
          <w:szCs w:val="24"/>
        </w:rPr>
        <w:t>VIŲ VEŽIMO REGULIARIAIS REISAIS VIETINIO</w:t>
      </w:r>
      <w:r w:rsidR="006F407E">
        <w:rPr>
          <w:b/>
          <w:bCs/>
          <w:caps/>
          <w:color w:val="000000"/>
          <w:sz w:val="24"/>
          <w:szCs w:val="24"/>
        </w:rPr>
        <w:t xml:space="preserve"> </w:t>
      </w:r>
      <w:r w:rsidR="00A84E9E">
        <w:rPr>
          <w:b/>
          <w:bCs/>
          <w:caps/>
          <w:color w:val="000000"/>
          <w:sz w:val="24"/>
          <w:szCs w:val="24"/>
        </w:rPr>
        <w:t>SUSISIEKIMO MARŠRUTAIS TARIFO NUSTATYMO</w:t>
      </w:r>
    </w:p>
    <w:p w:rsidR="00716AA5" w:rsidRPr="00937A2D" w:rsidRDefault="00716AA5">
      <w:pPr>
        <w:jc w:val="center"/>
        <w:rPr>
          <w:sz w:val="24"/>
          <w:szCs w:val="24"/>
        </w:rPr>
      </w:pPr>
    </w:p>
    <w:p w:rsidR="00716AA5" w:rsidRPr="00937A2D" w:rsidRDefault="00716AA5">
      <w:pPr>
        <w:jc w:val="center"/>
        <w:rPr>
          <w:sz w:val="24"/>
          <w:szCs w:val="24"/>
        </w:rPr>
      </w:pPr>
    </w:p>
    <w:p w:rsidR="00716AA5" w:rsidRDefault="00046C51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716AA5">
        <w:rPr>
          <w:sz w:val="24"/>
          <w:szCs w:val="24"/>
        </w:rPr>
        <w:t xml:space="preserve"> m</w:t>
      </w:r>
      <w:r w:rsidR="00864F14">
        <w:rPr>
          <w:sz w:val="24"/>
          <w:szCs w:val="24"/>
        </w:rPr>
        <w:t xml:space="preserve">. </w:t>
      </w:r>
      <w:r w:rsidR="00937A2D">
        <w:rPr>
          <w:sz w:val="24"/>
          <w:szCs w:val="24"/>
        </w:rPr>
        <w:t>lapkričio 17</w:t>
      </w:r>
      <w:r w:rsidR="006F7BEA">
        <w:rPr>
          <w:sz w:val="24"/>
          <w:szCs w:val="24"/>
        </w:rPr>
        <w:t xml:space="preserve"> </w:t>
      </w:r>
      <w:r w:rsidR="00716AA5">
        <w:rPr>
          <w:sz w:val="24"/>
          <w:szCs w:val="24"/>
        </w:rPr>
        <w:t>d. Nr. T-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AA76B6">
        <w:rPr>
          <w:sz w:val="24"/>
          <w:szCs w:val="24"/>
        </w:rPr>
        <w:t>vietos savivaldos įstatymo 16 straipsnio 2 dalies</w:t>
      </w:r>
      <w:r w:rsidR="00937A2D">
        <w:rPr>
          <w:sz w:val="24"/>
          <w:szCs w:val="24"/>
        </w:rPr>
        <w:t xml:space="preserve"> </w:t>
      </w:r>
      <w:r w:rsidR="00937A2D">
        <w:rPr>
          <w:sz w:val="24"/>
          <w:szCs w:val="24"/>
        </w:rPr>
        <w:br/>
      </w:r>
      <w:r w:rsidR="00AA76B6">
        <w:rPr>
          <w:sz w:val="24"/>
          <w:szCs w:val="24"/>
        </w:rPr>
        <w:t xml:space="preserve">37 punktu, </w:t>
      </w:r>
      <w:r w:rsidR="002B58AE">
        <w:rPr>
          <w:sz w:val="24"/>
          <w:szCs w:val="24"/>
        </w:rPr>
        <w:t xml:space="preserve">18 straipsnio 1 dalimi, </w:t>
      </w:r>
      <w:r w:rsidR="00864F14">
        <w:rPr>
          <w:sz w:val="24"/>
          <w:szCs w:val="24"/>
        </w:rPr>
        <w:t>Lietuvos Respubli</w:t>
      </w:r>
      <w:r w:rsidR="0042792F">
        <w:rPr>
          <w:sz w:val="24"/>
          <w:szCs w:val="24"/>
        </w:rPr>
        <w:t xml:space="preserve">kos </w:t>
      </w:r>
      <w:r w:rsidR="00AA76B6">
        <w:rPr>
          <w:sz w:val="24"/>
          <w:szCs w:val="24"/>
        </w:rPr>
        <w:t>kelių transporto kodekso</w:t>
      </w:r>
      <w:r w:rsidR="006D5B52">
        <w:rPr>
          <w:sz w:val="24"/>
          <w:szCs w:val="24"/>
        </w:rPr>
        <w:t xml:space="preserve"> 16 straipsnio</w:t>
      </w:r>
      <w:r w:rsidR="00937A2D">
        <w:rPr>
          <w:sz w:val="24"/>
          <w:szCs w:val="24"/>
        </w:rPr>
        <w:t xml:space="preserve"> </w:t>
      </w:r>
      <w:r w:rsidR="00937A2D">
        <w:rPr>
          <w:sz w:val="24"/>
          <w:szCs w:val="24"/>
        </w:rPr>
        <w:br/>
      </w:r>
      <w:r w:rsidR="00AA76B6">
        <w:rPr>
          <w:sz w:val="24"/>
          <w:szCs w:val="24"/>
        </w:rPr>
        <w:t>2</w:t>
      </w:r>
      <w:r w:rsidR="007E5166">
        <w:rPr>
          <w:sz w:val="24"/>
          <w:szCs w:val="24"/>
        </w:rPr>
        <w:t xml:space="preserve"> </w:t>
      </w:r>
      <w:r w:rsidR="006D5B52">
        <w:rPr>
          <w:sz w:val="24"/>
          <w:szCs w:val="24"/>
        </w:rPr>
        <w:t>dalim</w:t>
      </w:r>
      <w:r w:rsidR="00117B5C">
        <w:rPr>
          <w:sz w:val="24"/>
          <w:szCs w:val="24"/>
        </w:rPr>
        <w:t>i</w:t>
      </w:r>
      <w:r w:rsidR="004332E5">
        <w:rPr>
          <w:sz w:val="24"/>
          <w:szCs w:val="24"/>
        </w:rPr>
        <w:t xml:space="preserve"> bei atsižvelgdama į privačių vežėjų asociacijos „Aukštaitijos ekipažas“ 2016-10-12 raštą ir UAB „Panevėžio autobusų parkas“ 2016-10-12 raštą Nr. 1-2274</w:t>
      </w:r>
      <w:r w:rsidR="00AE04FD">
        <w:rPr>
          <w:sz w:val="24"/>
          <w:szCs w:val="24"/>
        </w:rPr>
        <w:t>,</w:t>
      </w:r>
      <w:r w:rsidR="006F7BEA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937A2D">
        <w:rPr>
          <w:sz w:val="24"/>
          <w:szCs w:val="24"/>
        </w:rPr>
        <w:t xml:space="preserve"> </w:t>
      </w:r>
      <w:r w:rsidR="00937A2D">
        <w:rPr>
          <w:sz w:val="24"/>
          <w:szCs w:val="24"/>
        </w:rPr>
        <w:br/>
      </w:r>
      <w:r>
        <w:rPr>
          <w:sz w:val="24"/>
          <w:szCs w:val="24"/>
        </w:rPr>
        <w:t>n u s p r e n d ž i a:</w:t>
      </w:r>
    </w:p>
    <w:p w:rsidR="00716AA5" w:rsidRDefault="00A84E9E" w:rsidP="00A84E9E">
      <w:pPr>
        <w:ind w:right="-15"/>
        <w:jc w:val="both"/>
        <w:rPr>
          <w:sz w:val="24"/>
          <w:szCs w:val="24"/>
        </w:rPr>
      </w:pPr>
      <w:r w:rsidRPr="00A84E9E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. Nustatyti keleivių vežimo reguliariais </w:t>
      </w:r>
      <w:r w:rsidR="006F407E">
        <w:rPr>
          <w:sz w:val="24"/>
          <w:szCs w:val="24"/>
        </w:rPr>
        <w:t xml:space="preserve">reisais vietinio </w:t>
      </w:r>
      <w:r>
        <w:rPr>
          <w:sz w:val="24"/>
          <w:szCs w:val="24"/>
        </w:rPr>
        <w:t>susisi</w:t>
      </w:r>
      <w:r w:rsidR="00046C51">
        <w:rPr>
          <w:sz w:val="24"/>
          <w:szCs w:val="24"/>
        </w:rPr>
        <w:t xml:space="preserve">ekimo maršrutais tarifą – </w:t>
      </w:r>
      <w:r w:rsidR="00937A2D">
        <w:rPr>
          <w:sz w:val="24"/>
          <w:szCs w:val="24"/>
        </w:rPr>
        <w:br/>
      </w:r>
      <w:r w:rsidR="004A5D04">
        <w:rPr>
          <w:sz w:val="24"/>
          <w:szCs w:val="24"/>
        </w:rPr>
        <w:t>0,075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be PVM už vieną keleivio kilometrą. </w:t>
      </w:r>
    </w:p>
    <w:p w:rsidR="002B58AE" w:rsidRDefault="00A84E9E" w:rsidP="00A84E9E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37A2D">
        <w:rPr>
          <w:sz w:val="24"/>
          <w:szCs w:val="24"/>
        </w:rPr>
        <w:t>2. Pripažinti</w:t>
      </w:r>
      <w:r w:rsidR="002B58AE">
        <w:rPr>
          <w:sz w:val="24"/>
          <w:szCs w:val="24"/>
        </w:rPr>
        <w:t xml:space="preserve"> netekusiu galios Savivaldybės tarybos 2014 m. lapkričio 20</w:t>
      </w:r>
      <w:r w:rsidR="00937A2D">
        <w:rPr>
          <w:sz w:val="24"/>
          <w:szCs w:val="24"/>
        </w:rPr>
        <w:t xml:space="preserve"> d. sprendimą </w:t>
      </w:r>
      <w:r w:rsidR="00937A2D">
        <w:rPr>
          <w:sz w:val="24"/>
          <w:szCs w:val="24"/>
        </w:rPr>
        <w:br/>
      </w:r>
      <w:r w:rsidR="002B58AE">
        <w:rPr>
          <w:sz w:val="24"/>
          <w:szCs w:val="24"/>
        </w:rPr>
        <w:t>Nr. T-193 „Dėl keleivių vežimo reguliariais reisais vietinio (priemiestinio) susisiek</w:t>
      </w:r>
      <w:r w:rsidR="006F7BEA">
        <w:rPr>
          <w:sz w:val="24"/>
          <w:szCs w:val="24"/>
        </w:rPr>
        <w:t>imo maršrutais tarifo nustatymo</w:t>
      </w:r>
      <w:r w:rsidR="002B58AE">
        <w:rPr>
          <w:sz w:val="24"/>
          <w:szCs w:val="24"/>
        </w:rPr>
        <w:t>“</w:t>
      </w:r>
      <w:r w:rsidR="006F7BEA">
        <w:rPr>
          <w:sz w:val="24"/>
          <w:szCs w:val="24"/>
        </w:rPr>
        <w:t>.</w:t>
      </w:r>
    </w:p>
    <w:p w:rsidR="00A84E9E" w:rsidRDefault="002B58AE" w:rsidP="002B58A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707E">
        <w:rPr>
          <w:sz w:val="24"/>
          <w:szCs w:val="24"/>
        </w:rPr>
        <w:t>. Sprendimas įsigalioja 2017</w:t>
      </w:r>
      <w:r w:rsidR="00937A2D">
        <w:rPr>
          <w:sz w:val="24"/>
          <w:szCs w:val="24"/>
        </w:rPr>
        <w:t xml:space="preserve"> </w:t>
      </w:r>
      <w:r w:rsidR="00A84E9E">
        <w:rPr>
          <w:sz w:val="24"/>
          <w:szCs w:val="24"/>
        </w:rPr>
        <w:t xml:space="preserve">m. </w:t>
      </w:r>
      <w:r w:rsidR="00B9707E">
        <w:rPr>
          <w:sz w:val="24"/>
          <w:szCs w:val="24"/>
        </w:rPr>
        <w:t xml:space="preserve">sausio </w:t>
      </w:r>
      <w:r w:rsidR="00A84E9E">
        <w:rPr>
          <w:sz w:val="24"/>
          <w:szCs w:val="24"/>
        </w:rPr>
        <w:t>1 d.</w:t>
      </w:r>
    </w:p>
    <w:p w:rsidR="00A84E9E" w:rsidRDefault="00716AA5" w:rsidP="00137DFF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</w:p>
    <w:p w:rsidR="00716AA5" w:rsidRDefault="00A84E9E" w:rsidP="00A84E9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  <w:r w:rsidR="00716AA5">
        <w:rPr>
          <w:sz w:val="24"/>
          <w:szCs w:val="24"/>
        </w:rPr>
        <w:t xml:space="preserve"> </w:t>
      </w: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3E1382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06CF6" w:rsidRDefault="00106CF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06CF6" w:rsidRDefault="00106CF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A84E9E" w:rsidRDefault="00A84E9E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37A2D" w:rsidRDefault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E1382" w:rsidRDefault="0028423A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Ne</w:t>
      </w:r>
      <w:r w:rsidR="00106CF6">
        <w:rPr>
          <w:sz w:val="24"/>
          <w:szCs w:val="24"/>
        </w:rPr>
        <w:t xml:space="preserve">ringa </w:t>
      </w:r>
      <w:proofErr w:type="spellStart"/>
      <w:r w:rsidR="00106CF6">
        <w:rPr>
          <w:sz w:val="24"/>
          <w:szCs w:val="24"/>
        </w:rPr>
        <w:t>Kraujalienė</w:t>
      </w:r>
      <w:proofErr w:type="spellEnd"/>
    </w:p>
    <w:p w:rsidR="00716AA5" w:rsidRPr="00937A2D" w:rsidRDefault="00B9707E" w:rsidP="00937A2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  <w:sectPr w:rsidR="00716AA5" w:rsidRPr="00937A2D">
          <w:headerReference w:type="default" r:id="rId9"/>
          <w:pgSz w:w="11905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>2016-11</w:t>
      </w:r>
      <w:r w:rsidR="00937A2D">
        <w:rPr>
          <w:sz w:val="24"/>
          <w:szCs w:val="24"/>
        </w:rPr>
        <w:t>-03</w:t>
      </w:r>
    </w:p>
    <w:p w:rsidR="00716AA5" w:rsidRDefault="00716AA5" w:rsidP="002B3CBC">
      <w:pPr>
        <w:pageBreakBefore/>
        <w:ind w:right="139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716AA5" w:rsidRDefault="00716AA5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pStyle w:val="Antrat1"/>
      </w:pPr>
      <w:r>
        <w:t>AIŠKINAMASIS RAŠTAS DĖL SPRENDIMO „</w:t>
      </w:r>
      <w:r w:rsidR="00830844">
        <w:rPr>
          <w:bCs/>
          <w:caps/>
          <w:color w:val="000000"/>
          <w:szCs w:val="24"/>
        </w:rPr>
        <w:t xml:space="preserve">DĖL </w:t>
      </w:r>
      <w:r w:rsidR="00117B5C">
        <w:rPr>
          <w:bCs/>
          <w:caps/>
          <w:color w:val="000000"/>
          <w:szCs w:val="24"/>
        </w:rPr>
        <w:t>KELEIVIŲ VE</w:t>
      </w:r>
      <w:r w:rsidR="008F30AD">
        <w:rPr>
          <w:bCs/>
          <w:caps/>
          <w:color w:val="000000"/>
          <w:szCs w:val="24"/>
        </w:rPr>
        <w:t xml:space="preserve">ŽIMO REGULIARIAIS REISAIS VIETINIO </w:t>
      </w:r>
      <w:r w:rsidR="00D4330F">
        <w:rPr>
          <w:bCs/>
          <w:caps/>
          <w:color w:val="000000"/>
          <w:szCs w:val="24"/>
        </w:rPr>
        <w:t>SUSISIEKIMO MARŠRUTAIS TARIFO NUSTATYMO“</w:t>
      </w:r>
      <w:r>
        <w:rPr>
          <w:bCs/>
        </w:rPr>
        <w:t xml:space="preserve"> </w:t>
      </w:r>
      <w:r>
        <w:t>PROJEKTO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A41F7A">
      <w:pPr>
        <w:jc w:val="center"/>
        <w:rPr>
          <w:sz w:val="24"/>
        </w:rPr>
      </w:pPr>
      <w:r>
        <w:rPr>
          <w:sz w:val="24"/>
        </w:rPr>
        <w:t>2016</w:t>
      </w:r>
      <w:r w:rsidR="00716AA5">
        <w:rPr>
          <w:sz w:val="24"/>
        </w:rPr>
        <w:t xml:space="preserve"> m</w:t>
      </w:r>
      <w:r w:rsidR="00937A2D">
        <w:rPr>
          <w:sz w:val="24"/>
        </w:rPr>
        <w:t>. lapkričio 3</w:t>
      </w:r>
      <w:r w:rsidR="00484E91">
        <w:rPr>
          <w:sz w:val="24"/>
        </w:rPr>
        <w:t xml:space="preserve"> </w:t>
      </w:r>
      <w:r w:rsidR="00716AA5">
        <w:rPr>
          <w:sz w:val="24"/>
        </w:rPr>
        <w:t>d.</w:t>
      </w:r>
    </w:p>
    <w:p w:rsidR="00716AA5" w:rsidRDefault="00716AA5">
      <w:pPr>
        <w:jc w:val="center"/>
        <w:rPr>
          <w:sz w:val="24"/>
        </w:rPr>
      </w:pPr>
      <w:r>
        <w:rPr>
          <w:sz w:val="24"/>
        </w:rPr>
        <w:t>Panevėžys</w:t>
      </w:r>
    </w:p>
    <w:p w:rsidR="00716AA5" w:rsidRDefault="00716AA5">
      <w:pPr>
        <w:jc w:val="both"/>
        <w:rPr>
          <w:sz w:val="24"/>
          <w:szCs w:val="24"/>
        </w:rPr>
      </w:pPr>
    </w:p>
    <w:p w:rsidR="00716AA5" w:rsidRPr="008F30AD" w:rsidRDefault="00716AA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8F30AD">
        <w:rPr>
          <w:b/>
          <w:bCs/>
          <w:sz w:val="24"/>
          <w:szCs w:val="24"/>
        </w:rPr>
        <w:t xml:space="preserve">Projekto rengimą paskatinusios priežastys. </w:t>
      </w:r>
    </w:p>
    <w:p w:rsidR="00716AA5" w:rsidRPr="008F30AD" w:rsidRDefault="00716AA5" w:rsidP="008F30AD">
      <w:pPr>
        <w:jc w:val="both"/>
        <w:rPr>
          <w:sz w:val="24"/>
          <w:szCs w:val="24"/>
        </w:rPr>
      </w:pPr>
      <w:r w:rsidRPr="008F30AD">
        <w:tab/>
      </w:r>
      <w:r w:rsidR="006F407E" w:rsidRPr="008F30AD">
        <w:rPr>
          <w:sz w:val="24"/>
          <w:szCs w:val="24"/>
        </w:rPr>
        <w:t>Lietuvos Resp</w:t>
      </w:r>
      <w:r w:rsidR="00AE04FD" w:rsidRPr="008F30AD">
        <w:rPr>
          <w:sz w:val="24"/>
          <w:szCs w:val="24"/>
        </w:rPr>
        <w:t>ublikos kelių transpor</w:t>
      </w:r>
      <w:r w:rsidR="00937A2D" w:rsidRPr="008F30AD">
        <w:rPr>
          <w:sz w:val="24"/>
          <w:szCs w:val="24"/>
        </w:rPr>
        <w:t>to kodekso 16 straipsnio 2 dalyje numatyta</w:t>
      </w:r>
      <w:r w:rsidR="006F407E" w:rsidRPr="008F30AD">
        <w:rPr>
          <w:sz w:val="24"/>
          <w:szCs w:val="24"/>
        </w:rPr>
        <w:t xml:space="preserve">, kad ne rečiau kaip kartą per </w:t>
      </w:r>
      <w:r w:rsidR="007830C0" w:rsidRPr="008F30AD">
        <w:rPr>
          <w:sz w:val="24"/>
          <w:szCs w:val="24"/>
        </w:rPr>
        <w:t xml:space="preserve">metus </w:t>
      </w:r>
      <w:r w:rsidR="00937A2D" w:rsidRPr="008F30AD">
        <w:rPr>
          <w:sz w:val="24"/>
          <w:szCs w:val="24"/>
        </w:rPr>
        <w:t>savivaldybės taryba turi peržiūrėti ir nustatyti</w:t>
      </w:r>
      <w:r w:rsidR="006F407E" w:rsidRPr="008F30AD">
        <w:rPr>
          <w:sz w:val="24"/>
          <w:szCs w:val="24"/>
        </w:rPr>
        <w:t xml:space="preserve"> k</w:t>
      </w:r>
      <w:r w:rsidR="00614535" w:rsidRPr="008F30AD">
        <w:rPr>
          <w:sz w:val="24"/>
          <w:szCs w:val="24"/>
        </w:rPr>
        <w:t xml:space="preserve">eleivių vežimo reguliariais reisais </w:t>
      </w:r>
      <w:r w:rsidR="008F30AD" w:rsidRPr="008F30AD">
        <w:rPr>
          <w:color w:val="FF0000"/>
          <w:sz w:val="24"/>
          <w:szCs w:val="24"/>
        </w:rPr>
        <w:t xml:space="preserve">   </w:t>
      </w:r>
      <w:r w:rsidR="008F30AD" w:rsidRPr="008F30AD">
        <w:rPr>
          <w:sz w:val="24"/>
          <w:szCs w:val="24"/>
        </w:rPr>
        <w:t xml:space="preserve">vietinio </w:t>
      </w:r>
      <w:r w:rsidR="00614535" w:rsidRPr="008F30AD">
        <w:rPr>
          <w:sz w:val="24"/>
          <w:szCs w:val="24"/>
        </w:rPr>
        <w:t>susisi</w:t>
      </w:r>
      <w:r w:rsidR="00937A2D" w:rsidRPr="008F30AD">
        <w:rPr>
          <w:sz w:val="24"/>
          <w:szCs w:val="24"/>
        </w:rPr>
        <w:t xml:space="preserve">ekimo maršrutais tarifo </w:t>
      </w:r>
      <w:r w:rsidR="00614535" w:rsidRPr="008F30AD">
        <w:rPr>
          <w:sz w:val="24"/>
          <w:szCs w:val="24"/>
        </w:rPr>
        <w:t>dy</w:t>
      </w:r>
      <w:r w:rsidR="00937A2D" w:rsidRPr="008F30AD">
        <w:rPr>
          <w:sz w:val="24"/>
          <w:szCs w:val="24"/>
        </w:rPr>
        <w:t>dį</w:t>
      </w:r>
      <w:r w:rsidR="00EC0FD0" w:rsidRPr="008F30AD">
        <w:rPr>
          <w:sz w:val="24"/>
          <w:szCs w:val="24"/>
        </w:rPr>
        <w:t>. Nuostolių, patirtų vykdant</w:t>
      </w:r>
      <w:r w:rsidR="00400467" w:rsidRPr="008F30AD">
        <w:rPr>
          <w:sz w:val="24"/>
          <w:szCs w:val="24"/>
        </w:rPr>
        <w:t xml:space="preserve"> keleivinio kelių transporto viešųjų paslaugų įsipareigojimus, kompensacijos apskaičiavimo tvarkos aprašo, patvirtinto Lietuvos Respublik</w:t>
      </w:r>
      <w:r w:rsidR="00937A2D" w:rsidRPr="008F30AD">
        <w:rPr>
          <w:sz w:val="24"/>
          <w:szCs w:val="24"/>
        </w:rPr>
        <w:t xml:space="preserve">os susisiekimo ministro 2010 m. liepos </w:t>
      </w:r>
      <w:r w:rsidR="00400467" w:rsidRPr="008F30AD">
        <w:rPr>
          <w:sz w:val="24"/>
          <w:szCs w:val="24"/>
        </w:rPr>
        <w:t>20</w:t>
      </w:r>
      <w:r w:rsidR="00937A2D" w:rsidRPr="008F30AD">
        <w:rPr>
          <w:sz w:val="24"/>
          <w:szCs w:val="24"/>
        </w:rPr>
        <w:t xml:space="preserve"> d. įsakymu Nr. 3-457</w:t>
      </w:r>
      <w:r w:rsidR="00400467" w:rsidRPr="008F30AD">
        <w:rPr>
          <w:sz w:val="24"/>
          <w:szCs w:val="24"/>
        </w:rPr>
        <w:t>, 4 punkte numatyta, kad vežėjų patirti nuostoliai, susidarantys dėl</w:t>
      </w:r>
      <w:r w:rsidR="00937A2D" w:rsidRPr="008F30AD">
        <w:rPr>
          <w:sz w:val="24"/>
          <w:szCs w:val="24"/>
        </w:rPr>
        <w:t xml:space="preserve"> savivaldybių tarybų nustatytų </w:t>
      </w:r>
      <w:r w:rsidR="00400467" w:rsidRPr="008F30AD">
        <w:rPr>
          <w:sz w:val="24"/>
          <w:szCs w:val="24"/>
        </w:rPr>
        <w:t>keleivių vežimo reguliariais reisais vietinio susisiekimo maršrutais nepakankamo</w:t>
      </w:r>
      <w:r w:rsidR="00A77FB0" w:rsidRPr="008F30AD">
        <w:rPr>
          <w:sz w:val="24"/>
          <w:szCs w:val="24"/>
        </w:rPr>
        <w:t xml:space="preserve"> dydžio tarifų, kompensuojami iš savivaldybės biudžetuose tam tikslui numatytų lėšų. Be to, buvo gauti </w:t>
      </w:r>
      <w:r w:rsidR="00AE04FD" w:rsidRPr="008F30AD">
        <w:rPr>
          <w:sz w:val="24"/>
          <w:szCs w:val="24"/>
        </w:rPr>
        <w:t>privačių vežėjų asociacijos „Aukštaitijos ekipažas“ 2016-10-12 raštas</w:t>
      </w:r>
      <w:r w:rsidR="00961AED" w:rsidRPr="008F30AD">
        <w:rPr>
          <w:sz w:val="24"/>
          <w:szCs w:val="24"/>
        </w:rPr>
        <w:t xml:space="preserve"> „Dėl tarifo dydžio padidinimo“</w:t>
      </w:r>
      <w:r w:rsidR="00AE04FD" w:rsidRPr="008F30AD">
        <w:rPr>
          <w:sz w:val="24"/>
          <w:szCs w:val="24"/>
        </w:rPr>
        <w:t xml:space="preserve"> ir UAB „Panevėžio autobusų parkas“ 20</w:t>
      </w:r>
      <w:r w:rsidR="001057A5" w:rsidRPr="008F30AD">
        <w:rPr>
          <w:sz w:val="24"/>
          <w:szCs w:val="24"/>
        </w:rPr>
        <w:t>16</w:t>
      </w:r>
      <w:r w:rsidR="004D6378" w:rsidRPr="008F30AD">
        <w:rPr>
          <w:sz w:val="24"/>
          <w:szCs w:val="24"/>
        </w:rPr>
        <w:t>-10-12 raštas Nr. 1-2274</w:t>
      </w:r>
      <w:r w:rsidR="00961AED" w:rsidRPr="008F30AD">
        <w:rPr>
          <w:sz w:val="24"/>
          <w:szCs w:val="24"/>
        </w:rPr>
        <w:t xml:space="preserve"> „Dėl tarifų 2017 metams peržiūrėjimo“.</w:t>
      </w:r>
    </w:p>
    <w:p w:rsidR="00716AA5" w:rsidRPr="008F30AD" w:rsidRDefault="00716AA5">
      <w:pPr>
        <w:ind w:left="30"/>
        <w:jc w:val="both"/>
        <w:rPr>
          <w:b/>
          <w:bCs/>
          <w:color w:val="000000"/>
          <w:sz w:val="24"/>
          <w:szCs w:val="24"/>
        </w:rPr>
      </w:pPr>
      <w:r w:rsidRPr="008F30AD">
        <w:rPr>
          <w:color w:val="000000"/>
          <w:sz w:val="24"/>
          <w:szCs w:val="24"/>
        </w:rPr>
        <w:tab/>
      </w:r>
      <w:r w:rsidRPr="008F30AD">
        <w:rPr>
          <w:b/>
          <w:bCs/>
          <w:color w:val="000000"/>
          <w:sz w:val="24"/>
          <w:szCs w:val="24"/>
        </w:rPr>
        <w:t>Projekto rengimo esmė ir tikslai</w:t>
      </w:r>
    </w:p>
    <w:p w:rsidR="00024047" w:rsidRPr="008F30AD" w:rsidRDefault="00716AA5" w:rsidP="006836F3">
      <w:pPr>
        <w:ind w:left="30"/>
        <w:jc w:val="both"/>
        <w:rPr>
          <w:color w:val="000000"/>
          <w:spacing w:val="-3"/>
          <w:sz w:val="24"/>
          <w:szCs w:val="24"/>
        </w:rPr>
      </w:pPr>
      <w:r w:rsidRPr="008F30AD">
        <w:rPr>
          <w:color w:val="000000"/>
          <w:sz w:val="24"/>
          <w:szCs w:val="24"/>
        </w:rPr>
        <w:tab/>
      </w:r>
      <w:r w:rsidR="00A01C3C" w:rsidRPr="008F30AD">
        <w:rPr>
          <w:color w:val="000000"/>
          <w:spacing w:val="-3"/>
          <w:sz w:val="24"/>
          <w:szCs w:val="24"/>
        </w:rPr>
        <w:t>Šiuo metu galiojan</w:t>
      </w:r>
      <w:r w:rsidR="00937A2D" w:rsidRPr="008F30AD">
        <w:rPr>
          <w:color w:val="000000"/>
          <w:spacing w:val="-3"/>
          <w:sz w:val="24"/>
          <w:szCs w:val="24"/>
        </w:rPr>
        <w:t xml:space="preserve">tis tarifas </w:t>
      </w:r>
      <w:r w:rsidR="00961AED" w:rsidRPr="008F30AD">
        <w:rPr>
          <w:color w:val="000000"/>
          <w:spacing w:val="-3"/>
          <w:sz w:val="24"/>
          <w:szCs w:val="24"/>
        </w:rPr>
        <w:t xml:space="preserve">nustatytas </w:t>
      </w:r>
      <w:r w:rsidR="00693D0F" w:rsidRPr="008F30AD">
        <w:rPr>
          <w:color w:val="000000"/>
          <w:spacing w:val="-3"/>
          <w:sz w:val="24"/>
          <w:szCs w:val="24"/>
        </w:rPr>
        <w:t xml:space="preserve">Savivaldybės </w:t>
      </w:r>
      <w:r w:rsidR="00597F4C" w:rsidRPr="008F30AD">
        <w:rPr>
          <w:color w:val="000000"/>
          <w:spacing w:val="-3"/>
          <w:sz w:val="24"/>
          <w:szCs w:val="24"/>
        </w:rPr>
        <w:t xml:space="preserve">tarybos </w:t>
      </w:r>
      <w:r w:rsidR="00937A2D" w:rsidRPr="008F30AD">
        <w:rPr>
          <w:color w:val="000000"/>
          <w:spacing w:val="-3"/>
          <w:sz w:val="24"/>
          <w:szCs w:val="24"/>
        </w:rPr>
        <w:t xml:space="preserve">2014 m. lapkričio 20 d. </w:t>
      </w:r>
      <w:r w:rsidR="00597F4C" w:rsidRPr="008F30AD">
        <w:rPr>
          <w:color w:val="000000"/>
          <w:spacing w:val="-3"/>
          <w:sz w:val="24"/>
          <w:szCs w:val="24"/>
        </w:rPr>
        <w:t>sprendimu</w:t>
      </w:r>
      <w:r w:rsidR="00961AED" w:rsidRPr="008F30AD">
        <w:rPr>
          <w:color w:val="000000"/>
          <w:spacing w:val="-3"/>
          <w:sz w:val="24"/>
          <w:szCs w:val="24"/>
        </w:rPr>
        <w:t xml:space="preserve"> </w:t>
      </w:r>
      <w:r w:rsidR="00597F4C" w:rsidRPr="008F30AD">
        <w:rPr>
          <w:color w:val="000000"/>
          <w:spacing w:val="-3"/>
          <w:sz w:val="24"/>
          <w:szCs w:val="24"/>
        </w:rPr>
        <w:t>Nr. T-1</w:t>
      </w:r>
      <w:r w:rsidR="00961AED" w:rsidRPr="008F30AD">
        <w:rPr>
          <w:color w:val="000000"/>
          <w:spacing w:val="-3"/>
          <w:sz w:val="24"/>
          <w:szCs w:val="24"/>
        </w:rPr>
        <w:t>93 −</w:t>
      </w:r>
      <w:r w:rsidR="00937A2D" w:rsidRPr="008F30AD">
        <w:rPr>
          <w:color w:val="000000"/>
          <w:spacing w:val="-3"/>
          <w:sz w:val="24"/>
          <w:szCs w:val="24"/>
        </w:rPr>
        <w:t xml:space="preserve"> </w:t>
      </w:r>
      <w:r w:rsidR="00693D0F" w:rsidRPr="008F30AD">
        <w:rPr>
          <w:color w:val="000000"/>
          <w:spacing w:val="-3"/>
          <w:sz w:val="24"/>
          <w:szCs w:val="24"/>
        </w:rPr>
        <w:t xml:space="preserve">0,07 </w:t>
      </w:r>
      <w:proofErr w:type="spellStart"/>
      <w:r w:rsidR="00693D0F" w:rsidRPr="008F30AD">
        <w:rPr>
          <w:color w:val="000000"/>
          <w:spacing w:val="-3"/>
          <w:sz w:val="24"/>
          <w:szCs w:val="24"/>
        </w:rPr>
        <w:t>Eur</w:t>
      </w:r>
      <w:proofErr w:type="spellEnd"/>
      <w:r w:rsidR="00693D0F" w:rsidRPr="008F30AD">
        <w:rPr>
          <w:color w:val="000000"/>
          <w:spacing w:val="-3"/>
          <w:sz w:val="24"/>
          <w:szCs w:val="24"/>
        </w:rPr>
        <w:t xml:space="preserve"> be PVM</w:t>
      </w:r>
      <w:r w:rsidR="00CE0C0F" w:rsidRPr="008F30AD">
        <w:rPr>
          <w:color w:val="000000"/>
          <w:spacing w:val="-3"/>
          <w:sz w:val="24"/>
          <w:szCs w:val="24"/>
        </w:rPr>
        <w:t xml:space="preserve"> už vieną keleivio kilometrą.</w:t>
      </w:r>
      <w:r w:rsidR="00693D0F" w:rsidRPr="008F30AD">
        <w:rPr>
          <w:color w:val="000000"/>
          <w:spacing w:val="-3"/>
          <w:sz w:val="24"/>
          <w:szCs w:val="24"/>
        </w:rPr>
        <w:t xml:space="preserve"> Keleivių vežimo reguliariais reisais vietinio susisiekimo maršrutais tarifas nebuvo keistas nuo 2013 m. sausio 1 d.</w:t>
      </w:r>
      <w:r w:rsidR="00CE0C0F" w:rsidRPr="008F30AD">
        <w:rPr>
          <w:color w:val="000000"/>
          <w:spacing w:val="-3"/>
          <w:sz w:val="24"/>
          <w:szCs w:val="24"/>
        </w:rPr>
        <w:t xml:space="preserve"> </w:t>
      </w:r>
      <w:r w:rsidR="00597F4C" w:rsidRPr="008F30AD">
        <w:rPr>
          <w:color w:val="000000"/>
          <w:spacing w:val="-3"/>
          <w:sz w:val="24"/>
          <w:szCs w:val="24"/>
        </w:rPr>
        <w:t xml:space="preserve"> </w:t>
      </w:r>
    </w:p>
    <w:p w:rsidR="00274258" w:rsidRPr="008F30AD" w:rsidRDefault="00024047" w:rsidP="00066DBD">
      <w:pPr>
        <w:ind w:left="30"/>
        <w:jc w:val="both"/>
        <w:rPr>
          <w:color w:val="000000"/>
          <w:spacing w:val="-3"/>
          <w:sz w:val="24"/>
          <w:szCs w:val="24"/>
        </w:rPr>
      </w:pPr>
      <w:r w:rsidRPr="008F30AD">
        <w:rPr>
          <w:color w:val="000000"/>
          <w:spacing w:val="-3"/>
          <w:sz w:val="24"/>
          <w:szCs w:val="24"/>
        </w:rPr>
        <w:tab/>
      </w:r>
      <w:r w:rsidR="006F0555" w:rsidRPr="008F30AD">
        <w:rPr>
          <w:color w:val="000000"/>
          <w:spacing w:val="-3"/>
          <w:sz w:val="24"/>
          <w:szCs w:val="24"/>
        </w:rPr>
        <w:t xml:space="preserve">Šiuo sprendimo projektu </w:t>
      </w:r>
      <w:r w:rsidR="00937A2D" w:rsidRPr="008F30AD">
        <w:rPr>
          <w:color w:val="000000"/>
          <w:spacing w:val="-3"/>
          <w:sz w:val="24"/>
          <w:szCs w:val="24"/>
        </w:rPr>
        <w:t>siūloma</w:t>
      </w:r>
      <w:r w:rsidR="008265CD" w:rsidRPr="008F30AD">
        <w:rPr>
          <w:color w:val="000000"/>
          <w:spacing w:val="-3"/>
          <w:sz w:val="24"/>
          <w:szCs w:val="24"/>
        </w:rPr>
        <w:t xml:space="preserve"> keleivių vežim</w:t>
      </w:r>
      <w:r w:rsidR="00693D0F" w:rsidRPr="008F30AD">
        <w:rPr>
          <w:color w:val="000000"/>
          <w:spacing w:val="-3"/>
          <w:sz w:val="24"/>
          <w:szCs w:val="24"/>
        </w:rPr>
        <w:t>o reguliariais reisais vietinio</w:t>
      </w:r>
      <w:r w:rsidR="008265CD" w:rsidRPr="008F30AD">
        <w:rPr>
          <w:color w:val="000000"/>
          <w:spacing w:val="-3"/>
          <w:sz w:val="24"/>
          <w:szCs w:val="24"/>
        </w:rPr>
        <w:t xml:space="preserve"> susisie</w:t>
      </w:r>
      <w:r w:rsidR="00693D0F" w:rsidRPr="008F30AD">
        <w:rPr>
          <w:color w:val="000000"/>
          <w:spacing w:val="-3"/>
          <w:sz w:val="24"/>
          <w:szCs w:val="24"/>
        </w:rPr>
        <w:t>kim</w:t>
      </w:r>
      <w:r w:rsidR="0055114E">
        <w:rPr>
          <w:color w:val="000000"/>
          <w:spacing w:val="-3"/>
          <w:sz w:val="24"/>
          <w:szCs w:val="24"/>
        </w:rPr>
        <w:t>o maršrutais tarifą didinti 0,5 ct</w:t>
      </w:r>
      <w:r w:rsidR="00637E29">
        <w:rPr>
          <w:color w:val="000000"/>
          <w:spacing w:val="-3"/>
          <w:sz w:val="24"/>
          <w:szCs w:val="24"/>
        </w:rPr>
        <w:t xml:space="preserve"> </w:t>
      </w:r>
      <w:r w:rsidR="001057A5" w:rsidRPr="008F30AD">
        <w:rPr>
          <w:color w:val="000000"/>
          <w:spacing w:val="-3"/>
          <w:sz w:val="24"/>
          <w:szCs w:val="24"/>
        </w:rPr>
        <w:t xml:space="preserve"> </w:t>
      </w:r>
      <w:r w:rsidR="00274258" w:rsidRPr="008F30AD">
        <w:rPr>
          <w:color w:val="000000"/>
          <w:spacing w:val="-3"/>
          <w:sz w:val="24"/>
          <w:szCs w:val="24"/>
        </w:rPr>
        <w:t>ir nustatyti</w:t>
      </w:r>
      <w:r w:rsidR="00937A2D" w:rsidRPr="008F30AD">
        <w:rPr>
          <w:color w:val="000000"/>
          <w:spacing w:val="-3"/>
          <w:sz w:val="24"/>
          <w:szCs w:val="24"/>
        </w:rPr>
        <w:t xml:space="preserve"> </w:t>
      </w:r>
      <w:r w:rsidR="00072116">
        <w:rPr>
          <w:color w:val="000000"/>
          <w:spacing w:val="-3"/>
          <w:sz w:val="24"/>
          <w:szCs w:val="24"/>
        </w:rPr>
        <w:t>0,075</w:t>
      </w:r>
      <w:r w:rsidR="00274258" w:rsidRPr="008F30AD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274258" w:rsidRPr="008F30AD">
        <w:rPr>
          <w:color w:val="000000"/>
          <w:spacing w:val="-3"/>
          <w:sz w:val="24"/>
          <w:szCs w:val="24"/>
        </w:rPr>
        <w:t>Eur</w:t>
      </w:r>
      <w:proofErr w:type="spellEnd"/>
      <w:r w:rsidR="00274258" w:rsidRPr="008F30AD">
        <w:rPr>
          <w:color w:val="000000"/>
          <w:spacing w:val="-3"/>
          <w:sz w:val="24"/>
          <w:szCs w:val="24"/>
        </w:rPr>
        <w:t xml:space="preserve"> be PVM </w:t>
      </w:r>
      <w:r w:rsidR="00937A2D" w:rsidRPr="008F30AD">
        <w:rPr>
          <w:color w:val="000000"/>
          <w:spacing w:val="-3"/>
          <w:sz w:val="24"/>
          <w:szCs w:val="24"/>
        </w:rPr>
        <w:t>už vieną nuvažiuotą keleivio kilometrą. Į</w:t>
      </w:r>
      <w:r w:rsidR="008265CD" w:rsidRPr="008F30AD">
        <w:rPr>
          <w:color w:val="000000"/>
          <w:spacing w:val="-3"/>
          <w:sz w:val="24"/>
          <w:szCs w:val="24"/>
        </w:rPr>
        <w:t>siga</w:t>
      </w:r>
      <w:r w:rsidR="00011C86" w:rsidRPr="008F30AD">
        <w:rPr>
          <w:color w:val="000000"/>
          <w:spacing w:val="-3"/>
          <w:sz w:val="24"/>
          <w:szCs w:val="24"/>
        </w:rPr>
        <w:t xml:space="preserve">liotų </w:t>
      </w:r>
      <w:r w:rsidR="00744F43" w:rsidRPr="008F30AD">
        <w:rPr>
          <w:color w:val="000000"/>
          <w:spacing w:val="-3"/>
          <w:sz w:val="24"/>
          <w:szCs w:val="24"/>
        </w:rPr>
        <w:t>2017</w:t>
      </w:r>
      <w:r w:rsidR="00AF2F4C" w:rsidRPr="008F30AD">
        <w:rPr>
          <w:color w:val="000000"/>
          <w:spacing w:val="-3"/>
          <w:sz w:val="24"/>
          <w:szCs w:val="24"/>
        </w:rPr>
        <w:t xml:space="preserve"> m.</w:t>
      </w:r>
      <w:r w:rsidR="008265CD" w:rsidRPr="008F30AD">
        <w:rPr>
          <w:color w:val="000000"/>
          <w:spacing w:val="-3"/>
          <w:sz w:val="24"/>
          <w:szCs w:val="24"/>
        </w:rPr>
        <w:t xml:space="preserve"> </w:t>
      </w:r>
      <w:r w:rsidR="00744F43" w:rsidRPr="008F30AD">
        <w:rPr>
          <w:color w:val="000000"/>
          <w:spacing w:val="-3"/>
          <w:sz w:val="24"/>
          <w:szCs w:val="24"/>
        </w:rPr>
        <w:t>sausio</w:t>
      </w:r>
      <w:r w:rsidR="008265CD" w:rsidRPr="008F30AD">
        <w:rPr>
          <w:color w:val="000000"/>
          <w:spacing w:val="-3"/>
          <w:sz w:val="24"/>
          <w:szCs w:val="24"/>
        </w:rPr>
        <w:t xml:space="preserve"> 1 d.</w:t>
      </w:r>
      <w:r w:rsidR="00C11226" w:rsidRPr="008F30AD">
        <w:rPr>
          <w:color w:val="000000"/>
          <w:spacing w:val="-3"/>
          <w:sz w:val="24"/>
          <w:szCs w:val="24"/>
        </w:rPr>
        <w:t xml:space="preserve"> </w:t>
      </w:r>
      <w:r w:rsidR="00AF2F4C" w:rsidRPr="008F30AD">
        <w:rPr>
          <w:color w:val="000000"/>
          <w:spacing w:val="-3"/>
          <w:sz w:val="24"/>
          <w:szCs w:val="24"/>
        </w:rPr>
        <w:t xml:space="preserve"> </w:t>
      </w:r>
    </w:p>
    <w:p w:rsidR="005E120A" w:rsidRPr="008F30AD" w:rsidRDefault="00274258" w:rsidP="00066DBD">
      <w:pPr>
        <w:ind w:left="30"/>
        <w:jc w:val="both"/>
        <w:rPr>
          <w:color w:val="000000"/>
          <w:spacing w:val="-3"/>
          <w:sz w:val="24"/>
          <w:szCs w:val="24"/>
        </w:rPr>
      </w:pPr>
      <w:r w:rsidRPr="008F30AD">
        <w:rPr>
          <w:color w:val="000000"/>
          <w:spacing w:val="-3"/>
          <w:sz w:val="24"/>
          <w:szCs w:val="24"/>
        </w:rPr>
        <w:tab/>
      </w:r>
      <w:r w:rsidR="004507B4" w:rsidRPr="008F30AD">
        <w:rPr>
          <w:color w:val="000000"/>
          <w:spacing w:val="-3"/>
          <w:sz w:val="24"/>
          <w:szCs w:val="24"/>
        </w:rPr>
        <w:t>Pagrindinės priežastys</w:t>
      </w:r>
      <w:r w:rsidR="00F507F4" w:rsidRPr="008F30AD">
        <w:rPr>
          <w:color w:val="000000"/>
          <w:spacing w:val="-3"/>
          <w:sz w:val="24"/>
          <w:szCs w:val="24"/>
        </w:rPr>
        <w:t>, turinčios įtakos projekte teikiamam tarifui</w:t>
      </w:r>
      <w:r w:rsidR="00AF2F4C" w:rsidRPr="008F30AD">
        <w:rPr>
          <w:color w:val="000000"/>
          <w:spacing w:val="-3"/>
          <w:sz w:val="24"/>
          <w:szCs w:val="24"/>
        </w:rPr>
        <w:t xml:space="preserve">, − </w:t>
      </w:r>
      <w:r w:rsidR="00937A2D" w:rsidRPr="008F30AD">
        <w:rPr>
          <w:color w:val="000000"/>
          <w:spacing w:val="-3"/>
          <w:sz w:val="24"/>
          <w:szCs w:val="24"/>
        </w:rPr>
        <w:t xml:space="preserve">mažėjantis keleivių skaičius </w:t>
      </w:r>
      <w:r w:rsidR="006D335C" w:rsidRPr="008F30AD">
        <w:rPr>
          <w:color w:val="000000"/>
          <w:spacing w:val="-3"/>
          <w:sz w:val="24"/>
          <w:szCs w:val="24"/>
        </w:rPr>
        <w:t xml:space="preserve">bei </w:t>
      </w:r>
      <w:r w:rsidR="00F507F4" w:rsidRPr="008F30AD">
        <w:rPr>
          <w:color w:val="000000"/>
          <w:spacing w:val="-3"/>
          <w:sz w:val="24"/>
          <w:szCs w:val="24"/>
        </w:rPr>
        <w:t>augančios</w:t>
      </w:r>
      <w:r w:rsidR="002239B0" w:rsidRPr="008F30AD">
        <w:rPr>
          <w:color w:val="000000"/>
          <w:spacing w:val="-3"/>
          <w:sz w:val="24"/>
          <w:szCs w:val="24"/>
        </w:rPr>
        <w:t xml:space="preserve"> </w:t>
      </w:r>
      <w:r w:rsidR="005E120A" w:rsidRPr="008F30AD">
        <w:rPr>
          <w:color w:val="000000"/>
          <w:spacing w:val="-3"/>
          <w:sz w:val="24"/>
          <w:szCs w:val="24"/>
        </w:rPr>
        <w:t>transporto</w:t>
      </w:r>
      <w:r w:rsidR="002239B0" w:rsidRPr="008F30AD">
        <w:rPr>
          <w:color w:val="000000"/>
          <w:spacing w:val="-3"/>
          <w:sz w:val="24"/>
          <w:szCs w:val="24"/>
        </w:rPr>
        <w:t xml:space="preserve"> priemonių techninio aptarnavimo</w:t>
      </w:r>
      <w:r w:rsidR="00937A2D" w:rsidRPr="008F30AD">
        <w:rPr>
          <w:color w:val="000000"/>
          <w:spacing w:val="-3"/>
          <w:sz w:val="24"/>
          <w:szCs w:val="24"/>
        </w:rPr>
        <w:t>-</w:t>
      </w:r>
      <w:r w:rsidR="002239B0" w:rsidRPr="008F30AD">
        <w:rPr>
          <w:color w:val="000000"/>
          <w:spacing w:val="-3"/>
          <w:sz w:val="24"/>
          <w:szCs w:val="24"/>
        </w:rPr>
        <w:t>remonto</w:t>
      </w:r>
      <w:r w:rsidR="00F507F4" w:rsidRPr="008F30AD">
        <w:rPr>
          <w:color w:val="000000"/>
          <w:spacing w:val="-3"/>
          <w:sz w:val="24"/>
          <w:szCs w:val="24"/>
        </w:rPr>
        <w:t xml:space="preserve"> </w:t>
      </w:r>
      <w:r w:rsidR="00AF2F4C" w:rsidRPr="008F30AD">
        <w:rPr>
          <w:color w:val="000000"/>
          <w:spacing w:val="-3"/>
          <w:sz w:val="24"/>
          <w:szCs w:val="24"/>
        </w:rPr>
        <w:t>pasla</w:t>
      </w:r>
      <w:r w:rsidR="005E120A" w:rsidRPr="008F30AD">
        <w:rPr>
          <w:color w:val="000000"/>
          <w:spacing w:val="-3"/>
          <w:sz w:val="24"/>
          <w:szCs w:val="24"/>
        </w:rPr>
        <w:t xml:space="preserve">ugų, atsarginių detalių, padangų kainos.  </w:t>
      </w:r>
    </w:p>
    <w:p w:rsidR="005E120A" w:rsidRPr="0053322C" w:rsidRDefault="005E120A" w:rsidP="00011C86">
      <w:pPr>
        <w:ind w:left="30" w:firstLine="690"/>
        <w:jc w:val="both"/>
        <w:rPr>
          <w:color w:val="000000"/>
          <w:spacing w:val="-3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118"/>
        <w:gridCol w:w="1134"/>
        <w:gridCol w:w="1276"/>
        <w:gridCol w:w="1417"/>
        <w:gridCol w:w="1418"/>
      </w:tblGrid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937A2D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Eil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. Nr.</w:t>
            </w:r>
          </w:p>
        </w:tc>
        <w:tc>
          <w:tcPr>
            <w:tcW w:w="3118" w:type="dxa"/>
            <w:shd w:val="clear" w:color="auto" w:fill="auto"/>
          </w:tcPr>
          <w:p w:rsidR="00B72EC9" w:rsidRPr="00937A2D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Sąnaudų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straipsniai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937A2D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Mato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vnt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</w:tcPr>
          <w:p w:rsidR="00B72EC9" w:rsidRPr="00937A2D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2016 m.</w:t>
            </w:r>
          </w:p>
          <w:p w:rsidR="00B72EC9" w:rsidRPr="00937A2D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(</w:t>
            </w: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sausis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–</w:t>
            </w: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rugpjūtis</w:t>
            </w:r>
            <w:proofErr w:type="spellEnd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B72EC9" w:rsidRPr="00937A2D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2016 m.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laukiamas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72EC9" w:rsidRPr="00937A2D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2017 m.</w:t>
            </w:r>
          </w:p>
          <w:p w:rsidR="00B72EC9" w:rsidRPr="00937A2D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prognozė</w:t>
            </w:r>
            <w:proofErr w:type="spellEnd"/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56488B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iš</w:t>
            </w:r>
            <w:proofErr w:type="spellEnd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74,1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112,6 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116,3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56488B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.1.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Tiesioginės</w:t>
            </w:r>
            <w:proofErr w:type="spellEnd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iš</w:t>
            </w:r>
            <w:proofErr w:type="spellEnd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56,7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86,4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89,1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.1.1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8459F4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iesioginio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darbo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25,4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40,4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.1.2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soc.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draudimo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įmokos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7,8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11,8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12,4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.1.3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degalai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14,9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21,7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21,7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.1.4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tepalai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.1.5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padangos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0,6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1,3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1,3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.1.6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atsarginės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dalys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2,5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3,9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4,0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1.1.7.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transporto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nusid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4,7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8,2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8,2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1.1.8.</w:t>
            </w:r>
          </w:p>
        </w:tc>
        <w:tc>
          <w:tcPr>
            <w:tcW w:w="3118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kitos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tiesioginės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0,7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1,0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1,0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56488B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.2</w:t>
            </w: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Netiesioginės</w:t>
            </w:r>
            <w:proofErr w:type="spellEnd"/>
            <w:r w:rsidRPr="0056488B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iš</w:t>
            </w:r>
            <w:proofErr w:type="spellEnd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viso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17,4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26,2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b/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pacing w:val="-3"/>
                <w:sz w:val="24"/>
                <w:szCs w:val="24"/>
                <w:lang w:val="en-US"/>
              </w:rPr>
              <w:t>27,2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C67D62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</w:t>
            </w:r>
            <w:r w:rsidRPr="00C67D62">
              <w:rPr>
                <w:color w:val="000000"/>
                <w:spacing w:val="-3"/>
                <w:sz w:val="24"/>
                <w:szCs w:val="24"/>
                <w:lang w:val="en-US"/>
              </w:rPr>
              <w:t>.2.1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8F30AD" w:rsidRDefault="00B72EC9" w:rsidP="008F30AD">
            <w:pPr>
              <w:rPr>
                <w:sz w:val="24"/>
                <w:szCs w:val="24"/>
              </w:rPr>
            </w:pPr>
            <w:proofErr w:type="spellStart"/>
            <w:r w:rsidRPr="008F30AD">
              <w:rPr>
                <w:sz w:val="24"/>
                <w:szCs w:val="24"/>
                <w:lang w:val="en-US"/>
              </w:rPr>
              <w:t>Atlyginimai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tarn.rem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9,33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14,0</w:t>
            </w:r>
          </w:p>
        </w:tc>
        <w:tc>
          <w:tcPr>
            <w:tcW w:w="1418" w:type="dxa"/>
            <w:shd w:val="clear" w:color="auto" w:fill="auto"/>
          </w:tcPr>
          <w:p w:rsidR="00B72EC9" w:rsidRPr="0017692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14,7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C67D62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lastRenderedPageBreak/>
              <w:t>1.2.2.</w:t>
            </w:r>
          </w:p>
        </w:tc>
        <w:tc>
          <w:tcPr>
            <w:tcW w:w="3118" w:type="dxa"/>
            <w:shd w:val="clear" w:color="auto" w:fill="auto"/>
          </w:tcPr>
          <w:p w:rsidR="00B72EC9" w:rsidRPr="0017692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socialinis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draudimas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2,88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4,3</w:t>
            </w:r>
          </w:p>
        </w:tc>
        <w:tc>
          <w:tcPr>
            <w:tcW w:w="1418" w:type="dxa"/>
            <w:shd w:val="clear" w:color="auto" w:fill="auto"/>
          </w:tcPr>
          <w:p w:rsidR="00B72EC9" w:rsidRPr="0017692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4,5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1.2.3.</w:t>
            </w:r>
          </w:p>
        </w:tc>
        <w:tc>
          <w:tcPr>
            <w:tcW w:w="3118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mokesčiai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kelių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0,6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0,8</w:t>
            </w:r>
          </w:p>
        </w:tc>
        <w:tc>
          <w:tcPr>
            <w:tcW w:w="1418" w:type="dxa"/>
            <w:shd w:val="clear" w:color="auto" w:fill="auto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0,8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1.2.4.</w:t>
            </w:r>
          </w:p>
        </w:tc>
        <w:tc>
          <w:tcPr>
            <w:tcW w:w="3118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ilgalaikio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turto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nusidėvėjimas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1,36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2,0</w:t>
            </w:r>
          </w:p>
        </w:tc>
        <w:tc>
          <w:tcPr>
            <w:tcW w:w="1418" w:type="dxa"/>
            <w:shd w:val="clear" w:color="auto" w:fill="auto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2,0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1.2.5.</w:t>
            </w:r>
          </w:p>
        </w:tc>
        <w:tc>
          <w:tcPr>
            <w:tcW w:w="3118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kitos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netiesioginės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sąnaudos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3,23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5,1</w:t>
            </w:r>
          </w:p>
        </w:tc>
        <w:tc>
          <w:tcPr>
            <w:tcW w:w="1418" w:type="dxa"/>
            <w:shd w:val="clear" w:color="auto" w:fill="auto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5,2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2</w:t>
            </w: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Rida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 km</w:t>
            </w:r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120,2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169,6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169,6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Savikaina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0,6164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0,6639</w:t>
            </w:r>
          </w:p>
        </w:tc>
        <w:tc>
          <w:tcPr>
            <w:tcW w:w="1418" w:type="dxa"/>
            <w:shd w:val="clear" w:color="auto" w:fill="auto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0,6857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Keleivių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tūkst</w:t>
            </w:r>
            <w:proofErr w:type="spellEnd"/>
            <w:proofErr w:type="gram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854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1307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1271</w:t>
            </w:r>
          </w:p>
        </w:tc>
      </w:tr>
      <w:tr w:rsidR="00B72EC9" w:rsidRPr="0056488B" w:rsidTr="00B72EC9">
        <w:tc>
          <w:tcPr>
            <w:tcW w:w="880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Reikalingas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tarifas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937A2D">
              <w:rPr>
                <w:color w:val="000000"/>
                <w:spacing w:val="-3"/>
                <w:sz w:val="24"/>
                <w:szCs w:val="24"/>
                <w:lang w:val="en-US"/>
              </w:rPr>
              <w:t>1:4</w:t>
            </w:r>
          </w:p>
        </w:tc>
        <w:tc>
          <w:tcPr>
            <w:tcW w:w="1134" w:type="dxa"/>
            <w:shd w:val="clear" w:color="auto" w:fill="auto"/>
          </w:tcPr>
          <w:p w:rsidR="00B72EC9" w:rsidRPr="0056488B" w:rsidRDefault="00B72EC9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276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0,0867</w:t>
            </w:r>
          </w:p>
        </w:tc>
        <w:tc>
          <w:tcPr>
            <w:tcW w:w="1417" w:type="dxa"/>
          </w:tcPr>
          <w:p w:rsidR="00B72EC9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0,0862</w:t>
            </w:r>
          </w:p>
        </w:tc>
        <w:tc>
          <w:tcPr>
            <w:tcW w:w="1418" w:type="dxa"/>
            <w:shd w:val="clear" w:color="auto" w:fill="auto"/>
          </w:tcPr>
          <w:p w:rsidR="00B72EC9" w:rsidRPr="0056488B" w:rsidRDefault="00B72EC9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0,0915</w:t>
            </w:r>
          </w:p>
        </w:tc>
      </w:tr>
    </w:tbl>
    <w:p w:rsidR="008958B2" w:rsidRDefault="008958B2" w:rsidP="00011C86">
      <w:pPr>
        <w:ind w:left="30" w:firstLine="690"/>
        <w:jc w:val="both"/>
        <w:rPr>
          <w:color w:val="000000"/>
          <w:spacing w:val="-3"/>
          <w:sz w:val="24"/>
          <w:szCs w:val="24"/>
          <w:lang w:val="en-US"/>
        </w:rPr>
        <w:sectPr w:rsidR="008958B2" w:rsidSect="005332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20"/>
          <w:pgMar w:top="1190" w:right="567" w:bottom="1134" w:left="1701" w:header="851" w:footer="720" w:gutter="0"/>
          <w:pgNumType w:start="2"/>
          <w:cols w:space="1296"/>
          <w:titlePg/>
          <w:docGrid w:linePitch="600" w:charSpace="40960"/>
        </w:sectPr>
      </w:pPr>
      <w:bookmarkStart w:id="0" w:name="_GoBack"/>
      <w:bookmarkEnd w:id="0"/>
    </w:p>
    <w:p w:rsidR="00E66EB4" w:rsidRDefault="00E66EB4" w:rsidP="00011C86">
      <w:pPr>
        <w:ind w:left="30" w:firstLine="690"/>
        <w:jc w:val="both"/>
        <w:rPr>
          <w:color w:val="000000"/>
          <w:spacing w:val="-3"/>
          <w:sz w:val="24"/>
          <w:szCs w:val="24"/>
          <w:lang w:val="en-US"/>
        </w:rPr>
      </w:pPr>
    </w:p>
    <w:p w:rsidR="00A11EAC" w:rsidRDefault="000E1678" w:rsidP="00937A2D">
      <w:pPr>
        <w:ind w:firstLine="720"/>
        <w:jc w:val="both"/>
        <w:rPr>
          <w:color w:val="000000"/>
          <w:spacing w:val="-3"/>
          <w:sz w:val="24"/>
          <w:szCs w:val="24"/>
          <w:lang w:val="en-US"/>
        </w:rPr>
      </w:pPr>
      <w:proofErr w:type="spellStart"/>
      <w:r>
        <w:rPr>
          <w:color w:val="000000"/>
          <w:spacing w:val="-3"/>
          <w:sz w:val="24"/>
          <w:szCs w:val="24"/>
          <w:lang w:val="en-US"/>
        </w:rPr>
        <w:t>Kitose</w:t>
      </w:r>
      <w:proofErr w:type="spellEnd"/>
      <w:r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  <w:lang w:val="en-US"/>
        </w:rPr>
        <w:t>savivaldybėse</w:t>
      </w:r>
      <w:proofErr w:type="spellEnd"/>
      <w:r w:rsidR="00A11EAC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vietinio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(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priemiestinio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)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susisiekimo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maršrutuose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taikomi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šie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A7397">
        <w:rPr>
          <w:color w:val="000000"/>
          <w:spacing w:val="-3"/>
          <w:sz w:val="24"/>
          <w:szCs w:val="24"/>
          <w:lang w:val="en-US"/>
        </w:rPr>
        <w:t>tarifai</w:t>
      </w:r>
      <w:proofErr w:type="spellEnd"/>
      <w:r w:rsidR="002A7397">
        <w:rPr>
          <w:color w:val="000000"/>
          <w:spacing w:val="-3"/>
          <w:sz w:val="24"/>
          <w:szCs w:val="24"/>
          <w:lang w:val="en-US"/>
        </w:rPr>
        <w:t>:</w:t>
      </w:r>
    </w:p>
    <w:p w:rsidR="002A7397" w:rsidRDefault="002A7397" w:rsidP="00011C86">
      <w:pPr>
        <w:ind w:left="30" w:firstLine="690"/>
        <w:jc w:val="both"/>
        <w:rPr>
          <w:color w:val="000000"/>
          <w:spacing w:val="-3"/>
          <w:sz w:val="24"/>
          <w:szCs w:val="24"/>
          <w:lang w:val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969"/>
        <w:gridCol w:w="4253"/>
      </w:tblGrid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Eil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. Nr.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Savivaldybė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56488B">
            <w:pPr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Keleivių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vežimo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reguliariais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reisais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vietinio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priemi</w:t>
            </w:r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>estinio</w:t>
            </w:r>
            <w:proofErr w:type="spellEnd"/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>susisiekimo</w:t>
            </w:r>
            <w:proofErr w:type="spellEnd"/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>maršrutais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tarifas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Eur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, be PVM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Radviliškio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0,092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Rokiškio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0,10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Utenos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0,101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Kaišiadorių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0,</w:t>
            </w: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0811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Kupiškio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0,08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Anykčių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0,0734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Joniškio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0,083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Jonavos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0,0717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Prienų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0,08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Šiaulių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0,092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Pasvalio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0,10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Biržų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0,10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Pakruojo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0,0796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Kauno</w:t>
            </w:r>
            <w:proofErr w:type="spellEnd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488B"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Pr="0056488B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0,076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Pr="0056488B" w:rsidRDefault="000C5AE5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15</w:t>
            </w:r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F524D" w:rsidRPr="0056488B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Ukmergės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DF524D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0,092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Default="000C5AE5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16</w:t>
            </w:r>
            <w:r w:rsidR="0022370C">
              <w:rPr>
                <w:color w:val="000000"/>
                <w:spacing w:val="-3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F524D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Molėtų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0,08</w:t>
            </w:r>
          </w:p>
        </w:tc>
      </w:tr>
      <w:tr w:rsidR="00DF524D" w:rsidRPr="0056488B" w:rsidTr="00DF524D">
        <w:tc>
          <w:tcPr>
            <w:tcW w:w="992" w:type="dxa"/>
            <w:shd w:val="clear" w:color="auto" w:fill="auto"/>
          </w:tcPr>
          <w:p w:rsidR="00DF524D" w:rsidRDefault="00274258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9" w:type="dxa"/>
            <w:shd w:val="clear" w:color="auto" w:fill="auto"/>
          </w:tcPr>
          <w:p w:rsidR="00DF524D" w:rsidRDefault="00DF524D" w:rsidP="0056488B">
            <w:pPr>
              <w:jc w:val="both"/>
              <w:rPr>
                <w:color w:val="000000"/>
                <w:spacing w:val="-3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Alytaus</w:t>
            </w:r>
            <w:proofErr w:type="spellEnd"/>
            <w:r>
              <w:rPr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  <w:lang w:val="en-US"/>
              </w:rPr>
              <w:t>rajono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F524D" w:rsidRDefault="00DF524D" w:rsidP="008F0763">
            <w:pPr>
              <w:rPr>
                <w:color w:val="000000"/>
                <w:spacing w:val="-3"/>
                <w:sz w:val="24"/>
                <w:szCs w:val="24"/>
                <w:lang w:val="en-US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0,08</w:t>
            </w:r>
          </w:p>
        </w:tc>
      </w:tr>
    </w:tbl>
    <w:p w:rsidR="00E66EB4" w:rsidRDefault="00E66EB4" w:rsidP="00011C86">
      <w:pPr>
        <w:ind w:left="30" w:firstLine="690"/>
        <w:jc w:val="both"/>
        <w:rPr>
          <w:b/>
          <w:bCs/>
        </w:rPr>
      </w:pPr>
    </w:p>
    <w:p w:rsidR="00716AA5" w:rsidRDefault="00716AA5" w:rsidP="004507B4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716AA5" w:rsidRDefault="009128E9" w:rsidP="00912E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nenumatoma.</w:t>
      </w:r>
      <w:r w:rsidR="001E5821">
        <w:rPr>
          <w:sz w:val="24"/>
          <w:szCs w:val="24"/>
        </w:rPr>
        <w:t xml:space="preserve"> </w:t>
      </w:r>
    </w:p>
    <w:p w:rsidR="00716AA5" w:rsidRDefault="00716AA5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716AA5" w:rsidRDefault="006D69E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82D2B">
        <w:rPr>
          <w:sz w:val="24"/>
          <w:szCs w:val="24"/>
        </w:rPr>
        <w:t>Nereikia.</w:t>
      </w:r>
    </w:p>
    <w:p w:rsidR="00716AA5" w:rsidRDefault="00716AA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716AA5" w:rsidRDefault="00716A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72116">
        <w:rPr>
          <w:sz w:val="24"/>
          <w:szCs w:val="24"/>
        </w:rPr>
        <w:t>Apie 5</w:t>
      </w:r>
      <w:r w:rsidR="00182D2B">
        <w:rPr>
          <w:sz w:val="24"/>
          <w:szCs w:val="24"/>
        </w:rPr>
        <w:t xml:space="preserve"> proc. padidėtų išlaidų (negautų pajamų) dėl keleiviams suteiktų važiavimo vietinio reguliaraus susisiekimo autobusais lengvatų kompensavimo dydis.</w:t>
      </w:r>
    </w:p>
    <w:p w:rsidR="000E1678" w:rsidRDefault="000E1678">
      <w:pPr>
        <w:ind w:right="-1"/>
        <w:jc w:val="both"/>
        <w:rPr>
          <w:sz w:val="24"/>
          <w:szCs w:val="24"/>
        </w:rPr>
      </w:pPr>
    </w:p>
    <w:p w:rsidR="00C00878" w:rsidRDefault="00C00878">
      <w:pPr>
        <w:ind w:right="-1"/>
        <w:jc w:val="both"/>
        <w:rPr>
          <w:sz w:val="24"/>
          <w:szCs w:val="24"/>
        </w:rPr>
      </w:pPr>
    </w:p>
    <w:p w:rsidR="00716AA5" w:rsidRDefault="00403FB4" w:rsidP="0053322C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Neringa </w:t>
      </w:r>
      <w:proofErr w:type="spellStart"/>
      <w:r>
        <w:rPr>
          <w:sz w:val="24"/>
          <w:szCs w:val="24"/>
        </w:rPr>
        <w:t>Kraujalienė</w:t>
      </w:r>
      <w:proofErr w:type="spellEnd"/>
    </w:p>
    <w:p w:rsidR="00716AA5" w:rsidRDefault="00716AA5">
      <w:pPr>
        <w:jc w:val="center"/>
      </w:pPr>
    </w:p>
    <w:sectPr w:rsidR="00716AA5" w:rsidSect="008958B2">
      <w:headerReference w:type="default" r:id="rId16"/>
      <w:type w:val="continuous"/>
      <w:pgSz w:w="11905" w:h="16820"/>
      <w:pgMar w:top="1190" w:right="567" w:bottom="1134" w:left="1701" w:header="851" w:footer="720" w:gutter="0"/>
      <w:pgNumType w:start="2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EB" w:rsidRDefault="001973EB">
      <w:r>
        <w:separator/>
      </w:r>
    </w:p>
  </w:endnote>
  <w:endnote w:type="continuationSeparator" w:id="0">
    <w:p w:rsidR="001973EB" w:rsidRDefault="001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EB" w:rsidRDefault="001973EB">
      <w:r>
        <w:separator/>
      </w:r>
    </w:p>
  </w:footnote>
  <w:footnote w:type="continuationSeparator" w:id="0">
    <w:p w:rsidR="001973EB" w:rsidRDefault="0019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EF4" w:rsidRDefault="0053322C">
    <w:pPr>
      <w:pStyle w:val="Antrats"/>
      <w:jc w:val="center"/>
    </w:pPr>
    <w:r>
      <w:t>2</w:t>
    </w:r>
  </w:p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B2" w:rsidRDefault="008958B2">
    <w:pPr>
      <w:pStyle w:val="Antrats"/>
      <w:jc w:val="center"/>
    </w:pPr>
    <w:r>
      <w:t>2</w:t>
    </w:r>
  </w:p>
  <w:p w:rsidR="008958B2" w:rsidRDefault="008958B2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1B3BDB"/>
    <w:multiLevelType w:val="hybridMultilevel"/>
    <w:tmpl w:val="C9822AC4"/>
    <w:lvl w:ilvl="0" w:tplc="7B4A25A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3243"/>
    <w:rsid w:val="00011C86"/>
    <w:rsid w:val="00012192"/>
    <w:rsid w:val="00024047"/>
    <w:rsid w:val="00046C51"/>
    <w:rsid w:val="00050157"/>
    <w:rsid w:val="00057095"/>
    <w:rsid w:val="0005716B"/>
    <w:rsid w:val="00061706"/>
    <w:rsid w:val="000643F6"/>
    <w:rsid w:val="00066DBD"/>
    <w:rsid w:val="00072116"/>
    <w:rsid w:val="0008154F"/>
    <w:rsid w:val="00086DCA"/>
    <w:rsid w:val="000C063F"/>
    <w:rsid w:val="000C5AE5"/>
    <w:rsid w:val="000D2635"/>
    <w:rsid w:val="000E1678"/>
    <w:rsid w:val="000F76A8"/>
    <w:rsid w:val="001057A5"/>
    <w:rsid w:val="00106CF6"/>
    <w:rsid w:val="00116541"/>
    <w:rsid w:val="00117B5C"/>
    <w:rsid w:val="00117C0F"/>
    <w:rsid w:val="00137D69"/>
    <w:rsid w:val="00137DFF"/>
    <w:rsid w:val="00142481"/>
    <w:rsid w:val="001512FB"/>
    <w:rsid w:val="00161FD6"/>
    <w:rsid w:val="0016207E"/>
    <w:rsid w:val="00174272"/>
    <w:rsid w:val="00174F28"/>
    <w:rsid w:val="00176929"/>
    <w:rsid w:val="00182D2B"/>
    <w:rsid w:val="001956A7"/>
    <w:rsid w:val="001973EB"/>
    <w:rsid w:val="001A0AB3"/>
    <w:rsid w:val="001B2CF5"/>
    <w:rsid w:val="001B5509"/>
    <w:rsid w:val="001B6261"/>
    <w:rsid w:val="001B6655"/>
    <w:rsid w:val="001D3989"/>
    <w:rsid w:val="001E5821"/>
    <w:rsid w:val="001F3AF8"/>
    <w:rsid w:val="001F442E"/>
    <w:rsid w:val="002018F1"/>
    <w:rsid w:val="0022268E"/>
    <w:rsid w:val="0022370C"/>
    <w:rsid w:val="002239B0"/>
    <w:rsid w:val="00252FCD"/>
    <w:rsid w:val="0025746F"/>
    <w:rsid w:val="002726FA"/>
    <w:rsid w:val="00274258"/>
    <w:rsid w:val="00277EFC"/>
    <w:rsid w:val="0028423A"/>
    <w:rsid w:val="002A7397"/>
    <w:rsid w:val="002B3CBC"/>
    <w:rsid w:val="002B58AE"/>
    <w:rsid w:val="002C101A"/>
    <w:rsid w:val="002E4A92"/>
    <w:rsid w:val="002F3530"/>
    <w:rsid w:val="0034698B"/>
    <w:rsid w:val="003769F8"/>
    <w:rsid w:val="00382EB4"/>
    <w:rsid w:val="003A16B2"/>
    <w:rsid w:val="003A6F99"/>
    <w:rsid w:val="003B3305"/>
    <w:rsid w:val="003E009D"/>
    <w:rsid w:val="003E1382"/>
    <w:rsid w:val="00400467"/>
    <w:rsid w:val="00403FB4"/>
    <w:rsid w:val="00406F80"/>
    <w:rsid w:val="00410E44"/>
    <w:rsid w:val="00421CCB"/>
    <w:rsid w:val="0042792F"/>
    <w:rsid w:val="004311D2"/>
    <w:rsid w:val="004332E5"/>
    <w:rsid w:val="004507B4"/>
    <w:rsid w:val="00450B28"/>
    <w:rsid w:val="00477C28"/>
    <w:rsid w:val="00484BCB"/>
    <w:rsid w:val="00484E91"/>
    <w:rsid w:val="00484EF4"/>
    <w:rsid w:val="00493789"/>
    <w:rsid w:val="004A5D04"/>
    <w:rsid w:val="004B75DD"/>
    <w:rsid w:val="004C186B"/>
    <w:rsid w:val="004C1B76"/>
    <w:rsid w:val="004D6378"/>
    <w:rsid w:val="004D778A"/>
    <w:rsid w:val="004E519E"/>
    <w:rsid w:val="0050046B"/>
    <w:rsid w:val="0053322C"/>
    <w:rsid w:val="005425CB"/>
    <w:rsid w:val="00547955"/>
    <w:rsid w:val="0055114E"/>
    <w:rsid w:val="00556CB0"/>
    <w:rsid w:val="00561B17"/>
    <w:rsid w:val="0056488B"/>
    <w:rsid w:val="00572875"/>
    <w:rsid w:val="00597F4C"/>
    <w:rsid w:val="005A137C"/>
    <w:rsid w:val="005A2180"/>
    <w:rsid w:val="005B5967"/>
    <w:rsid w:val="005C1EA3"/>
    <w:rsid w:val="005C2793"/>
    <w:rsid w:val="005D5BB8"/>
    <w:rsid w:val="005D79AE"/>
    <w:rsid w:val="005E120A"/>
    <w:rsid w:val="005E7BC6"/>
    <w:rsid w:val="00614535"/>
    <w:rsid w:val="00637E29"/>
    <w:rsid w:val="0065598D"/>
    <w:rsid w:val="00671EF4"/>
    <w:rsid w:val="006743CD"/>
    <w:rsid w:val="0067475D"/>
    <w:rsid w:val="0068146F"/>
    <w:rsid w:val="006836F3"/>
    <w:rsid w:val="00693D0F"/>
    <w:rsid w:val="00696C17"/>
    <w:rsid w:val="006A0F7B"/>
    <w:rsid w:val="006A219B"/>
    <w:rsid w:val="006B546C"/>
    <w:rsid w:val="006C6A9F"/>
    <w:rsid w:val="006D21F1"/>
    <w:rsid w:val="006D335C"/>
    <w:rsid w:val="006D53C8"/>
    <w:rsid w:val="006D5B52"/>
    <w:rsid w:val="006D69E4"/>
    <w:rsid w:val="006E556A"/>
    <w:rsid w:val="006E6762"/>
    <w:rsid w:val="006E6D3A"/>
    <w:rsid w:val="006E7908"/>
    <w:rsid w:val="006F0555"/>
    <w:rsid w:val="006F3BC7"/>
    <w:rsid w:val="006F407E"/>
    <w:rsid w:val="006F7BEA"/>
    <w:rsid w:val="00700477"/>
    <w:rsid w:val="0070080A"/>
    <w:rsid w:val="00711F4C"/>
    <w:rsid w:val="00716AA5"/>
    <w:rsid w:val="00735866"/>
    <w:rsid w:val="007423A4"/>
    <w:rsid w:val="00744F43"/>
    <w:rsid w:val="0074628A"/>
    <w:rsid w:val="007537BC"/>
    <w:rsid w:val="007549C1"/>
    <w:rsid w:val="00770A98"/>
    <w:rsid w:val="007830C0"/>
    <w:rsid w:val="007A0285"/>
    <w:rsid w:val="007B3699"/>
    <w:rsid w:val="007E5166"/>
    <w:rsid w:val="007F5CE8"/>
    <w:rsid w:val="008016E5"/>
    <w:rsid w:val="008064B5"/>
    <w:rsid w:val="008119D5"/>
    <w:rsid w:val="0082210E"/>
    <w:rsid w:val="008251B6"/>
    <w:rsid w:val="008265CD"/>
    <w:rsid w:val="00830844"/>
    <w:rsid w:val="008373F1"/>
    <w:rsid w:val="008459F4"/>
    <w:rsid w:val="00864F14"/>
    <w:rsid w:val="00893FF4"/>
    <w:rsid w:val="008958B2"/>
    <w:rsid w:val="008C5507"/>
    <w:rsid w:val="008F0763"/>
    <w:rsid w:val="008F30AD"/>
    <w:rsid w:val="009128E9"/>
    <w:rsid w:val="00912E28"/>
    <w:rsid w:val="00937A2D"/>
    <w:rsid w:val="009451C6"/>
    <w:rsid w:val="00961AED"/>
    <w:rsid w:val="0097300E"/>
    <w:rsid w:val="00980D42"/>
    <w:rsid w:val="00987409"/>
    <w:rsid w:val="0099150F"/>
    <w:rsid w:val="009B445C"/>
    <w:rsid w:val="009E4E63"/>
    <w:rsid w:val="009F3ADD"/>
    <w:rsid w:val="00A01C3C"/>
    <w:rsid w:val="00A0260E"/>
    <w:rsid w:val="00A11EAC"/>
    <w:rsid w:val="00A41F7A"/>
    <w:rsid w:val="00A46DA8"/>
    <w:rsid w:val="00A530E4"/>
    <w:rsid w:val="00A76462"/>
    <w:rsid w:val="00A77FB0"/>
    <w:rsid w:val="00A84E9E"/>
    <w:rsid w:val="00A911F7"/>
    <w:rsid w:val="00A91C4D"/>
    <w:rsid w:val="00AA0883"/>
    <w:rsid w:val="00AA76B6"/>
    <w:rsid w:val="00AC42A4"/>
    <w:rsid w:val="00AD3E03"/>
    <w:rsid w:val="00AE04FD"/>
    <w:rsid w:val="00AF05C9"/>
    <w:rsid w:val="00AF2F4C"/>
    <w:rsid w:val="00AF30AC"/>
    <w:rsid w:val="00B44F39"/>
    <w:rsid w:val="00B47922"/>
    <w:rsid w:val="00B566F9"/>
    <w:rsid w:val="00B72EC9"/>
    <w:rsid w:val="00B848AF"/>
    <w:rsid w:val="00B9707E"/>
    <w:rsid w:val="00BA5D6E"/>
    <w:rsid w:val="00BB5EAF"/>
    <w:rsid w:val="00BB7944"/>
    <w:rsid w:val="00BC4BD7"/>
    <w:rsid w:val="00BD19CA"/>
    <w:rsid w:val="00BD2FF0"/>
    <w:rsid w:val="00BE36F3"/>
    <w:rsid w:val="00C00878"/>
    <w:rsid w:val="00C11226"/>
    <w:rsid w:val="00C16213"/>
    <w:rsid w:val="00C1634F"/>
    <w:rsid w:val="00C319C9"/>
    <w:rsid w:val="00C45927"/>
    <w:rsid w:val="00C47D12"/>
    <w:rsid w:val="00C54A75"/>
    <w:rsid w:val="00C67D62"/>
    <w:rsid w:val="00C84C3C"/>
    <w:rsid w:val="00C84CA2"/>
    <w:rsid w:val="00C91D25"/>
    <w:rsid w:val="00CA245E"/>
    <w:rsid w:val="00CC213B"/>
    <w:rsid w:val="00CC4CD5"/>
    <w:rsid w:val="00CE0464"/>
    <w:rsid w:val="00CE0C0F"/>
    <w:rsid w:val="00CF17BD"/>
    <w:rsid w:val="00CF1D30"/>
    <w:rsid w:val="00CF5971"/>
    <w:rsid w:val="00D06691"/>
    <w:rsid w:val="00D36A50"/>
    <w:rsid w:val="00D41A45"/>
    <w:rsid w:val="00D4330F"/>
    <w:rsid w:val="00D56948"/>
    <w:rsid w:val="00D7406A"/>
    <w:rsid w:val="00D77F4A"/>
    <w:rsid w:val="00D811BC"/>
    <w:rsid w:val="00D82557"/>
    <w:rsid w:val="00D84A1C"/>
    <w:rsid w:val="00D9282D"/>
    <w:rsid w:val="00DA1687"/>
    <w:rsid w:val="00DA67A3"/>
    <w:rsid w:val="00DB5EB2"/>
    <w:rsid w:val="00DC2C07"/>
    <w:rsid w:val="00DE2C0A"/>
    <w:rsid w:val="00DE6104"/>
    <w:rsid w:val="00DF146D"/>
    <w:rsid w:val="00DF524D"/>
    <w:rsid w:val="00E005AD"/>
    <w:rsid w:val="00E11481"/>
    <w:rsid w:val="00E176E4"/>
    <w:rsid w:val="00E20A30"/>
    <w:rsid w:val="00E31453"/>
    <w:rsid w:val="00E4617C"/>
    <w:rsid w:val="00E62739"/>
    <w:rsid w:val="00E66636"/>
    <w:rsid w:val="00E66EB4"/>
    <w:rsid w:val="00E804EB"/>
    <w:rsid w:val="00E83EBF"/>
    <w:rsid w:val="00E952BF"/>
    <w:rsid w:val="00E962B7"/>
    <w:rsid w:val="00EB4E35"/>
    <w:rsid w:val="00EC0FD0"/>
    <w:rsid w:val="00ED16ED"/>
    <w:rsid w:val="00F0013B"/>
    <w:rsid w:val="00F10E44"/>
    <w:rsid w:val="00F159F6"/>
    <w:rsid w:val="00F17734"/>
    <w:rsid w:val="00F46D51"/>
    <w:rsid w:val="00F507F4"/>
    <w:rsid w:val="00F66B43"/>
    <w:rsid w:val="00F70892"/>
    <w:rsid w:val="00F71982"/>
    <w:rsid w:val="00F774F3"/>
    <w:rsid w:val="00F77FCD"/>
    <w:rsid w:val="00F87B6C"/>
    <w:rsid w:val="00F938DD"/>
    <w:rsid w:val="00FB468D"/>
    <w:rsid w:val="00FB7114"/>
    <w:rsid w:val="00FD37B4"/>
    <w:rsid w:val="00FF052C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667B294-32F6-4261-8DA5-EFBF2AA1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E66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484EF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B231B-2D63-443F-9EEB-8A8487B0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3526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8</cp:revision>
  <cp:lastPrinted>2016-11-09T08:32:00Z</cp:lastPrinted>
  <dcterms:created xsi:type="dcterms:W3CDTF">2016-11-03T08:30:00Z</dcterms:created>
  <dcterms:modified xsi:type="dcterms:W3CDTF">2016-11-09T08:51:00Z</dcterms:modified>
</cp:coreProperties>
</file>