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B8" w:rsidRDefault="00FE0CB8" w:rsidP="00FE0CB8">
      <w:pPr>
        <w:shd w:val="clear" w:color="auto" w:fill="FFFFFF"/>
        <w:spacing w:before="100" w:beforeAutospacing="1" w:after="100" w:afterAutospacing="1"/>
        <w:ind w:left="9082"/>
      </w:pPr>
      <w:r>
        <w:rPr>
          <w:spacing w:val="-1"/>
          <w:sz w:val="24"/>
          <w:szCs w:val="24"/>
        </w:rPr>
        <w:t xml:space="preserve">Teisės aktų projektų antikorupcinio vertinimo taisyklių </w:t>
      </w:r>
      <w:r>
        <w:rPr>
          <w:sz w:val="24"/>
          <w:szCs w:val="24"/>
        </w:rPr>
        <w:t>priedas</w:t>
      </w:r>
    </w:p>
    <w:p w:rsidR="00FE0CB8" w:rsidRDefault="00FE0CB8" w:rsidP="00FE0CB8">
      <w:pPr>
        <w:shd w:val="clear" w:color="auto" w:fill="FFFFFF"/>
        <w:spacing w:before="100" w:beforeAutospacing="1" w:after="100" w:afterAutospacing="1"/>
        <w:ind w:left="3418" w:right="3418"/>
        <w:jc w:val="center"/>
      </w:pPr>
      <w:r>
        <w:rPr>
          <w:b/>
          <w:bCs/>
          <w:sz w:val="24"/>
          <w:szCs w:val="24"/>
        </w:rPr>
        <w:t xml:space="preserve">(Pažymos forma) </w:t>
      </w:r>
      <w:r>
        <w:rPr>
          <w:b/>
          <w:bCs/>
          <w:spacing w:val="-2"/>
          <w:sz w:val="24"/>
          <w:szCs w:val="24"/>
        </w:rPr>
        <w:t>TEISĖS AKTŲ PROJEKTŲ ANTIKORU</w:t>
      </w:r>
      <w:r w:rsidR="002B63D8">
        <w:rPr>
          <w:b/>
          <w:bCs/>
          <w:spacing w:val="-2"/>
          <w:sz w:val="24"/>
          <w:szCs w:val="24"/>
        </w:rPr>
        <w:t>PCINIO VERTINIMO PAŽYMA Nr. TA-6</w:t>
      </w:r>
      <w:bookmarkStart w:id="0" w:name="_GoBack"/>
      <w:bookmarkEnd w:id="0"/>
    </w:p>
    <w:p w:rsidR="00FE0CB8" w:rsidRDefault="00FE0CB8" w:rsidP="00FE0CB8">
      <w:pPr>
        <w:shd w:val="clear" w:color="auto" w:fill="FFFFFF"/>
        <w:ind w:left="14"/>
        <w:jc w:val="both"/>
        <w:rPr>
          <w:b/>
          <w:spacing w:val="-1"/>
          <w:sz w:val="24"/>
          <w:szCs w:val="24"/>
        </w:rPr>
      </w:pPr>
      <w:r>
        <w:rPr>
          <w:spacing w:val="-1"/>
          <w:sz w:val="24"/>
          <w:szCs w:val="24"/>
        </w:rPr>
        <w:t xml:space="preserve">Teisės akto projekto pavadinimas: </w:t>
      </w:r>
      <w:r w:rsidRPr="002633EF">
        <w:rPr>
          <w:b/>
          <w:spacing w:val="-1"/>
          <w:sz w:val="24"/>
          <w:szCs w:val="24"/>
        </w:rPr>
        <w:t xml:space="preserve">DĖL </w:t>
      </w:r>
      <w:r>
        <w:rPr>
          <w:b/>
          <w:spacing w:val="-1"/>
          <w:sz w:val="24"/>
          <w:szCs w:val="24"/>
        </w:rPr>
        <w:t>PANEVĖŽIO RAJONO SAVIVALDYBĖS NEFORMALIOJO SUAUGUSIŲJŲ ŠVIETIMO IR TĘSTINIO MOKYMOSI PROGRAMŲ, FINANSUOJAMŲ SAVIVALDYBĖS BIUDŽETO LĖŠOMIS, FINANSAVIMO IR ATRANKOS TVARKOS APRAŠO PATVIRTINIMO</w:t>
      </w:r>
    </w:p>
    <w:p w:rsidR="00FE0CB8" w:rsidRDefault="00FE0CB8" w:rsidP="00FE0CB8">
      <w:pPr>
        <w:shd w:val="clear" w:color="auto" w:fill="FFFFFF"/>
        <w:ind w:left="14"/>
      </w:pPr>
      <w:r>
        <w:rPr>
          <w:spacing w:val="-1"/>
          <w:sz w:val="24"/>
          <w:szCs w:val="24"/>
        </w:rPr>
        <w:t xml:space="preserve">Teisės akto projekto tiesioginis rengėjas: Švietimo, kultūros ir sporto skyriaus vyr. specialistė </w:t>
      </w:r>
      <w:proofErr w:type="spellStart"/>
      <w:r>
        <w:rPr>
          <w:spacing w:val="-1"/>
          <w:sz w:val="24"/>
          <w:szCs w:val="24"/>
        </w:rPr>
        <w:t>Skaidrutė</w:t>
      </w:r>
      <w:proofErr w:type="spellEnd"/>
      <w:r>
        <w:rPr>
          <w:spacing w:val="-1"/>
          <w:sz w:val="24"/>
          <w:szCs w:val="24"/>
        </w:rPr>
        <w:t xml:space="preserve"> </w:t>
      </w:r>
      <w:proofErr w:type="spellStart"/>
      <w:r>
        <w:rPr>
          <w:spacing w:val="-1"/>
          <w:sz w:val="24"/>
          <w:szCs w:val="24"/>
        </w:rPr>
        <w:t>Kriukienė</w:t>
      </w:r>
      <w:proofErr w:type="spellEnd"/>
    </w:p>
    <w:p w:rsidR="00FE0CB8" w:rsidRDefault="00FE0CB8" w:rsidP="00FE0CB8">
      <w:pPr>
        <w:shd w:val="clear" w:color="auto" w:fill="FFFFFF"/>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FE0CB8" w:rsidRDefault="00FE0CB8" w:rsidP="00FE0CB8">
      <w:pPr>
        <w:shd w:val="clear" w:color="auto" w:fill="FFFFFF"/>
        <w:ind w:left="14"/>
      </w:pPr>
      <w:r>
        <w:rPr>
          <w:i/>
          <w:iCs/>
          <w:sz w:val="24"/>
          <w:szCs w:val="24"/>
        </w:rPr>
        <w:t xml:space="preserve">teisės akto projekte nenumatyta priemonių) </w:t>
      </w:r>
      <w:r>
        <w:rPr>
          <w:sz w:val="24"/>
          <w:szCs w:val="24"/>
        </w:rPr>
        <w:t>:-</w:t>
      </w:r>
    </w:p>
    <w:p w:rsidR="00FE0CB8" w:rsidRDefault="00FE0CB8" w:rsidP="00FE0CB8">
      <w:pPr>
        <w:shd w:val="clear" w:color="auto" w:fill="FFFFFF"/>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FE0CB8" w:rsidRDefault="00FE0CB8" w:rsidP="00FE0CB8">
      <w:pPr>
        <w:shd w:val="clear" w:color="auto" w:fill="FFFFFF"/>
        <w:ind w:left="5"/>
      </w:pPr>
      <w:r>
        <w:rPr>
          <w:i/>
          <w:iCs/>
          <w:sz w:val="24"/>
          <w:szCs w:val="24"/>
        </w:rPr>
        <w:t xml:space="preserve">kriterijaus numerį, kurį taikant nustatytai korupcijos rizikai šalinti ar valdyti teisės akto projekte nenumatyta priemonių) </w:t>
      </w:r>
      <w:r>
        <w:rPr>
          <w:sz w:val="24"/>
          <w:szCs w:val="24"/>
        </w:rPr>
        <w:t>:-</w:t>
      </w:r>
    </w:p>
    <w:p w:rsidR="00FE0CB8" w:rsidRDefault="00FE0CB8" w:rsidP="00FE0CB8">
      <w:pPr>
        <w:spacing w:after="235" w:line="1" w:lineRule="exact"/>
        <w:rPr>
          <w:sz w:val="2"/>
          <w:szCs w:val="2"/>
        </w:rPr>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977"/>
        <w:gridCol w:w="2410"/>
      </w:tblGrid>
      <w:tr w:rsidR="00FE0CB8" w:rsidRPr="00502BBA" w:rsidTr="002B63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91"/>
            </w:pPr>
            <w:r w:rsidRPr="00502BBA">
              <w:rPr>
                <w:sz w:val="22"/>
                <w:szCs w:val="22"/>
              </w:rPr>
              <w:t>Eil.</w:t>
            </w:r>
          </w:p>
          <w:p w:rsidR="00FE0CB8" w:rsidRPr="00502BBA" w:rsidRDefault="00FE0CB8" w:rsidP="00776CC8">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left="38"/>
            </w:pPr>
            <w:r w:rsidRPr="00502BBA">
              <w:rPr>
                <w:spacing w:val="-1"/>
                <w:sz w:val="22"/>
                <w:szCs w:val="22"/>
              </w:rPr>
              <w:t>Pagrindimas (nurodomos konkre</w:t>
            </w:r>
            <w:r>
              <w:rPr>
                <w:spacing w:val="-1"/>
                <w:sz w:val="22"/>
                <w:szCs w:val="22"/>
              </w:rPr>
              <w:t>čios</w:t>
            </w:r>
          </w:p>
          <w:p w:rsidR="00FE0CB8" w:rsidRPr="00502BBA" w:rsidRDefault="00FE0CB8" w:rsidP="00776CC8">
            <w:pPr>
              <w:shd w:val="clear" w:color="auto" w:fill="FFFFFF"/>
              <w:spacing w:line="250" w:lineRule="exact"/>
              <w:ind w:left="38"/>
            </w:pPr>
            <w:r w:rsidRPr="00502BBA">
              <w:rPr>
                <w:sz w:val="22"/>
                <w:szCs w:val="22"/>
              </w:rPr>
              <w:t>teis</w:t>
            </w:r>
            <w:r>
              <w:rPr>
                <w:sz w:val="22"/>
                <w:szCs w:val="22"/>
              </w:rPr>
              <w:t>ės akto projekto ar kitų teisės aktų</w:t>
            </w:r>
          </w:p>
          <w:p w:rsidR="00FE0CB8" w:rsidRPr="00502BBA" w:rsidRDefault="00FE0CB8" w:rsidP="00776CC8">
            <w:pPr>
              <w:shd w:val="clear" w:color="auto" w:fill="FFFFFF"/>
              <w:spacing w:line="250" w:lineRule="exact"/>
              <w:ind w:left="38"/>
            </w:pPr>
            <w:r w:rsidRPr="00502BBA">
              <w:rPr>
                <w:sz w:val="22"/>
                <w:szCs w:val="22"/>
              </w:rPr>
              <w:t>nuostatos, pagrind</w:t>
            </w:r>
            <w:r>
              <w:rPr>
                <w:sz w:val="22"/>
                <w:szCs w:val="22"/>
              </w:rPr>
              <w:t>žiančios teigiamą</w:t>
            </w:r>
          </w:p>
          <w:p w:rsidR="00FE0CB8" w:rsidRPr="00502BBA" w:rsidRDefault="00FE0CB8" w:rsidP="00776CC8">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FE0CB8" w:rsidRPr="00502BBA" w:rsidRDefault="00FE0CB8" w:rsidP="00776CC8">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FE0CB8" w:rsidRPr="00502BBA" w:rsidRDefault="00FE0CB8" w:rsidP="00776CC8">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FE0CB8" w:rsidRPr="00502BBA" w:rsidRDefault="00FE0CB8" w:rsidP="00776CC8">
            <w:pPr>
              <w:shd w:val="clear" w:color="auto" w:fill="FFFFFF"/>
              <w:spacing w:line="250" w:lineRule="exact"/>
              <w:ind w:left="38"/>
            </w:pPr>
            <w:r w:rsidRPr="00502BBA">
              <w:rPr>
                <w:sz w:val="22"/>
                <w:szCs w:val="22"/>
              </w:rPr>
              <w:t>korupcijos rizikos ma</w:t>
            </w:r>
            <w:r>
              <w:rPr>
                <w:sz w:val="22"/>
                <w:szCs w:val="22"/>
              </w:rPr>
              <w:t>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FE0CB8" w:rsidRPr="00502BBA" w:rsidRDefault="00FE0CB8" w:rsidP="00776CC8">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FE0CB8" w:rsidRPr="00502BBA" w:rsidRDefault="00FE0CB8" w:rsidP="00776CC8">
            <w:pPr>
              <w:shd w:val="clear" w:color="auto" w:fill="FFFFFF"/>
              <w:spacing w:line="250" w:lineRule="exact"/>
              <w:jc w:val="center"/>
            </w:pPr>
            <w:r w:rsidRPr="00502BBA">
              <w:rPr>
                <w:sz w:val="22"/>
                <w:szCs w:val="22"/>
              </w:rPr>
              <w:t>akto projekto tiesioginio reng</w:t>
            </w:r>
            <w:r>
              <w:rPr>
                <w:sz w:val="22"/>
                <w:szCs w:val="22"/>
              </w:rPr>
              <w:t>ėjo</w:t>
            </w:r>
          </w:p>
          <w:p w:rsidR="00FE0CB8" w:rsidRPr="00502BBA" w:rsidRDefault="00FE0CB8" w:rsidP="00776CC8">
            <w:pPr>
              <w:shd w:val="clear" w:color="auto" w:fill="FFFFFF"/>
              <w:spacing w:line="250" w:lineRule="exact"/>
              <w:jc w:val="center"/>
            </w:pPr>
            <w:r w:rsidRPr="00502BBA">
              <w:rPr>
                <w:sz w:val="22"/>
                <w:szCs w:val="22"/>
              </w:rPr>
              <w:t>argumentai, kod</w:t>
            </w:r>
            <w:r>
              <w:rPr>
                <w:sz w:val="22"/>
                <w:szCs w:val="22"/>
              </w:rPr>
              <w:t>ėl neatsižvelgta į</w:t>
            </w:r>
          </w:p>
          <w:p w:rsidR="00FE0CB8" w:rsidRPr="00502BBA" w:rsidRDefault="00FE0CB8" w:rsidP="00776CC8">
            <w:pPr>
              <w:shd w:val="clear" w:color="auto" w:fill="FFFFFF"/>
              <w:spacing w:line="250" w:lineRule="exact"/>
              <w:jc w:val="center"/>
            </w:pPr>
            <w:r w:rsidRPr="00502BBA">
              <w:rPr>
                <w:sz w:val="22"/>
                <w:szCs w:val="22"/>
              </w:rPr>
              <w:t>pastab</w:t>
            </w:r>
            <w:r>
              <w:rPr>
                <w:sz w:val="22"/>
                <w:szCs w:val="22"/>
              </w:rPr>
              <w:t>ą</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FE0CB8" w:rsidRPr="00502BBA" w:rsidRDefault="00FE0CB8" w:rsidP="00776CC8">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FE0CB8" w:rsidRPr="00502BBA" w:rsidTr="002B63D8">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FE0CB8" w:rsidRPr="00502BBA" w:rsidTr="002B63D8">
        <w:trPr>
          <w:trHeight w:hRule="exact" w:val="238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027279" w:rsidRDefault="00FE0CB8" w:rsidP="00776CC8">
            <w:pPr>
              <w:shd w:val="clear" w:color="auto" w:fill="FFFFFF"/>
              <w:spacing w:line="254" w:lineRule="exact"/>
              <w:ind w:right="53"/>
            </w:pPr>
            <w:r w:rsidRPr="00027279">
              <w:rPr>
                <w:sz w:val="22"/>
                <w:szCs w:val="22"/>
              </w:rPr>
              <w:t xml:space="preserve">Teisės akto projektas nesudaro išskirtinių ar nevienodų sąlygų </w:t>
            </w:r>
            <w:r w:rsidRPr="00027279">
              <w:rPr>
                <w:spacing w:val="-2"/>
                <w:sz w:val="22"/>
                <w:szCs w:val="22"/>
              </w:rPr>
              <w:t xml:space="preserve">subjektams, su kuriais susijęs teisės </w:t>
            </w:r>
            <w:r w:rsidRPr="00027279">
              <w:rPr>
                <w:sz w:val="22"/>
                <w:szCs w:val="22"/>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027279" w:rsidRDefault="00FE0CB8" w:rsidP="00776CC8">
            <w:pPr>
              <w:shd w:val="clear" w:color="auto" w:fill="FFFFFF"/>
            </w:pPr>
            <w:r w:rsidRPr="004617DB">
              <w:t xml:space="preserve">Nesudaro. </w:t>
            </w:r>
            <w:r w:rsidRPr="004617DB">
              <w:rPr>
                <w:spacing w:val="-1"/>
              </w:rPr>
              <w:t>Panevėžio rajono savivaldybės neformaliojo suaugusiųjų švietimo ir tęstinio mokymosi programų, finansuojamų savivaldybės biudžeto lėšomis, finansavimo ir atrankos tvarkos aprašas parengtas vadovaujantis Mokymosi pagal neformaliojo suaugusiųjų švietimo ir tęstinio mokymosi programas metodika</w:t>
            </w:r>
            <w:r>
              <w:rPr>
                <w:spacing w:val="-1"/>
              </w:rPr>
              <w:t xml:space="preserve"> (toliau – Metodika)</w:t>
            </w:r>
            <w:r w:rsidRPr="004617DB">
              <w:rPr>
                <w:spacing w:val="-1"/>
              </w:rPr>
              <w:t>, patvirtinta Lietuvos Respublikos Vyriausybės</w:t>
            </w:r>
            <w:r>
              <w:rPr>
                <w:spacing w:val="-1"/>
              </w:rPr>
              <w:t xml:space="preserve"> 2016-01-14 nutarimu Nr. 22, todėl </w:t>
            </w:r>
            <w:r w:rsidRPr="00027279">
              <w:t xml:space="preserve">projekte nustatytos sąlygos atitinka </w:t>
            </w:r>
            <w:r>
              <w:t>nutarimu</w:t>
            </w:r>
            <w:r w:rsidRPr="00027279">
              <w:t xml:space="preserve"> patvirtinto</w:t>
            </w:r>
            <w:r>
              <w:t>s</w:t>
            </w:r>
            <w:r w:rsidRPr="00027279">
              <w:t xml:space="preserve"> </w:t>
            </w:r>
            <w:r>
              <w:t>Metodikos</w:t>
            </w:r>
            <w:r w:rsidRPr="00027279">
              <w:t xml:space="preserve"> n</w:t>
            </w:r>
            <w:r>
              <w:t>ustatytas sąlygas ir kriterijus ir nesudaro išskirtinių ar nevienodų sąlygų subjektams, su kuriais susijęs teisės akto įgyvendinimas.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027279" w:rsidRDefault="00FE0CB8" w:rsidP="00776CC8">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E0CB8" w:rsidRPr="00027279" w:rsidRDefault="00FE0CB8" w:rsidP="00776CC8">
            <w:pPr>
              <w:shd w:val="clear" w:color="auto" w:fill="FFFFFF"/>
              <w:spacing w:line="254" w:lineRule="exact"/>
              <w:ind w:left="10" w:right="1435"/>
              <w:rPr>
                <w:sz w:val="22"/>
                <w:szCs w:val="22"/>
              </w:rPr>
            </w:pPr>
            <w:r>
              <w:rPr>
                <w:sz w:val="24"/>
                <w:szCs w:val="24"/>
              </w:rPr>
              <w:t>X</w:t>
            </w:r>
            <w:r w:rsidRPr="00027279">
              <w:rPr>
                <w:sz w:val="22"/>
                <w:szCs w:val="22"/>
              </w:rPr>
              <w:t xml:space="preserve"> tenkina </w:t>
            </w:r>
          </w:p>
          <w:p w:rsidR="00FE0CB8" w:rsidRDefault="00FE0CB8" w:rsidP="00776CC8">
            <w:pPr>
              <w:shd w:val="clear" w:color="auto" w:fill="FFFFFF"/>
              <w:spacing w:line="254" w:lineRule="exact"/>
              <w:ind w:left="10" w:right="952"/>
              <w:rPr>
                <w:sz w:val="22"/>
                <w:szCs w:val="22"/>
              </w:rPr>
            </w:pPr>
            <w:r w:rsidRPr="00027279">
              <w:rPr>
                <w:sz w:val="24"/>
                <w:szCs w:val="24"/>
              </w:rPr>
              <w:t>□</w:t>
            </w:r>
            <w:r w:rsidRPr="00027279">
              <w:rPr>
                <w:sz w:val="22"/>
                <w:szCs w:val="22"/>
              </w:rPr>
              <w:t xml:space="preserve"> </w:t>
            </w:r>
            <w:r>
              <w:rPr>
                <w:sz w:val="22"/>
                <w:szCs w:val="22"/>
              </w:rPr>
              <w:t>n</w:t>
            </w:r>
            <w:r w:rsidRPr="00027279">
              <w:rPr>
                <w:sz w:val="22"/>
                <w:szCs w:val="22"/>
              </w:rPr>
              <w:t>etenkina</w:t>
            </w:r>
          </w:p>
          <w:p w:rsidR="00FE0CB8" w:rsidRPr="00027279" w:rsidRDefault="00FE0CB8" w:rsidP="00776CC8">
            <w:pPr>
              <w:shd w:val="clear" w:color="auto" w:fill="FFFFFF"/>
              <w:spacing w:line="254" w:lineRule="exact"/>
              <w:ind w:left="10" w:right="1435"/>
            </w:pPr>
          </w:p>
        </w:tc>
      </w:tr>
    </w:tbl>
    <w:p w:rsidR="00FE0CB8" w:rsidRDefault="00FE0CB8" w:rsidP="00FE0CB8">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FE0CB8" w:rsidRDefault="00FE0CB8" w:rsidP="00FE0CB8">
      <w:pPr>
        <w:shd w:val="clear" w:color="auto" w:fill="FFFFFF"/>
        <w:tabs>
          <w:tab w:val="left" w:pos="77"/>
        </w:tabs>
        <w:spacing w:line="230" w:lineRule="exact"/>
        <w:ind w:left="5"/>
      </w:pPr>
      <w:r>
        <w:rPr>
          <w:vertAlign w:val="superscript"/>
        </w:rPr>
        <w:t>2</w:t>
      </w:r>
      <w:r>
        <w:tab/>
      </w:r>
      <w:r>
        <w:rPr>
          <w:spacing w:val="-2"/>
        </w:rPr>
        <w:t>Tas pat.</w:t>
      </w:r>
    </w:p>
    <w:p w:rsidR="00FE0CB8" w:rsidRDefault="00FE0CB8" w:rsidP="00FE0CB8">
      <w:pPr>
        <w:shd w:val="clear" w:color="auto" w:fill="FFFFFF"/>
        <w:tabs>
          <w:tab w:val="left" w:pos="77"/>
        </w:tabs>
        <w:spacing w:line="230" w:lineRule="exact"/>
        <w:ind w:left="5"/>
        <w:sectPr w:rsidR="00FE0CB8" w:rsidSect="005B0A2B">
          <w:pgSz w:w="16834" w:h="11909" w:orient="landscape"/>
          <w:pgMar w:top="1274" w:right="1100" w:bottom="360" w:left="1099" w:header="567" w:footer="567" w:gutter="0"/>
          <w:cols w:space="60"/>
          <w:noEndnote/>
        </w:sectPr>
      </w:pPr>
    </w:p>
    <w:p w:rsidR="00FE0CB8" w:rsidRDefault="00FE0CB8" w:rsidP="00FE0CB8">
      <w:pPr>
        <w:spacing w:after="586" w:line="1" w:lineRule="exact"/>
        <w:rPr>
          <w:sz w:val="2"/>
          <w:szCs w:val="2"/>
        </w:rPr>
      </w:pPr>
    </w:p>
    <w:tbl>
      <w:tblPr>
        <w:tblW w:w="15301" w:type="dxa"/>
        <w:tblLayout w:type="fixed"/>
        <w:tblCellMar>
          <w:left w:w="40" w:type="dxa"/>
          <w:right w:w="40" w:type="dxa"/>
        </w:tblCellMar>
        <w:tblLook w:val="0000" w:firstRow="0" w:lastRow="0" w:firstColumn="0" w:lastColumn="0" w:noHBand="0" w:noVBand="0"/>
      </w:tblPr>
      <w:tblGrid>
        <w:gridCol w:w="715"/>
        <w:gridCol w:w="3105"/>
        <w:gridCol w:w="5913"/>
        <w:gridCol w:w="2977"/>
        <w:gridCol w:w="2591"/>
      </w:tblGrid>
      <w:tr w:rsidR="00FE0CB8" w:rsidRPr="00502BBA" w:rsidTr="002B63D8">
        <w:trPr>
          <w:cantSplit/>
          <w:trHeight w:hRule="exact" w:val="18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ind w:left="91"/>
              <w:rPr>
                <w:sz w:val="22"/>
                <w:szCs w:val="22"/>
              </w:rPr>
            </w:pPr>
            <w:r w:rsidRPr="00FD320C">
              <w:rPr>
                <w:sz w:val="22"/>
                <w:szCs w:val="22"/>
              </w:rPr>
              <w:t>Eil.</w:t>
            </w:r>
          </w:p>
          <w:p w:rsidR="00FE0CB8" w:rsidRPr="00FD320C" w:rsidRDefault="00FE0CB8" w:rsidP="00776CC8">
            <w:pPr>
              <w:shd w:val="clear" w:color="auto" w:fill="FFFFFF"/>
              <w:ind w:left="91"/>
              <w:rPr>
                <w:sz w:val="22"/>
                <w:szCs w:val="22"/>
              </w:rPr>
            </w:pPr>
            <w:r w:rsidRPr="00FD320C">
              <w:rPr>
                <w:sz w:val="22"/>
                <w:szCs w:val="22"/>
              </w:rPr>
              <w:t>Nr.</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ind w:left="1171"/>
              <w:rPr>
                <w:sz w:val="22"/>
                <w:szCs w:val="22"/>
              </w:rPr>
            </w:pPr>
            <w:r w:rsidRPr="00FD320C">
              <w:rPr>
                <w:sz w:val="22"/>
                <w:szCs w:val="22"/>
              </w:rPr>
              <w:t>Kriterijus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spacing w:line="250" w:lineRule="exact"/>
              <w:jc w:val="center"/>
              <w:rPr>
                <w:sz w:val="22"/>
                <w:szCs w:val="22"/>
              </w:rPr>
            </w:pPr>
            <w:r w:rsidRPr="00FD320C">
              <w:rPr>
                <w:spacing w:val="-1"/>
                <w:sz w:val="22"/>
                <w:szCs w:val="22"/>
              </w:rPr>
              <w:t>Pagrindimas (nurodomos konkrečios</w:t>
            </w:r>
          </w:p>
          <w:p w:rsidR="00FE0CB8" w:rsidRPr="00FD320C" w:rsidRDefault="00FE0CB8" w:rsidP="00776CC8">
            <w:pPr>
              <w:shd w:val="clear" w:color="auto" w:fill="FFFFFF"/>
              <w:spacing w:line="250" w:lineRule="exact"/>
              <w:jc w:val="center"/>
              <w:rPr>
                <w:sz w:val="22"/>
                <w:szCs w:val="22"/>
              </w:rPr>
            </w:pPr>
            <w:r w:rsidRPr="00FD320C">
              <w:rPr>
                <w:sz w:val="22"/>
                <w:szCs w:val="22"/>
              </w:rPr>
              <w:t>teisės akto projekto ar kitų teisės aktų</w:t>
            </w:r>
          </w:p>
          <w:p w:rsidR="00FE0CB8" w:rsidRPr="00FD320C" w:rsidRDefault="00FE0CB8" w:rsidP="00776CC8">
            <w:pPr>
              <w:shd w:val="clear" w:color="auto" w:fill="FFFFFF"/>
              <w:spacing w:line="250" w:lineRule="exact"/>
              <w:jc w:val="center"/>
              <w:rPr>
                <w:sz w:val="22"/>
                <w:szCs w:val="22"/>
              </w:rPr>
            </w:pPr>
            <w:r w:rsidRPr="00FD320C">
              <w:rPr>
                <w:sz w:val="22"/>
                <w:szCs w:val="22"/>
              </w:rPr>
              <w:t>nuostatos, pagrindžiančios teigiamą</w:t>
            </w:r>
          </w:p>
          <w:p w:rsidR="00FE0CB8" w:rsidRPr="00FD320C" w:rsidRDefault="00FE0CB8" w:rsidP="00776CC8">
            <w:pPr>
              <w:shd w:val="clear" w:color="auto" w:fill="FFFFFF"/>
              <w:spacing w:line="250" w:lineRule="exact"/>
              <w:jc w:val="center"/>
              <w:rPr>
                <w:sz w:val="22"/>
                <w:szCs w:val="22"/>
              </w:rPr>
            </w:pPr>
            <w:r w:rsidRPr="00FD320C">
              <w:rPr>
                <w:spacing w:val="-1"/>
                <w:sz w:val="22"/>
                <w:szCs w:val="22"/>
              </w:rPr>
              <w:t>atsakymą, arba pateikiamos antikorupcinį</w:t>
            </w:r>
          </w:p>
          <w:p w:rsidR="00FE0CB8" w:rsidRPr="00FD320C" w:rsidRDefault="00FE0CB8" w:rsidP="00776CC8">
            <w:pPr>
              <w:shd w:val="clear" w:color="auto" w:fill="FFFFFF"/>
              <w:spacing w:line="250" w:lineRule="exact"/>
              <w:jc w:val="center"/>
              <w:rPr>
                <w:sz w:val="22"/>
                <w:szCs w:val="22"/>
              </w:rPr>
            </w:pPr>
            <w:r w:rsidRPr="00FD320C">
              <w:rPr>
                <w:spacing w:val="-1"/>
                <w:sz w:val="22"/>
                <w:szCs w:val="22"/>
              </w:rPr>
              <w:t>teisės akto projekto vertinimą atliekančio</w:t>
            </w:r>
          </w:p>
          <w:p w:rsidR="00FE0CB8" w:rsidRPr="00FD320C" w:rsidRDefault="00FE0CB8" w:rsidP="00776CC8">
            <w:pPr>
              <w:shd w:val="clear" w:color="auto" w:fill="FFFFFF"/>
              <w:spacing w:line="250" w:lineRule="exact"/>
              <w:jc w:val="center"/>
              <w:rPr>
                <w:sz w:val="22"/>
                <w:szCs w:val="22"/>
              </w:rPr>
            </w:pPr>
            <w:r w:rsidRPr="00FD320C">
              <w:rPr>
                <w:spacing w:val="-1"/>
                <w:sz w:val="22"/>
                <w:szCs w:val="22"/>
              </w:rPr>
              <w:t>specialisto pastabos ir pasiūlymai dėl</w:t>
            </w:r>
          </w:p>
          <w:p w:rsidR="00FE0CB8" w:rsidRPr="00FD320C" w:rsidRDefault="00FE0CB8" w:rsidP="00776CC8">
            <w:pPr>
              <w:shd w:val="clear" w:color="auto" w:fill="FFFFFF"/>
              <w:spacing w:line="250" w:lineRule="exact"/>
              <w:jc w:val="center"/>
              <w:rPr>
                <w:sz w:val="22"/>
                <w:szCs w:val="22"/>
              </w:rPr>
            </w:pPr>
            <w:r w:rsidRPr="00FD320C">
              <w:rPr>
                <w:sz w:val="22"/>
                <w:szCs w:val="22"/>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spacing w:line="250" w:lineRule="exact"/>
              <w:jc w:val="center"/>
              <w:rPr>
                <w:sz w:val="22"/>
                <w:szCs w:val="22"/>
              </w:rPr>
            </w:pPr>
            <w:r w:rsidRPr="00FD320C">
              <w:rPr>
                <w:spacing w:val="-1"/>
                <w:sz w:val="22"/>
                <w:szCs w:val="22"/>
              </w:rPr>
              <w:t>Teisės akto projekto pakeitimas,</w:t>
            </w:r>
          </w:p>
          <w:p w:rsidR="00FE0CB8" w:rsidRPr="00FD320C" w:rsidRDefault="00FE0CB8" w:rsidP="00776CC8">
            <w:pPr>
              <w:shd w:val="clear" w:color="auto" w:fill="FFFFFF"/>
              <w:spacing w:line="250" w:lineRule="exact"/>
              <w:jc w:val="center"/>
              <w:rPr>
                <w:sz w:val="22"/>
                <w:szCs w:val="22"/>
              </w:rPr>
            </w:pPr>
            <w:r w:rsidRPr="00FD320C">
              <w:rPr>
                <w:spacing w:val="-1"/>
                <w:sz w:val="22"/>
                <w:szCs w:val="22"/>
              </w:rPr>
              <w:t>mažinantis korupcijos riziką, arba teisės</w:t>
            </w:r>
          </w:p>
          <w:p w:rsidR="00FE0CB8" w:rsidRPr="00FD320C" w:rsidRDefault="00FE0CB8" w:rsidP="00776CC8">
            <w:pPr>
              <w:shd w:val="clear" w:color="auto" w:fill="FFFFFF"/>
              <w:spacing w:line="250" w:lineRule="exact"/>
              <w:jc w:val="center"/>
              <w:rPr>
                <w:sz w:val="22"/>
                <w:szCs w:val="22"/>
              </w:rPr>
            </w:pPr>
            <w:r w:rsidRPr="00FD320C">
              <w:rPr>
                <w:sz w:val="22"/>
                <w:szCs w:val="22"/>
              </w:rPr>
              <w:t>akto projekto tiesioginio rengėjo</w:t>
            </w:r>
          </w:p>
          <w:p w:rsidR="00FE0CB8" w:rsidRPr="00FD320C" w:rsidRDefault="00FE0CB8" w:rsidP="00776CC8">
            <w:pPr>
              <w:shd w:val="clear" w:color="auto" w:fill="FFFFFF"/>
              <w:spacing w:line="250" w:lineRule="exact"/>
              <w:jc w:val="center"/>
              <w:rPr>
                <w:sz w:val="22"/>
                <w:szCs w:val="22"/>
              </w:rPr>
            </w:pPr>
            <w:r w:rsidRPr="00FD320C">
              <w:rPr>
                <w:sz w:val="22"/>
                <w:szCs w:val="22"/>
              </w:rPr>
              <w:t>argumentai, kodėl neatsižvelgta į</w:t>
            </w:r>
            <w:r>
              <w:rPr>
                <w:sz w:val="22"/>
                <w:szCs w:val="22"/>
              </w:rPr>
              <w:t xml:space="preserve"> </w:t>
            </w:r>
            <w:r w:rsidRPr="00FD320C">
              <w:rPr>
                <w:sz w:val="22"/>
                <w:szCs w:val="22"/>
              </w:rPr>
              <w:t>pastabą</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spacing w:line="250" w:lineRule="exact"/>
              <w:ind w:left="182" w:right="187"/>
              <w:rPr>
                <w:sz w:val="22"/>
                <w:szCs w:val="22"/>
              </w:rPr>
            </w:pPr>
            <w:r w:rsidRPr="00FD320C">
              <w:rPr>
                <w:spacing w:val="-1"/>
                <w:sz w:val="22"/>
                <w:szCs w:val="22"/>
              </w:rPr>
              <w:t>Išvada dėl teisės akto projekto pakeitimų arba</w:t>
            </w:r>
            <w:r>
              <w:rPr>
                <w:spacing w:val="-1"/>
                <w:sz w:val="22"/>
                <w:szCs w:val="22"/>
              </w:rPr>
              <w:t xml:space="preserve"> </w:t>
            </w:r>
            <w:r w:rsidRPr="00FD320C">
              <w:rPr>
                <w:sz w:val="22"/>
                <w:szCs w:val="22"/>
              </w:rPr>
              <w:t>argumentų, kodėl neatsižvelgta į pastabą</w:t>
            </w:r>
          </w:p>
        </w:tc>
      </w:tr>
      <w:tr w:rsidR="00FE0CB8" w:rsidRPr="00502BBA" w:rsidTr="002B63D8">
        <w:trPr>
          <w:cantSplit/>
          <w:trHeight w:hRule="exact" w:val="99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68"/>
            </w:pPr>
            <w:r w:rsidRPr="00502BBA">
              <w:rPr>
                <w:sz w:val="22"/>
                <w:szCs w:val="22"/>
              </w:rPr>
              <w:t>2.</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FE0CB8" w:rsidRPr="00FE0CB8" w:rsidRDefault="00FE0CB8" w:rsidP="00776CC8">
            <w:pPr>
              <w:shd w:val="clear" w:color="auto" w:fill="FFFFFF"/>
              <w:spacing w:line="254" w:lineRule="exact"/>
              <w:ind w:right="106" w:firstLine="5"/>
              <w:rPr>
                <w:sz w:val="22"/>
                <w:szCs w:val="22"/>
              </w:rPr>
            </w:pPr>
            <w:r w:rsidRPr="00FE0CB8">
              <w:rPr>
                <w:spacing w:val="-1"/>
                <w:sz w:val="22"/>
                <w:szCs w:val="22"/>
              </w:rPr>
              <w:t xml:space="preserve">Teisės akto projekte nėra spragų ar </w:t>
            </w:r>
            <w:r w:rsidRPr="00FE0CB8">
              <w:rPr>
                <w:sz w:val="22"/>
                <w:szCs w:val="22"/>
              </w:rPr>
              <w:t>nuostatų, leisiančių dviprasmiškai aiškinti ir taikyti teisės aktą</w:t>
            </w:r>
          </w:p>
          <w:p w:rsidR="00FE0CB8" w:rsidRPr="00FE0CB8" w:rsidRDefault="00FE0CB8" w:rsidP="00776CC8">
            <w:pPr>
              <w:rPr>
                <w:sz w:val="22"/>
                <w:szCs w:val="22"/>
              </w:rPr>
            </w:pP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pStyle w:val="tajtip"/>
              <w:spacing w:before="0" w:beforeAutospacing="0" w:after="0" w:afterAutospacing="0"/>
              <w:rPr>
                <w:sz w:val="18"/>
                <w:szCs w:val="18"/>
              </w:rPr>
            </w:pPr>
            <w:r>
              <w:rPr>
                <w:sz w:val="18"/>
                <w:szCs w:val="18"/>
              </w:rPr>
              <w:t>Nėra. Teisės akto nuostatos atitinka Metodikos nuostatas.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FE0CB8" w:rsidRDefault="00FE0CB8" w:rsidP="00776CC8">
            <w:pPr>
              <w:shd w:val="clear" w:color="auto" w:fill="FFFFFF"/>
              <w:spacing w:line="254" w:lineRule="exact"/>
              <w:ind w:left="10" w:right="1435"/>
              <w:rPr>
                <w:sz w:val="22"/>
                <w:szCs w:val="22"/>
              </w:rPr>
            </w:pPr>
            <w:r>
              <w:rPr>
                <w:sz w:val="24"/>
                <w:szCs w:val="24"/>
              </w:rPr>
              <w:t>X</w:t>
            </w:r>
            <w:r w:rsidRPr="00502BBA">
              <w:rPr>
                <w:sz w:val="24"/>
                <w:szCs w:val="24"/>
              </w:rPr>
              <w:t xml:space="preserve"> </w:t>
            </w:r>
            <w:r w:rsidRPr="00502BBA">
              <w:rPr>
                <w:sz w:val="22"/>
                <w:szCs w:val="22"/>
              </w:rPr>
              <w:t xml:space="preserve">tenkina </w:t>
            </w:r>
          </w:p>
          <w:p w:rsidR="00FE0CB8" w:rsidRPr="00502BBA" w:rsidRDefault="00FE0CB8" w:rsidP="00776CC8">
            <w:pPr>
              <w:shd w:val="clear" w:color="auto" w:fill="FFFFFF"/>
              <w:spacing w:line="254" w:lineRule="exact"/>
              <w:ind w:left="10" w:right="1435"/>
            </w:pPr>
            <w:r w:rsidRPr="00502BBA">
              <w:rPr>
                <w:sz w:val="24"/>
                <w:szCs w:val="24"/>
              </w:rPr>
              <w:t>□</w:t>
            </w:r>
            <w:r>
              <w:rPr>
                <w:sz w:val="22"/>
                <w:szCs w:val="22"/>
              </w:rPr>
              <w:t xml:space="preserve"> </w:t>
            </w:r>
            <w:r w:rsidRPr="00502BBA">
              <w:rPr>
                <w:sz w:val="22"/>
                <w:szCs w:val="22"/>
              </w:rPr>
              <w:t>netenkina</w:t>
            </w:r>
          </w:p>
        </w:tc>
      </w:tr>
      <w:tr w:rsidR="00FE0CB8" w:rsidRPr="00502BBA" w:rsidTr="002B63D8">
        <w:trPr>
          <w:cantSplit/>
          <w:trHeight w:hRule="exact" w:val="22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73"/>
            </w:pPr>
            <w:r w:rsidRPr="00502BBA">
              <w:rPr>
                <w:sz w:val="22"/>
                <w:szCs w:val="22"/>
              </w:rPr>
              <w:t>3.</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FE0CB8" w:rsidRPr="00FE0CB8" w:rsidRDefault="00FE0CB8" w:rsidP="00776CC8">
            <w:pPr>
              <w:shd w:val="clear" w:color="auto" w:fill="FFFFFF"/>
              <w:spacing w:line="250" w:lineRule="exact"/>
              <w:ind w:right="139" w:firstLine="10"/>
              <w:rPr>
                <w:sz w:val="22"/>
                <w:szCs w:val="22"/>
              </w:rPr>
            </w:pPr>
            <w:r w:rsidRPr="00FE0CB8">
              <w:rPr>
                <w:spacing w:val="-1"/>
                <w:sz w:val="22"/>
                <w:szCs w:val="22"/>
              </w:rPr>
              <w:t xml:space="preserve">Teisės akto projekte nustatyta, kad sprendimą dėl teisių suteikimo, </w:t>
            </w:r>
            <w:r w:rsidRPr="00FE0CB8">
              <w:rPr>
                <w:sz w:val="22"/>
                <w:szCs w:val="22"/>
              </w:rPr>
              <w:t xml:space="preserve">apribojimų nustatymo, sankcijų taikymo ir panašiai priimantis subjektas atskirtas nuo šių sprendimų teisėtumą ir </w:t>
            </w:r>
            <w:r w:rsidRPr="00FE0CB8">
              <w:rPr>
                <w:spacing w:val="-1"/>
                <w:sz w:val="22"/>
                <w:szCs w:val="22"/>
              </w:rPr>
              <w:t xml:space="preserve">Įgyvendinimą kontroliuojančio </w:t>
            </w:r>
            <w:r w:rsidRPr="00FE0CB8">
              <w:rPr>
                <w:sz w:val="22"/>
                <w:szCs w:val="22"/>
              </w:rPr>
              <w:t>(prižiūrinčio) subjekto</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jc w:val="both"/>
              <w:rPr>
                <w:sz w:val="18"/>
                <w:szCs w:val="18"/>
              </w:rPr>
            </w:pPr>
            <w:r>
              <w:rPr>
                <w:sz w:val="18"/>
                <w:szCs w:val="18"/>
              </w:rPr>
              <w:t xml:space="preserve">Taip: sprendimą priima Savivaldybės administracijos direktorius (Aprašo 16 p.), o kontrolę vykdo Centralizuotas vidaus audito skyrius. (Aprašo 29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2"/>
                <w:szCs w:val="22"/>
              </w:rPr>
              <w:t>X</w:t>
            </w:r>
            <w:r w:rsidRPr="00502BBA">
              <w:rPr>
                <w:sz w:val="24"/>
                <w:szCs w:val="24"/>
              </w:rPr>
              <w:t xml:space="preserve"> </w:t>
            </w:r>
            <w:r>
              <w:rPr>
                <w:sz w:val="22"/>
                <w:szCs w:val="22"/>
              </w:rPr>
              <w:t xml:space="preserve"> </w:t>
            </w:r>
            <w:r w:rsidRPr="00502BBA">
              <w:rPr>
                <w:sz w:val="22"/>
                <w:szCs w:val="22"/>
              </w:rPr>
              <w:t xml:space="preserve">tenkina </w:t>
            </w:r>
          </w:p>
          <w:p w:rsidR="00FE0CB8" w:rsidRPr="00502BBA" w:rsidRDefault="00FE0CB8" w:rsidP="00776CC8">
            <w:pPr>
              <w:shd w:val="clear" w:color="auto" w:fill="FFFFFF"/>
              <w:spacing w:line="254" w:lineRule="exact"/>
              <w:ind w:left="10" w:right="1435"/>
            </w:pPr>
            <w:r w:rsidRPr="00502BBA">
              <w:rPr>
                <w:sz w:val="24"/>
                <w:szCs w:val="24"/>
              </w:rPr>
              <w:t>□</w:t>
            </w:r>
            <w:r>
              <w:rPr>
                <w:sz w:val="24"/>
                <w:szCs w:val="24"/>
              </w:rPr>
              <w:t xml:space="preserve"> </w:t>
            </w:r>
            <w:r w:rsidRPr="00502BBA">
              <w:rPr>
                <w:sz w:val="22"/>
                <w:szCs w:val="22"/>
              </w:rPr>
              <w:t>netenkina</w:t>
            </w:r>
          </w:p>
        </w:tc>
      </w:tr>
      <w:tr w:rsidR="00FE0CB8" w:rsidRPr="00502BBA" w:rsidTr="002B63D8">
        <w:trPr>
          <w:cantSplit/>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68"/>
            </w:pPr>
            <w:r w:rsidRPr="00502BBA">
              <w:rPr>
                <w:sz w:val="22"/>
                <w:szCs w:val="22"/>
              </w:rPr>
              <w:t>4.</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FE0CB8" w:rsidRPr="00FE0CB8" w:rsidRDefault="00FE0CB8" w:rsidP="00776CC8">
            <w:pPr>
              <w:shd w:val="clear" w:color="auto" w:fill="FFFFFF"/>
              <w:spacing w:line="250" w:lineRule="exact"/>
              <w:ind w:right="19"/>
              <w:rPr>
                <w:sz w:val="22"/>
                <w:szCs w:val="22"/>
              </w:rPr>
            </w:pPr>
            <w:r w:rsidRPr="00FE0CB8">
              <w:rPr>
                <w:spacing w:val="-1"/>
                <w:sz w:val="22"/>
                <w:szCs w:val="22"/>
              </w:rPr>
              <w:t xml:space="preserve">Teisės akto projekte nustatyti subjekto įgaliojimai (teisės) atitinka subjekto atliekamas funkcijas </w:t>
            </w:r>
            <w:r w:rsidRPr="00FE0CB8">
              <w:rPr>
                <w:sz w:val="22"/>
                <w:szCs w:val="22"/>
              </w:rPr>
              <w:t>(pareigas)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rPr>
                <w:sz w:val="18"/>
                <w:szCs w:val="18"/>
              </w:rPr>
            </w:pPr>
            <w:r>
              <w:rPr>
                <w:sz w:val="18"/>
                <w:szCs w:val="18"/>
              </w:rPr>
              <w:t xml:space="preserve">Subjektų (administracijos direktoriaus, administracijos direktoriaus įsakymu sudarytos komisijos ir kt.) </w:t>
            </w:r>
            <w:r w:rsidRPr="00FD320C">
              <w:rPr>
                <w:sz w:val="18"/>
                <w:szCs w:val="18"/>
              </w:rPr>
              <w:t xml:space="preserve">įgaliojimai atitinka atliekamas funkcijas ir </w:t>
            </w:r>
            <w:r>
              <w:rPr>
                <w:sz w:val="18"/>
                <w:szCs w:val="18"/>
              </w:rPr>
              <w:t>Metodikoje</w:t>
            </w:r>
            <w:r w:rsidRPr="00FD320C">
              <w:rPr>
                <w:sz w:val="18"/>
                <w:szCs w:val="18"/>
              </w:rPr>
              <w:t xml:space="preserve"> nustatytus įgaliojimus.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2B63D8">
        <w:trPr>
          <w:cantSplit/>
          <w:trHeight w:hRule="exact" w:val="114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73"/>
            </w:pPr>
            <w:r w:rsidRPr="00502BBA">
              <w:rPr>
                <w:sz w:val="22"/>
                <w:szCs w:val="22"/>
              </w:rPr>
              <w:t>5.</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FE0CB8" w:rsidRPr="00FE0CB8" w:rsidRDefault="00FE0CB8" w:rsidP="00FE0CB8">
            <w:pPr>
              <w:shd w:val="clear" w:color="auto" w:fill="FFFFFF"/>
              <w:spacing w:line="250" w:lineRule="exact"/>
              <w:ind w:right="485" w:firstLine="5"/>
              <w:rPr>
                <w:sz w:val="22"/>
                <w:szCs w:val="22"/>
              </w:rPr>
            </w:pPr>
            <w:r w:rsidRPr="00FE0CB8">
              <w:rPr>
                <w:spacing w:val="-2"/>
                <w:sz w:val="22"/>
                <w:szCs w:val="22"/>
              </w:rPr>
              <w:t xml:space="preserve">Teisės akto projekte nustatytas </w:t>
            </w:r>
            <w:r w:rsidRPr="00FE0CB8">
              <w:rPr>
                <w:spacing w:val="-1"/>
                <w:sz w:val="22"/>
                <w:szCs w:val="22"/>
              </w:rPr>
              <w:t xml:space="preserve">baigtinis sprendimo priėmimo </w:t>
            </w:r>
            <w:r w:rsidRPr="00FE0CB8">
              <w:rPr>
                <w:sz w:val="22"/>
                <w:szCs w:val="22"/>
              </w:rPr>
              <w:t>kriterijų (atvejų) sąrašas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rPr>
                <w:sz w:val="18"/>
                <w:szCs w:val="18"/>
              </w:rPr>
            </w:pPr>
            <w:r>
              <w:rPr>
                <w:sz w:val="18"/>
                <w:szCs w:val="18"/>
              </w:rPr>
              <w:t>Nustatytas baigtinis sprendimo priėmimo kriterijų sąrašas: Aprašo 9 punkte nustatyta kaip atrenkamos programos (kartu su nuoroda į Metodikos atitinkamus punktus).</w:t>
            </w:r>
            <w:r w:rsidRPr="00FD320C">
              <w:rPr>
                <w:sz w:val="18"/>
                <w:szCs w:val="18"/>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2B63D8">
        <w:trPr>
          <w:cantSplit/>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73"/>
            </w:pPr>
            <w:r w:rsidRPr="00502BBA">
              <w:rPr>
                <w:sz w:val="22"/>
                <w:szCs w:val="22"/>
              </w:rPr>
              <w:t>6.</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rPr>
                <w:sz w:val="18"/>
                <w:szCs w:val="18"/>
              </w:rPr>
            </w:pPr>
            <w:r w:rsidRPr="00FD320C">
              <w:rPr>
                <w:sz w:val="18"/>
                <w:szCs w:val="18"/>
              </w:rPr>
              <w:t>Priimant sprendimus išimčių taikymas nenumatytas,</w:t>
            </w:r>
            <w:r>
              <w:rPr>
                <w:sz w:val="18"/>
                <w:szCs w:val="18"/>
              </w:rPr>
              <w:t xml:space="preserve"> todėl laikytina, kad</w:t>
            </w:r>
            <w:r w:rsidRPr="00FD320C">
              <w:rPr>
                <w:sz w:val="18"/>
                <w:szCs w:val="18"/>
              </w:rPr>
              <w:t xml:space="preserve"> teisės akto projekte išimčių taikymas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2B63D8">
        <w:trPr>
          <w:cantSplit/>
          <w:trHeight w:hRule="exact" w:val="10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73"/>
            </w:pPr>
            <w:r w:rsidRPr="00502BBA">
              <w:rPr>
                <w:sz w:val="22"/>
                <w:szCs w:val="22"/>
              </w:rPr>
              <w:t>7.</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rPr>
                <w:sz w:val="18"/>
                <w:szCs w:val="18"/>
              </w:rPr>
            </w:pPr>
            <w:r>
              <w:rPr>
                <w:sz w:val="18"/>
                <w:szCs w:val="18"/>
              </w:rPr>
              <w:t xml:space="preserve">Taip. Aprašo 16 p. nurodyta, kad sprendimą priima Savivaldybės administracijos direktorius, atsižvelgdamas į komisijos siūlymą, Aprašo 17 p. ir 18 p. numatytas viešinimas.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2B63D8">
        <w:trPr>
          <w:cantSplit/>
          <w:trHeight w:hRule="exact" w:val="10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78"/>
            </w:pPr>
            <w:r w:rsidRPr="00502BBA">
              <w:rPr>
                <w:sz w:val="22"/>
                <w:szCs w:val="22"/>
              </w:rPr>
              <w:t>8.</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913" w:type="dxa"/>
            <w:tcBorders>
              <w:top w:val="single" w:sz="6" w:space="0" w:color="auto"/>
              <w:left w:val="single" w:sz="6" w:space="0" w:color="auto"/>
              <w:bottom w:val="single" w:sz="6" w:space="0" w:color="auto"/>
              <w:right w:val="single" w:sz="6" w:space="0" w:color="auto"/>
            </w:tcBorders>
            <w:shd w:val="clear" w:color="auto" w:fill="FFFFFF"/>
          </w:tcPr>
          <w:p w:rsidR="00FE0CB8" w:rsidRPr="00FD320C" w:rsidRDefault="00FE0CB8" w:rsidP="00776CC8">
            <w:pPr>
              <w:shd w:val="clear" w:color="auto" w:fill="FFFFFF"/>
              <w:rPr>
                <w:sz w:val="18"/>
                <w:szCs w:val="18"/>
              </w:rPr>
            </w:pPr>
            <w:r w:rsidRPr="00FD320C">
              <w:rPr>
                <w:sz w:val="18"/>
                <w:szCs w:val="18"/>
              </w:rPr>
              <w:t>Netaikoma</w:t>
            </w:r>
            <w:r>
              <w:rPr>
                <w:sz w:val="18"/>
                <w:szCs w:val="18"/>
              </w:rPr>
              <w:t>, šiuo atveju klausimas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FE0CB8" w:rsidRDefault="00FE0CB8" w:rsidP="00FE0CB8">
      <w:pPr>
        <w:sectPr w:rsidR="00FE0CB8" w:rsidSect="00BF54FA">
          <w:pgSz w:w="16834" w:h="11909" w:orient="landscape"/>
          <w:pgMar w:top="284" w:right="1107" w:bottom="142" w:left="1107" w:header="567" w:footer="567" w:gutter="0"/>
          <w:cols w:space="60"/>
          <w:noEndnote/>
        </w:sectPr>
      </w:pPr>
    </w:p>
    <w:p w:rsidR="00FE0CB8" w:rsidRDefault="00FE0CB8" w:rsidP="00FE0CB8">
      <w:pPr>
        <w:spacing w:after="586" w:line="1" w:lineRule="exact"/>
        <w:rPr>
          <w:sz w:val="2"/>
          <w:szCs w:val="2"/>
        </w:rPr>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922"/>
      </w:tblGrid>
      <w:tr w:rsidR="00FE0CB8" w:rsidRPr="00502BBA" w:rsidTr="002B63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91"/>
            </w:pPr>
            <w:r w:rsidRPr="00502BBA">
              <w:rPr>
                <w:sz w:val="22"/>
                <w:szCs w:val="22"/>
              </w:rPr>
              <w:t>Eil.</w:t>
            </w:r>
          </w:p>
          <w:p w:rsidR="00FE0CB8" w:rsidRPr="00502BBA" w:rsidRDefault="00FE0CB8" w:rsidP="00776CC8">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FE0CB8" w:rsidRPr="00502BBA" w:rsidRDefault="00FE0CB8" w:rsidP="00776CC8">
            <w:pPr>
              <w:shd w:val="clear" w:color="auto" w:fill="FFFFFF"/>
              <w:spacing w:line="250" w:lineRule="exact"/>
              <w:jc w:val="center"/>
            </w:pPr>
            <w:r w:rsidRPr="00502BBA">
              <w:rPr>
                <w:sz w:val="22"/>
                <w:szCs w:val="22"/>
              </w:rPr>
              <w:t>teis</w:t>
            </w:r>
            <w:r>
              <w:rPr>
                <w:sz w:val="22"/>
                <w:szCs w:val="22"/>
              </w:rPr>
              <w:t>ės akto projekto ar kitų teisės aktų</w:t>
            </w:r>
          </w:p>
          <w:p w:rsidR="00FE0CB8" w:rsidRPr="00502BBA" w:rsidRDefault="00FE0CB8" w:rsidP="00776CC8">
            <w:pPr>
              <w:shd w:val="clear" w:color="auto" w:fill="FFFFFF"/>
              <w:spacing w:line="250" w:lineRule="exact"/>
              <w:jc w:val="center"/>
            </w:pPr>
            <w:r w:rsidRPr="00502BBA">
              <w:rPr>
                <w:sz w:val="22"/>
                <w:szCs w:val="22"/>
              </w:rPr>
              <w:t>nuostatos, pagrind</w:t>
            </w:r>
            <w:r>
              <w:rPr>
                <w:sz w:val="22"/>
                <w:szCs w:val="22"/>
              </w:rPr>
              <w:t>žiančios teigiamą</w:t>
            </w:r>
          </w:p>
          <w:p w:rsidR="00FE0CB8" w:rsidRPr="00502BBA" w:rsidRDefault="00FE0CB8" w:rsidP="00776CC8">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FE0CB8" w:rsidRPr="00502BBA" w:rsidRDefault="00FE0CB8" w:rsidP="00776CC8">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FE0CB8" w:rsidRPr="00502BBA" w:rsidRDefault="00FE0CB8" w:rsidP="00776CC8">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FE0CB8" w:rsidRPr="00502BBA" w:rsidRDefault="00FE0CB8" w:rsidP="00776CC8">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FE0CB8" w:rsidRPr="00502BBA" w:rsidRDefault="00FE0CB8" w:rsidP="00776CC8">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FE0CB8" w:rsidRPr="00502BBA" w:rsidRDefault="00FE0CB8" w:rsidP="00776CC8">
            <w:pPr>
              <w:shd w:val="clear" w:color="auto" w:fill="FFFFFF"/>
              <w:spacing w:line="250" w:lineRule="exact"/>
              <w:jc w:val="center"/>
            </w:pPr>
            <w:r w:rsidRPr="00502BBA">
              <w:rPr>
                <w:sz w:val="22"/>
                <w:szCs w:val="22"/>
              </w:rPr>
              <w:t>akto projekto tiesioginio reng</w:t>
            </w:r>
            <w:r>
              <w:rPr>
                <w:sz w:val="22"/>
                <w:szCs w:val="22"/>
              </w:rPr>
              <w:t>ėjo</w:t>
            </w:r>
          </w:p>
          <w:p w:rsidR="00FE0CB8" w:rsidRPr="00502BBA" w:rsidRDefault="00FE0CB8" w:rsidP="00776CC8">
            <w:pPr>
              <w:shd w:val="clear" w:color="auto" w:fill="FFFFFF"/>
              <w:spacing w:line="250" w:lineRule="exact"/>
              <w:jc w:val="center"/>
            </w:pPr>
            <w:r w:rsidRPr="00502BBA">
              <w:rPr>
                <w:sz w:val="22"/>
                <w:szCs w:val="22"/>
              </w:rPr>
              <w:t>argumentai, kod</w:t>
            </w:r>
            <w:r>
              <w:rPr>
                <w:sz w:val="22"/>
                <w:szCs w:val="22"/>
              </w:rPr>
              <w:t>ėl neatsižvelgta į</w:t>
            </w:r>
          </w:p>
          <w:p w:rsidR="00FE0CB8" w:rsidRPr="00502BBA" w:rsidRDefault="00FE0CB8" w:rsidP="00776CC8">
            <w:pPr>
              <w:shd w:val="clear" w:color="auto" w:fill="FFFFFF"/>
              <w:spacing w:line="250" w:lineRule="exact"/>
              <w:jc w:val="center"/>
            </w:pPr>
            <w:r w:rsidRPr="00502BBA">
              <w:rPr>
                <w:sz w:val="22"/>
                <w:szCs w:val="22"/>
              </w:rPr>
              <w:t>pastab</w:t>
            </w:r>
            <w:r>
              <w:rPr>
                <w:sz w:val="22"/>
                <w:szCs w:val="22"/>
              </w:rPr>
              <w:t>ą</w:t>
            </w:r>
          </w:p>
        </w:tc>
        <w:tc>
          <w:tcPr>
            <w:tcW w:w="292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FE0CB8" w:rsidRPr="00502BBA" w:rsidRDefault="00FE0CB8" w:rsidP="00776CC8">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FE0CB8" w:rsidRPr="00502BBA" w:rsidTr="002B63D8">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FE0CB8" w:rsidRPr="00502BBA" w:rsidRDefault="00FE0CB8" w:rsidP="00776CC8">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FE0CB8" w:rsidRPr="00502BBA" w:rsidRDefault="00FE0CB8" w:rsidP="00776CC8">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FE0CB8" w:rsidRPr="00502BBA" w:rsidRDefault="00FE0CB8" w:rsidP="00776CC8">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FE0CB8" w:rsidRPr="00502BBA" w:rsidRDefault="00FE0CB8" w:rsidP="00776CC8">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FE0CB8" w:rsidRPr="00502BBA" w:rsidRDefault="00FE0CB8" w:rsidP="00776CC8">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FE0CB8" w:rsidRPr="00502BBA" w:rsidRDefault="00FE0CB8" w:rsidP="00776CC8">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t xml:space="preserve">Galutinį sprendimą priima Savivaldybės administracijos direktorius (Aprašo 16 punktas). Savivaldybės administracijos direktorius įsakymu sudaroma komisija (Aprašo 13 p.), tačiau ši komisija nepriima galutinio sprendimo.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92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2B63D8">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2B63D8" w:rsidP="00776CC8">
            <w:pPr>
              <w:shd w:val="clear" w:color="auto" w:fill="FFFFFF"/>
            </w:pPr>
            <w:r>
              <w:t>Taip:</w:t>
            </w:r>
            <w:r w:rsidR="00FE0CB8">
              <w:t xml:space="preserve"> Aprašo 9-18 punktai, 20-26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92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FE0CB8" w:rsidRDefault="00FE0CB8" w:rsidP="00FE0CB8">
      <w:pPr>
        <w:sectPr w:rsidR="00FE0CB8">
          <w:pgSz w:w="16834" w:h="11909" w:orient="landscape"/>
          <w:pgMar w:top="1339" w:right="1107" w:bottom="360" w:left="1107" w:header="567" w:footer="567" w:gutter="0"/>
          <w:cols w:space="60"/>
          <w:noEndnote/>
        </w:sectPr>
      </w:pPr>
    </w:p>
    <w:p w:rsidR="00FE0CB8" w:rsidRDefault="00FE0CB8" w:rsidP="00FE0CB8">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26"/>
        <w:gridCol w:w="2762"/>
      </w:tblGrid>
      <w:tr w:rsidR="00FE0CB8" w:rsidRPr="00502BBA" w:rsidTr="00776CC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91"/>
            </w:pPr>
            <w:r w:rsidRPr="00502BBA">
              <w:rPr>
                <w:sz w:val="22"/>
                <w:szCs w:val="22"/>
              </w:rPr>
              <w:t>Eil.</w:t>
            </w:r>
          </w:p>
          <w:p w:rsidR="00FE0CB8" w:rsidRPr="00502BBA" w:rsidRDefault="00FE0CB8" w:rsidP="00776CC8">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FE0CB8" w:rsidRPr="00502BBA" w:rsidRDefault="00FE0CB8" w:rsidP="00776CC8">
            <w:pPr>
              <w:shd w:val="clear" w:color="auto" w:fill="FFFFFF"/>
              <w:spacing w:line="250" w:lineRule="exact"/>
              <w:jc w:val="center"/>
            </w:pPr>
            <w:r w:rsidRPr="00502BBA">
              <w:rPr>
                <w:sz w:val="22"/>
                <w:szCs w:val="22"/>
              </w:rPr>
              <w:t>teis</w:t>
            </w:r>
            <w:r>
              <w:rPr>
                <w:sz w:val="22"/>
                <w:szCs w:val="22"/>
              </w:rPr>
              <w:t>ės akto projekto ar kitų teisės aktų</w:t>
            </w:r>
          </w:p>
          <w:p w:rsidR="00FE0CB8" w:rsidRPr="00502BBA" w:rsidRDefault="00FE0CB8" w:rsidP="00776CC8">
            <w:pPr>
              <w:shd w:val="clear" w:color="auto" w:fill="FFFFFF"/>
              <w:spacing w:line="250" w:lineRule="exact"/>
              <w:jc w:val="center"/>
            </w:pPr>
            <w:r w:rsidRPr="00502BBA">
              <w:rPr>
                <w:sz w:val="22"/>
                <w:szCs w:val="22"/>
              </w:rPr>
              <w:t>nuostatos, pagrind</w:t>
            </w:r>
            <w:r>
              <w:rPr>
                <w:sz w:val="22"/>
                <w:szCs w:val="22"/>
              </w:rPr>
              <w:t>žiančios teigiamą</w:t>
            </w:r>
          </w:p>
          <w:p w:rsidR="00FE0CB8" w:rsidRPr="00502BBA" w:rsidRDefault="00FE0CB8" w:rsidP="00776CC8">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FE0CB8" w:rsidRPr="00502BBA" w:rsidRDefault="00FE0CB8" w:rsidP="00776CC8">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FE0CB8" w:rsidRPr="00502BBA" w:rsidRDefault="00FE0CB8" w:rsidP="00776CC8">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FE0CB8" w:rsidRPr="00502BBA" w:rsidRDefault="00FE0CB8" w:rsidP="00776CC8">
            <w:pPr>
              <w:shd w:val="clear" w:color="auto" w:fill="FFFFFF"/>
              <w:spacing w:line="250" w:lineRule="exact"/>
              <w:jc w:val="center"/>
            </w:pPr>
            <w:r w:rsidRPr="00502BBA">
              <w:rPr>
                <w:sz w:val="22"/>
                <w:szCs w:val="22"/>
              </w:rPr>
              <w:t>korupcijos rizikos ma</w:t>
            </w:r>
            <w:r>
              <w:rPr>
                <w:sz w:val="22"/>
                <w:szCs w:val="22"/>
              </w:rPr>
              <w:t>žinimo)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FE0CB8" w:rsidRPr="00502BBA" w:rsidRDefault="00FE0CB8" w:rsidP="00776CC8">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FE0CB8" w:rsidRPr="00502BBA" w:rsidRDefault="00FE0CB8" w:rsidP="00776CC8">
            <w:pPr>
              <w:shd w:val="clear" w:color="auto" w:fill="FFFFFF"/>
              <w:spacing w:line="250" w:lineRule="exact"/>
              <w:jc w:val="center"/>
            </w:pPr>
            <w:r w:rsidRPr="00502BBA">
              <w:rPr>
                <w:sz w:val="22"/>
                <w:szCs w:val="22"/>
              </w:rPr>
              <w:t>akto projekto tiesioginio reng</w:t>
            </w:r>
            <w:r>
              <w:rPr>
                <w:sz w:val="22"/>
                <w:szCs w:val="22"/>
              </w:rPr>
              <w:t>ėjo</w:t>
            </w:r>
          </w:p>
          <w:p w:rsidR="00FE0CB8" w:rsidRPr="00502BBA" w:rsidRDefault="00FE0CB8" w:rsidP="00776CC8">
            <w:pPr>
              <w:shd w:val="clear" w:color="auto" w:fill="FFFFFF"/>
              <w:spacing w:line="250" w:lineRule="exact"/>
              <w:jc w:val="center"/>
            </w:pPr>
            <w:r w:rsidRPr="00502BBA">
              <w:rPr>
                <w:sz w:val="22"/>
                <w:szCs w:val="22"/>
              </w:rPr>
              <w:t>argumentai, kod</w:t>
            </w:r>
            <w:r>
              <w:rPr>
                <w:sz w:val="22"/>
                <w:szCs w:val="22"/>
              </w:rPr>
              <w:t>ėl neatsižvelgta į</w:t>
            </w:r>
          </w:p>
          <w:p w:rsidR="00FE0CB8" w:rsidRPr="00502BBA" w:rsidRDefault="00FE0CB8" w:rsidP="00776CC8">
            <w:pPr>
              <w:shd w:val="clear" w:color="auto" w:fill="FFFFFF"/>
              <w:spacing w:line="250" w:lineRule="exact"/>
              <w:jc w:val="center"/>
            </w:pPr>
            <w:r w:rsidRPr="00502BBA">
              <w:rPr>
                <w:sz w:val="22"/>
                <w:szCs w:val="22"/>
              </w:rPr>
              <w:t>pastab</w:t>
            </w:r>
            <w:r>
              <w:rPr>
                <w:sz w:val="22"/>
                <w:szCs w:val="22"/>
              </w:rPr>
              <w:t>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FE0CB8" w:rsidRPr="00502BBA" w:rsidRDefault="00FE0CB8" w:rsidP="00776CC8">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FE0CB8" w:rsidRPr="00502BBA" w:rsidTr="00776CC8">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t>Nenustatyta, todėl laikytina, kad administracinė procedūra taikoma be išlygų.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776CC8">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240" w:firstLine="10"/>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t>Sprendimo priėmimo konkretūs terminai nenustatyti, tačiau nustatyta, kad Komisija išnagrinėja programas ir teikia siūlymą Savivaldybės administracijos direktoriui per 15 darbo dienų pasibaigus programos teikimo terminui.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4"/>
                <w:szCs w:val="24"/>
              </w:rPr>
              <w:t xml:space="preserve"> </w:t>
            </w:r>
            <w:r>
              <w:rPr>
                <w:sz w:val="24"/>
                <w:szCs w:val="24"/>
              </w:rPr>
              <w:t xml:space="preserve"> </w:t>
            </w:r>
            <w:r w:rsidRPr="00502BBA">
              <w:rPr>
                <w:sz w:val="22"/>
                <w:szCs w:val="22"/>
              </w:rPr>
              <w:t xml:space="preserve">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776CC8">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115" w:firstLine="5"/>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t>Netaikoma – Apraše nėra numatyta sustabdyti ar pratęsti terminus, šiuo atveju terminų sustabdymo ir pratęsimo klausimas neaktualus.</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776CC8">
        <w:trPr>
          <w:trHeight w:hRule="exact" w:val="11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638" w:firstLine="5"/>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2B63D8">
            <w:pPr>
              <w:shd w:val="clear" w:color="auto" w:fill="FFFFFF"/>
            </w:pPr>
            <w:r>
              <w:t>Taip, Aprašo 17, 18 p.</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776CC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154" w:firstLine="5"/>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EB2B0B" w:rsidRDefault="00FE0CB8" w:rsidP="00776CC8">
            <w:pPr>
              <w:shd w:val="clear" w:color="auto" w:fill="FFFFFF"/>
            </w:pPr>
            <w:r>
              <w:t>29 p. nustatyta, kas atlieka programų įgyvendinimo finansinę priežiūrą ir kontrolę, o  kontrolės procedūrą ir kriterijus nėra tikslinga nustatyti šiame teisės akte, nes tai nustato kiti teisės aktai, reglamentuojantys Centralizuoto vidaus audito skyriaus veiklą.</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2"/>
                <w:szCs w:val="22"/>
              </w:rPr>
              <w:t>X</w:t>
            </w:r>
            <w:r w:rsidRPr="00502BBA">
              <w:rPr>
                <w:sz w:val="24"/>
                <w:szCs w:val="24"/>
              </w:rPr>
              <w:t xml:space="preserve"> </w:t>
            </w:r>
            <w:r>
              <w:rPr>
                <w:sz w:val="24"/>
                <w:szCs w:val="24"/>
              </w:rPr>
              <w:t xml:space="preserve"> </w:t>
            </w:r>
            <w:r w:rsidRPr="00502BBA">
              <w:rPr>
                <w:sz w:val="22"/>
                <w:szCs w:val="22"/>
              </w:rPr>
              <w:t xml:space="preserve">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netenkina</w:t>
            </w:r>
          </w:p>
        </w:tc>
      </w:tr>
      <w:tr w:rsidR="00FE0CB8" w:rsidRPr="00502BBA" w:rsidTr="00776CC8">
        <w:trPr>
          <w:trHeight w:hRule="exact" w:val="10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t>Skaidrumo ir objektyvumo užtikrinimo priemonių nenumatyta, tačiau laikytina, kad šios priemonės nustatytos kontrolę atliekančio subjekto veiklą reglamentuojančiuose teisės aktuose.</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2"/>
                <w:szCs w:val="22"/>
              </w:rPr>
              <w:t>X</w:t>
            </w:r>
            <w:r w:rsidRPr="00502BBA">
              <w:rPr>
                <w:sz w:val="24"/>
                <w:szCs w:val="24"/>
              </w:rPr>
              <w:t xml:space="preserve"> </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netenkina</w:t>
            </w:r>
          </w:p>
        </w:tc>
      </w:tr>
    </w:tbl>
    <w:p w:rsidR="00FE0CB8" w:rsidRDefault="00FE0CB8" w:rsidP="00FE0CB8">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FE0CB8" w:rsidRDefault="00FE0CB8" w:rsidP="00FE0CB8">
      <w:pPr>
        <w:shd w:val="clear" w:color="auto" w:fill="FFFFFF"/>
        <w:spacing w:before="715" w:line="230" w:lineRule="exact"/>
        <w:ind w:left="5"/>
        <w:sectPr w:rsidR="00FE0CB8" w:rsidSect="0082524B">
          <w:pgSz w:w="16834" w:h="11909" w:orient="landscape"/>
          <w:pgMar w:top="857" w:right="1107" w:bottom="142" w:left="1107" w:header="567" w:footer="567" w:gutter="0"/>
          <w:cols w:space="60"/>
          <w:noEndnote/>
        </w:sectPr>
      </w:pPr>
    </w:p>
    <w:p w:rsidR="00FE0CB8" w:rsidRDefault="00FE0CB8" w:rsidP="00FE0CB8">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81"/>
        <w:gridCol w:w="2707"/>
      </w:tblGrid>
      <w:tr w:rsidR="00FE0CB8" w:rsidRPr="00502BBA" w:rsidTr="002B63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91"/>
            </w:pPr>
            <w:r w:rsidRPr="00502BBA">
              <w:rPr>
                <w:sz w:val="22"/>
                <w:szCs w:val="22"/>
              </w:rPr>
              <w:t>Eil.</w:t>
            </w:r>
          </w:p>
          <w:p w:rsidR="00FE0CB8" w:rsidRPr="00502BBA" w:rsidRDefault="00FE0CB8" w:rsidP="00776CC8">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FE0CB8" w:rsidRPr="00502BBA" w:rsidRDefault="00FE0CB8" w:rsidP="00776CC8">
            <w:pPr>
              <w:shd w:val="clear" w:color="auto" w:fill="FFFFFF"/>
              <w:spacing w:line="250" w:lineRule="exact"/>
              <w:jc w:val="center"/>
            </w:pPr>
            <w:r w:rsidRPr="00502BBA">
              <w:rPr>
                <w:sz w:val="22"/>
                <w:szCs w:val="22"/>
              </w:rPr>
              <w:t>teis</w:t>
            </w:r>
            <w:r>
              <w:rPr>
                <w:sz w:val="22"/>
                <w:szCs w:val="22"/>
              </w:rPr>
              <w:t>ės akto projekto ar kitų teisės aktų</w:t>
            </w:r>
          </w:p>
          <w:p w:rsidR="00FE0CB8" w:rsidRPr="00502BBA" w:rsidRDefault="00FE0CB8" w:rsidP="00776CC8">
            <w:pPr>
              <w:shd w:val="clear" w:color="auto" w:fill="FFFFFF"/>
              <w:spacing w:line="250" w:lineRule="exact"/>
              <w:jc w:val="center"/>
            </w:pPr>
            <w:r w:rsidRPr="00502BBA">
              <w:rPr>
                <w:sz w:val="22"/>
                <w:szCs w:val="22"/>
              </w:rPr>
              <w:t>nuostatos, pagrind</w:t>
            </w:r>
            <w:r>
              <w:rPr>
                <w:sz w:val="22"/>
                <w:szCs w:val="22"/>
              </w:rPr>
              <w:t>žiančios teigiamą</w:t>
            </w:r>
          </w:p>
          <w:p w:rsidR="00FE0CB8" w:rsidRPr="00502BBA" w:rsidRDefault="00FE0CB8" w:rsidP="00776CC8">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FE0CB8" w:rsidRPr="00502BBA" w:rsidRDefault="00FE0CB8" w:rsidP="00776CC8">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FE0CB8" w:rsidRPr="00502BBA" w:rsidRDefault="00FE0CB8" w:rsidP="00776CC8">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FE0CB8" w:rsidRPr="00502BBA" w:rsidRDefault="00FE0CB8" w:rsidP="00776CC8">
            <w:pPr>
              <w:shd w:val="clear" w:color="auto" w:fill="FFFFFF"/>
              <w:spacing w:line="250" w:lineRule="exact"/>
              <w:jc w:val="center"/>
            </w:pPr>
            <w:r w:rsidRPr="00502BBA">
              <w:rPr>
                <w:sz w:val="22"/>
                <w:szCs w:val="22"/>
              </w:rPr>
              <w:t>korupcijos rizikos ma</w:t>
            </w:r>
            <w:r>
              <w:rPr>
                <w:sz w:val="22"/>
                <w:szCs w:val="22"/>
              </w:rPr>
              <w:t>žinimo)</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FE0CB8" w:rsidRPr="00502BBA" w:rsidRDefault="00FE0CB8" w:rsidP="00776CC8">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FE0CB8" w:rsidRPr="00502BBA" w:rsidRDefault="00FE0CB8" w:rsidP="00776CC8">
            <w:pPr>
              <w:shd w:val="clear" w:color="auto" w:fill="FFFFFF"/>
              <w:spacing w:line="250" w:lineRule="exact"/>
              <w:jc w:val="center"/>
            </w:pPr>
            <w:r w:rsidRPr="00502BBA">
              <w:rPr>
                <w:sz w:val="22"/>
                <w:szCs w:val="22"/>
              </w:rPr>
              <w:t>akto projekto tiesioginio reng</w:t>
            </w:r>
            <w:r>
              <w:rPr>
                <w:sz w:val="22"/>
                <w:szCs w:val="22"/>
              </w:rPr>
              <w:t>ėjo</w:t>
            </w:r>
          </w:p>
          <w:p w:rsidR="00FE0CB8" w:rsidRPr="00502BBA" w:rsidRDefault="00FE0CB8" w:rsidP="00776CC8">
            <w:pPr>
              <w:shd w:val="clear" w:color="auto" w:fill="FFFFFF"/>
              <w:spacing w:line="250" w:lineRule="exact"/>
              <w:jc w:val="center"/>
            </w:pPr>
            <w:r w:rsidRPr="00502BBA">
              <w:rPr>
                <w:sz w:val="22"/>
                <w:szCs w:val="22"/>
              </w:rPr>
              <w:t>argumentai, kod</w:t>
            </w:r>
            <w:r>
              <w:rPr>
                <w:sz w:val="22"/>
                <w:szCs w:val="22"/>
              </w:rPr>
              <w:t>ėl neatsižvelgta į</w:t>
            </w:r>
          </w:p>
          <w:p w:rsidR="00FE0CB8" w:rsidRPr="00502BBA" w:rsidRDefault="00FE0CB8" w:rsidP="00776CC8">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FE0CB8" w:rsidRPr="00502BBA" w:rsidRDefault="00FE0CB8" w:rsidP="00776CC8">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FE0CB8" w:rsidRPr="00502BBA" w:rsidTr="002B63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t>Taip. Aprašo 25 p. nustatytos sankcijos programos vykdytojui už nustatytus pažeidimus</w:t>
            </w:r>
            <w:r w:rsidR="002B63D8">
              <w:t xml:space="preserve"> (pagal Metodikos 24 p.).</w:t>
            </w:r>
            <w:r>
              <w: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2B63D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t>Taip. Aprašo 25 p. (atitinka Metodikos 24 punktą).</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FE0CB8" w:rsidRPr="00502BBA" w:rsidTr="002B63D8">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rsidRPr="00502BBA">
              <w:rPr>
                <w:sz w:val="22"/>
                <w:szCs w:val="22"/>
              </w:rPr>
              <w:t>Kiti svarb</w:t>
            </w:r>
            <w:r>
              <w:rPr>
                <w:sz w:val="22"/>
                <w:szCs w:val="22"/>
              </w:rPr>
              <w:t>ūs kriterijai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r>
              <w:t>Nėra</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FE0CB8" w:rsidRPr="00502BBA" w:rsidRDefault="00FE0CB8" w:rsidP="00776CC8">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FE0CB8" w:rsidRPr="00502BBA" w:rsidRDefault="00FE0CB8" w:rsidP="00776CC8">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FE0CB8" w:rsidRDefault="00FE0CB8" w:rsidP="00FE0CB8">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FE0CB8" w:rsidRDefault="00FE0CB8" w:rsidP="00FE0CB8">
      <w:pPr>
        <w:shd w:val="clear" w:color="auto" w:fill="FFFFFF"/>
        <w:tabs>
          <w:tab w:val="left" w:pos="2462"/>
          <w:tab w:val="left" w:leader="underscore" w:pos="7238"/>
          <w:tab w:val="left" w:pos="9667"/>
          <w:tab w:val="left" w:leader="underscore" w:pos="14496"/>
        </w:tabs>
        <w:spacing w:line="259" w:lineRule="exact"/>
        <w:ind w:left="110"/>
      </w:pPr>
      <w:r>
        <w:rPr>
          <w:spacing w:val="-2"/>
          <w:sz w:val="22"/>
          <w:szCs w:val="22"/>
        </w:rPr>
        <w:t>tiesioginis rengėjas:</w:t>
      </w:r>
      <w:r>
        <w:rPr>
          <w:rFonts w:ascii="Arial" w:cs="Arial"/>
          <w:sz w:val="22"/>
          <w:szCs w:val="22"/>
        </w:rPr>
        <w:tab/>
      </w:r>
      <w:r>
        <w:rPr>
          <w:sz w:val="22"/>
          <w:szCs w:val="22"/>
        </w:rPr>
        <w:t xml:space="preserve">vyr. specialistė                      </w:t>
      </w:r>
      <w:proofErr w:type="spellStart"/>
      <w:r>
        <w:rPr>
          <w:sz w:val="22"/>
          <w:szCs w:val="22"/>
        </w:rPr>
        <w:t>Skaidrutė</w:t>
      </w:r>
      <w:proofErr w:type="spellEnd"/>
      <w:r>
        <w:rPr>
          <w:sz w:val="22"/>
          <w:szCs w:val="22"/>
        </w:rPr>
        <w:t xml:space="preserve"> </w:t>
      </w:r>
      <w:proofErr w:type="spellStart"/>
      <w:r>
        <w:rPr>
          <w:sz w:val="22"/>
          <w:szCs w:val="22"/>
        </w:rPr>
        <w:t>Kriukienė</w:t>
      </w:r>
      <w:proofErr w:type="spellEnd"/>
      <w:r>
        <w:rPr>
          <w:sz w:val="22"/>
          <w:szCs w:val="22"/>
        </w:rPr>
        <w:t xml:space="preserve">         </w:t>
      </w:r>
      <w:r w:rsidR="00223CA4">
        <w:rPr>
          <w:sz w:val="22"/>
          <w:szCs w:val="22"/>
        </w:rPr>
        <w:t xml:space="preserve"> </w:t>
      </w:r>
      <w:r>
        <w:rPr>
          <w:sz w:val="22"/>
          <w:szCs w:val="22"/>
        </w:rPr>
        <w:t xml:space="preserve"> </w:t>
      </w:r>
      <w:r>
        <w:rPr>
          <w:spacing w:val="-2"/>
          <w:sz w:val="22"/>
          <w:szCs w:val="22"/>
        </w:rPr>
        <w:t>vertintojas:</w:t>
      </w:r>
      <w:r>
        <w:rPr>
          <w:rFonts w:ascii="Arial" w:cs="Arial"/>
          <w:sz w:val="22"/>
          <w:szCs w:val="22"/>
        </w:rPr>
        <w:tab/>
      </w:r>
      <w:r>
        <w:rPr>
          <w:sz w:val="22"/>
          <w:szCs w:val="22"/>
        </w:rPr>
        <w:t xml:space="preserve">vyr. specialistė                            Daiva </w:t>
      </w:r>
      <w:proofErr w:type="spellStart"/>
      <w:r>
        <w:rPr>
          <w:sz w:val="22"/>
          <w:szCs w:val="22"/>
        </w:rPr>
        <w:t>Čiplienė</w:t>
      </w:r>
      <w:proofErr w:type="spellEnd"/>
    </w:p>
    <w:p w:rsidR="00FE0CB8" w:rsidRDefault="00FE0CB8" w:rsidP="00FE0CB8">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sidR="00223CA4">
        <w:rPr>
          <w:rFonts w:ascii="Arial" w:cs="Arial"/>
          <w:sz w:val="22"/>
          <w:szCs w:val="22"/>
        </w:rPr>
        <w:t xml:space="preserve">                           </w:t>
      </w:r>
      <w:r>
        <w:rPr>
          <w:spacing w:val="-2"/>
          <w:sz w:val="22"/>
          <w:szCs w:val="22"/>
        </w:rPr>
        <w:t>(vardas ir pavardė)</w:t>
      </w:r>
    </w:p>
    <w:p w:rsidR="00FE0CB8" w:rsidRDefault="00FE0CB8" w:rsidP="00FE0CB8">
      <w:pPr>
        <w:shd w:val="clear" w:color="auto" w:fill="FFFFFF"/>
        <w:tabs>
          <w:tab w:val="left" w:pos="5467"/>
          <w:tab w:val="left" w:pos="9845"/>
          <w:tab w:val="left" w:pos="13555"/>
        </w:tabs>
        <w:spacing w:before="259"/>
        <w:ind w:left="2582"/>
      </w:pPr>
      <w:r>
        <w:rPr>
          <w:spacing w:val="-3"/>
          <w:sz w:val="22"/>
          <w:szCs w:val="22"/>
        </w:rPr>
        <w:t>(parašas)</w:t>
      </w:r>
      <w:r>
        <w:rPr>
          <w:rFonts w:ascii="Arial" w:cs="Arial"/>
          <w:sz w:val="22"/>
          <w:szCs w:val="22"/>
        </w:rPr>
        <w:tab/>
      </w:r>
      <w:r>
        <w:rPr>
          <w:spacing w:val="-5"/>
          <w:sz w:val="22"/>
          <w:szCs w:val="22"/>
        </w:rPr>
        <w:t>(data)</w:t>
      </w:r>
      <w:r w:rsidR="00223CA4">
        <w:rPr>
          <w:spacing w:val="-5"/>
          <w:sz w:val="22"/>
          <w:szCs w:val="22"/>
        </w:rPr>
        <w:t xml:space="preserve"> </w:t>
      </w:r>
      <w:r w:rsidR="00223CA4">
        <w:rPr>
          <w:spacing w:val="-5"/>
          <w:sz w:val="22"/>
          <w:szCs w:val="22"/>
        </w:rPr>
        <w:tab/>
      </w:r>
      <w:r>
        <w:rPr>
          <w:spacing w:val="-3"/>
          <w:sz w:val="22"/>
          <w:szCs w:val="22"/>
        </w:rPr>
        <w:t>(parašas)</w:t>
      </w:r>
      <w:r w:rsidR="00223CA4">
        <w:rPr>
          <w:rFonts w:ascii="Arial" w:cs="Arial"/>
          <w:sz w:val="22"/>
          <w:szCs w:val="22"/>
        </w:rPr>
        <w:t xml:space="preserve">                                       </w:t>
      </w:r>
      <w:r>
        <w:rPr>
          <w:spacing w:val="-5"/>
          <w:sz w:val="22"/>
          <w:szCs w:val="22"/>
        </w:rPr>
        <w:t>(data)</w:t>
      </w:r>
    </w:p>
    <w:p w:rsidR="00E41E2B" w:rsidRDefault="00E41E2B"/>
    <w:sectPr w:rsidR="00E41E2B" w:rsidSect="00FE0CB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B8"/>
    <w:rsid w:val="00223CA4"/>
    <w:rsid w:val="002B63D8"/>
    <w:rsid w:val="00E41E2B"/>
    <w:rsid w:val="00FE0C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A1265-117D-4E5C-B920-C54EAD4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CB8"/>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FE0CB8"/>
    <w:pPr>
      <w:widowControl/>
      <w:autoSpaceDE/>
      <w:autoSpaceDN/>
      <w:adjustRightInd/>
      <w:spacing w:before="100" w:beforeAutospacing="1" w:after="100" w:afterAutospacing="1"/>
    </w:pPr>
    <w:rPr>
      <w:sz w:val="24"/>
      <w:szCs w:val="24"/>
    </w:rPr>
  </w:style>
  <w:style w:type="paragraph" w:styleId="Debesliotekstas">
    <w:name w:val="Balloon Text"/>
    <w:basedOn w:val="prastasis"/>
    <w:link w:val="DebesliotekstasDiagrama"/>
    <w:uiPriority w:val="99"/>
    <w:semiHidden/>
    <w:unhideWhenUsed/>
    <w:rsid w:val="00223C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CA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6918</Words>
  <Characters>3944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5</cp:revision>
  <cp:lastPrinted>2016-06-15T10:50:00Z</cp:lastPrinted>
  <dcterms:created xsi:type="dcterms:W3CDTF">2016-06-15T10:45:00Z</dcterms:created>
  <dcterms:modified xsi:type="dcterms:W3CDTF">2016-06-15T11:12:00Z</dcterms:modified>
</cp:coreProperties>
</file>