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3B1FC7" w:rsidRPr="00C50FA1">
        <w:rPr>
          <w:b/>
          <w:lang w:val="lt-LT"/>
        </w:rPr>
        <w:t>6</w:t>
      </w:r>
      <w:r w:rsidRPr="00C50FA1">
        <w:rPr>
          <w:b/>
          <w:lang w:val="lt-LT"/>
        </w:rPr>
        <w:t>–201</w:t>
      </w:r>
      <w:r w:rsidR="003B1FC7" w:rsidRPr="00C50FA1">
        <w:rPr>
          <w:b/>
          <w:lang w:val="lt-LT"/>
        </w:rPr>
        <w:t>8</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w:t>
            </w:r>
            <w:proofErr w:type="gramStart"/>
            <w:r w:rsidRPr="00C50FA1">
              <w:rPr>
                <w:b/>
              </w:rPr>
              <w:t>-</w:t>
            </w:r>
            <w:proofErr w:type="gramEnd"/>
            <w:r w:rsidRPr="00C50FA1">
              <w:rPr>
                <w:b/>
              </w:rPr>
              <w:t>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komunikatus,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proofErr w:type="gramStart"/>
            <w:r w:rsidR="00AF7BE5" w:rsidRPr="00C50FA1">
              <w:rPr>
                <w:lang w:eastAsia="ar-SA"/>
              </w:rPr>
              <w:t>(</w:t>
            </w:r>
            <w:proofErr w:type="gramEnd"/>
            <w:r w:rsidR="00AF7BE5" w:rsidRPr="00C50FA1">
              <w:rPr>
                <w:lang w:eastAsia="ar-SA"/>
              </w:rPr>
              <w:t>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DB3611" w:rsidRPr="00C50FA1">
              <w:rPr>
                <w:lang w:eastAsia="ar-SA"/>
              </w:rPr>
              <w:t>.</w:t>
            </w:r>
            <w:r w:rsidRPr="00C50FA1">
              <w:rPr>
                <w:lang w:eastAsia="ar-SA"/>
              </w:rPr>
              <w:t xml:space="preserve"> </w:t>
            </w:r>
          </w:p>
          <w:p w:rsidR="009A5788" w:rsidRPr="00C50FA1" w:rsidRDefault="009A5788">
            <w:pPr>
              <w:autoSpaceDE w:val="0"/>
              <w:ind w:firstLine="498"/>
              <w:jc w:val="both"/>
              <w:rPr>
                <w:lang w:eastAsia="ar-SA"/>
              </w:rPr>
            </w:pPr>
            <w:r w:rsidRPr="00C50FA1">
              <w:rPr>
                <w:lang w:eastAsia="ar-SA"/>
              </w:rPr>
              <w:t>2007 m. gegužės mėn</w:t>
            </w:r>
            <w:r w:rsidR="008A7EC5" w:rsidRPr="00C50FA1">
              <w:rPr>
                <w:lang w:eastAsia="ar-SA"/>
              </w:rPr>
              <w:t>.</w:t>
            </w:r>
            <w:r w:rsidRPr="00C50FA1">
              <w:rPr>
                <w:lang w:eastAsia="ar-SA"/>
              </w:rPr>
              <w:t xml:space="preserve"> priimtos Lietuvos Respublikos regioninės plėtros įstatymo pataisos</w:t>
            </w:r>
            <w:r w:rsidR="008A7EC5" w:rsidRPr="00C50FA1">
              <w:rPr>
                <w:lang w:eastAsia="ar-SA"/>
              </w:rPr>
              <w:t>,</w:t>
            </w:r>
            <w:r w:rsidR="002158B6" w:rsidRPr="00C50FA1">
              <w:rPr>
                <w:lang w:eastAsia="ar-SA"/>
              </w:rPr>
              <w:t xml:space="preserve"> ir ES struktūrinės paramos 2014–2020</w:t>
            </w:r>
            <w:r w:rsidRPr="00C50FA1">
              <w:rPr>
                <w:lang w:eastAsia="ar-SA"/>
              </w:rPr>
              <w:t xml:space="preserve"> m. panaudojimo laikotarpiu regiono plėtros taryboms (kurias sudaro regiono savivaldybių merai bei deleguoti savivaldybių tarybų nariai) suteikti įgaliojimai</w:t>
            </w:r>
            <w:r w:rsidR="008A7EC5" w:rsidRPr="00C50FA1">
              <w:rPr>
                <w:lang w:eastAsia="ar-SA"/>
              </w:rPr>
              <w:t>,</w:t>
            </w:r>
            <w:r w:rsidRPr="00C50FA1">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plėtros planus) ir teikti išvadas finansavimą skiriančioms institucijoms.</w:t>
            </w: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3B1FC7" w:rsidRPr="00C50FA1">
              <w:rPr>
                <w:b/>
                <w:lang w:eastAsia="ar-SA"/>
              </w:rPr>
              <w:t>6</w:t>
            </w:r>
            <w:r w:rsidR="00C900AE" w:rsidRPr="00C50FA1">
              <w:rPr>
                <w:b/>
                <w:lang w:eastAsia="ar-SA"/>
              </w:rPr>
              <w:t>–201</w:t>
            </w:r>
            <w:r w:rsidR="003B1FC7" w:rsidRPr="00C50FA1">
              <w:rPr>
                <w:b/>
                <w:lang w:eastAsia="ar-SA"/>
              </w:rPr>
              <w:t>8</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3B1FC7" w:rsidRPr="00C50FA1">
                    <w:t>6</w:t>
                  </w:r>
                </w:p>
              </w:tc>
              <w:tc>
                <w:tcPr>
                  <w:tcW w:w="1080" w:type="dxa"/>
                </w:tcPr>
                <w:p w:rsidR="00736F71" w:rsidRPr="00C50FA1" w:rsidRDefault="00F1064F" w:rsidP="00865703">
                  <w:pPr>
                    <w:jc w:val="center"/>
                  </w:pPr>
                  <w:r w:rsidRPr="00C50FA1">
                    <w:t>201</w:t>
                  </w:r>
                  <w:r w:rsidR="003B1FC7" w:rsidRPr="00C50FA1">
                    <w:t>7</w:t>
                  </w:r>
                </w:p>
              </w:tc>
              <w:tc>
                <w:tcPr>
                  <w:tcW w:w="1080" w:type="dxa"/>
                </w:tcPr>
                <w:p w:rsidR="00736F71" w:rsidRPr="00C50FA1" w:rsidRDefault="00F1064F" w:rsidP="00865703">
                  <w:pPr>
                    <w:jc w:val="center"/>
                  </w:pPr>
                  <w:r w:rsidRPr="00C50FA1">
                    <w:t>201</w:t>
                  </w:r>
                  <w:r w:rsidR="003B1FC7" w:rsidRPr="00C50FA1">
                    <w:t>8</w:t>
                  </w:r>
                </w:p>
              </w:tc>
            </w:tr>
            <w:tr w:rsidR="00C50FA1" w:rsidRPr="00C50FA1">
              <w:tc>
                <w:tcPr>
                  <w:tcW w:w="5430" w:type="dxa"/>
                </w:tcPr>
                <w:p w:rsidR="00736F71" w:rsidRPr="00C50FA1" w:rsidRDefault="00736F71" w:rsidP="00865703">
                  <w:pPr>
                    <w:jc w:val="center"/>
                  </w:pPr>
                  <w:r w:rsidRPr="00C50FA1">
                    <w:t>BVP augimas / grandine susietos apimties augimas, proc.</w:t>
                  </w:r>
                </w:p>
              </w:tc>
              <w:tc>
                <w:tcPr>
                  <w:tcW w:w="1080" w:type="dxa"/>
                </w:tcPr>
                <w:p w:rsidR="00736F71" w:rsidRPr="00C50FA1" w:rsidRDefault="00EA7AE4" w:rsidP="00865703">
                  <w:pPr>
                    <w:jc w:val="center"/>
                  </w:pPr>
                  <w:r w:rsidRPr="00C50FA1">
                    <w:t>3,</w:t>
                  </w:r>
                  <w:r w:rsidR="00DB3425" w:rsidRPr="00C50FA1">
                    <w:t>2</w:t>
                  </w:r>
                </w:p>
              </w:tc>
              <w:tc>
                <w:tcPr>
                  <w:tcW w:w="1080" w:type="dxa"/>
                </w:tcPr>
                <w:p w:rsidR="00736F71" w:rsidRPr="00C50FA1" w:rsidRDefault="00EA7AE4" w:rsidP="00865703">
                  <w:pPr>
                    <w:jc w:val="center"/>
                  </w:pPr>
                  <w:r w:rsidRPr="00C50FA1">
                    <w:t>3,</w:t>
                  </w:r>
                  <w:r w:rsidR="00DB3425" w:rsidRPr="00C50FA1">
                    <w:t>5</w:t>
                  </w:r>
                </w:p>
              </w:tc>
              <w:tc>
                <w:tcPr>
                  <w:tcW w:w="1080" w:type="dxa"/>
                </w:tcPr>
                <w:p w:rsidR="00736F71" w:rsidRPr="00C50FA1" w:rsidRDefault="00DB3425" w:rsidP="00865703">
                  <w:pPr>
                    <w:jc w:val="center"/>
                  </w:pPr>
                  <w:r w:rsidRPr="00C50FA1">
                    <w:t>3,9</w:t>
                  </w:r>
                </w:p>
              </w:tc>
            </w:tr>
            <w:tr w:rsidR="00C50FA1" w:rsidRPr="00C50FA1">
              <w:tc>
                <w:tcPr>
                  <w:tcW w:w="5430" w:type="dxa"/>
                </w:tcPr>
                <w:p w:rsidR="00736F71" w:rsidRPr="00C50FA1" w:rsidRDefault="00736F71" w:rsidP="00633078">
                  <w:pPr>
                    <w:jc w:val="center"/>
                  </w:pPr>
                  <w:r w:rsidRPr="00C50FA1">
                    <w:t>Vidutinis metinis nedarbo lygis, proc.</w:t>
                  </w:r>
                  <w:r w:rsidR="00633078" w:rsidRPr="00C50FA1">
                    <w:t>(pagal Gyventojų užimtumo tyrimo metodologiją)</w:t>
                  </w:r>
                </w:p>
              </w:tc>
              <w:tc>
                <w:tcPr>
                  <w:tcW w:w="1080" w:type="dxa"/>
                </w:tcPr>
                <w:p w:rsidR="00736F71" w:rsidRPr="00C50FA1" w:rsidRDefault="00062E83" w:rsidP="00865703">
                  <w:pPr>
                    <w:jc w:val="center"/>
                  </w:pPr>
                  <w:r w:rsidRPr="00C50FA1">
                    <w:t>9,1</w:t>
                  </w:r>
                </w:p>
              </w:tc>
              <w:tc>
                <w:tcPr>
                  <w:tcW w:w="1080" w:type="dxa"/>
                </w:tcPr>
                <w:p w:rsidR="00736F71" w:rsidRPr="00C50FA1" w:rsidRDefault="00062E83" w:rsidP="00865703">
                  <w:pPr>
                    <w:jc w:val="center"/>
                  </w:pPr>
                  <w:r w:rsidRPr="00C50FA1">
                    <w:t>8,1</w:t>
                  </w:r>
                </w:p>
              </w:tc>
              <w:tc>
                <w:tcPr>
                  <w:tcW w:w="1080" w:type="dxa"/>
                </w:tcPr>
                <w:p w:rsidR="00736F71" w:rsidRPr="00C50FA1" w:rsidRDefault="00062E83" w:rsidP="00865703">
                  <w:pPr>
                    <w:jc w:val="center"/>
                  </w:pPr>
                  <w:r w:rsidRPr="00C50FA1">
                    <w:t>7,1</w:t>
                  </w:r>
                </w:p>
              </w:tc>
            </w:tr>
            <w:tr w:rsidR="00C50FA1" w:rsidRPr="00C50FA1">
              <w:tc>
                <w:tcPr>
                  <w:tcW w:w="5430" w:type="dxa"/>
                </w:tcPr>
                <w:p w:rsidR="00736F71" w:rsidRPr="00C50FA1" w:rsidRDefault="00062E83" w:rsidP="0016219B">
                  <w:pPr>
                    <w:jc w:val="center"/>
                  </w:pPr>
                  <w:r w:rsidRPr="00C50FA1">
                    <w:t>Vidutinio mėnesinio</w:t>
                  </w:r>
                  <w:r w:rsidR="00736F71" w:rsidRPr="00C50FA1">
                    <w:t xml:space="preserve"> </w:t>
                  </w:r>
                  <w:proofErr w:type="spellStart"/>
                  <w:r w:rsidR="00736F71" w:rsidRPr="00C50FA1">
                    <w:t>bruto</w:t>
                  </w:r>
                  <w:proofErr w:type="spellEnd"/>
                  <w:r w:rsidRPr="00C50FA1">
                    <w:t xml:space="preserve"> darbo užmokesčio augimas</w:t>
                  </w:r>
                  <w:r w:rsidR="00736F71" w:rsidRPr="00C50FA1">
                    <w:t xml:space="preserve">, </w:t>
                  </w:r>
                  <w:r w:rsidRPr="00C50FA1">
                    <w:t>proc.</w:t>
                  </w:r>
                </w:p>
              </w:tc>
              <w:tc>
                <w:tcPr>
                  <w:tcW w:w="1080" w:type="dxa"/>
                </w:tcPr>
                <w:p w:rsidR="00736F71" w:rsidRPr="00C50FA1" w:rsidRDefault="00062E83" w:rsidP="00865703">
                  <w:pPr>
                    <w:jc w:val="center"/>
                  </w:pPr>
                  <w:r w:rsidRPr="00C50FA1">
                    <w:t>5,3</w:t>
                  </w:r>
                </w:p>
              </w:tc>
              <w:tc>
                <w:tcPr>
                  <w:tcW w:w="1080" w:type="dxa"/>
                </w:tcPr>
                <w:p w:rsidR="00736F71" w:rsidRPr="00C50FA1" w:rsidRDefault="00062E83" w:rsidP="00865703">
                  <w:pPr>
                    <w:jc w:val="center"/>
                  </w:pPr>
                  <w:r w:rsidRPr="00C50FA1">
                    <w:t>5,7</w:t>
                  </w:r>
                </w:p>
              </w:tc>
              <w:tc>
                <w:tcPr>
                  <w:tcW w:w="1080" w:type="dxa"/>
                </w:tcPr>
                <w:p w:rsidR="00736F71" w:rsidRPr="00C50FA1" w:rsidRDefault="00062E83" w:rsidP="00865703">
                  <w:pPr>
                    <w:jc w:val="center"/>
                  </w:pPr>
                  <w:r w:rsidRPr="00C50FA1">
                    <w:t>6,2</w:t>
                  </w:r>
                </w:p>
              </w:tc>
            </w:tr>
          </w:tbl>
          <w:p w:rsidR="009A5788" w:rsidRPr="00C50FA1" w:rsidRDefault="009A5788" w:rsidP="00A72E99">
            <w:pPr>
              <w:pStyle w:val="tekst"/>
              <w:spacing w:before="0" w:after="0"/>
              <w:ind w:firstLine="498"/>
              <w:jc w:val="both"/>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lastRenderedPageBreak/>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w:t>
            </w:r>
            <w:proofErr w:type="gramStart"/>
            <w:r w:rsidRPr="00C50FA1">
              <w:t xml:space="preserve">  </w:t>
            </w:r>
            <w:proofErr w:type="gramEnd"/>
            <w:r w:rsidRPr="00C50FA1">
              <w:t>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eurų</w:t>
            </w:r>
            <w:r w:rsidR="000417A8" w:rsidRPr="00CE0BE2">
              <w:t xml:space="preserve">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5F69FD">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C50FA1" w:rsidRDefault="00BE0EE6" w:rsidP="00157664">
            <w:pPr>
              <w:ind w:firstLine="464"/>
              <w:jc w:val="both"/>
              <w:rPr>
                <w:lang w:eastAsia="ar-SA"/>
              </w:rPr>
            </w:pPr>
            <w:r w:rsidRPr="00C50FA1">
              <w:rPr>
                <w:shd w:val="clear" w:color="auto" w:fill="FFFFFF"/>
              </w:rPr>
              <w:t>Pagal Lietuvos partnerystės sutartį rengiamos trys veiksmų programos:</w:t>
            </w:r>
            <w:r w:rsidRPr="00C50FA1">
              <w:t xml:space="preserve"> </w:t>
            </w:r>
            <w:hyperlink r:id="rId9" w:tgtFrame="_blank" w:history="1">
              <w:r w:rsidRPr="00C50FA1">
                <w:rPr>
                  <w:shd w:val="clear" w:color="auto" w:fill="F7F7F7"/>
                </w:rPr>
                <w:t>2014–2020 m. ES fondų investicijų veiksmų programa</w:t>
              </w:r>
            </w:hyperlink>
            <w:r w:rsidRPr="00C50FA1">
              <w:t xml:space="preserve">, </w:t>
            </w:r>
            <w:hyperlink r:id="rId10" w:tgtFrame="_blank" w:history="1">
              <w:r w:rsidRPr="00C50FA1">
                <w:t>Lietuvos 2014–2020 m. kaimo plėtros programa</w:t>
              </w:r>
            </w:hyperlink>
            <w:r w:rsidRPr="00C50FA1">
              <w:t xml:space="preserve"> ir </w:t>
            </w:r>
            <w:r w:rsidRPr="00C50FA1">
              <w:rPr>
                <w:shd w:val="clear" w:color="auto" w:fill="F7F7F7"/>
              </w:rPr>
              <w:t>Žuvininkystės sektoriaus veiksmų programa.</w:t>
            </w:r>
          </w:p>
          <w:p w:rsidR="001942C4" w:rsidRPr="00C50FA1" w:rsidRDefault="001942C4" w:rsidP="00B0431B">
            <w:pPr>
              <w:pStyle w:val="Antrats"/>
              <w:tabs>
                <w:tab w:val="clear" w:pos="4320"/>
                <w:tab w:val="clear" w:pos="8640"/>
              </w:tabs>
              <w:ind w:firstLine="720"/>
              <w:jc w:val="both"/>
              <w:rPr>
                <w:u w:val="single"/>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Išankstiniais duomenimis, 2015 m. antrąjį ketvirtį, kaip ir pirmąjį ketvirtį, užfiksuotas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Pr="00C50FA1">
              <w:rPr>
                <w:szCs w:val="24"/>
                <w:shd w:val="clear" w:color="auto" w:fill="FFFFFF"/>
              </w:rPr>
              <w:t xml:space="preserve">Lietuvoje buvo teigiamas ir sudarė 65,2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tai rodo užsienio investicijų Lietuvoje didėjimą. Šį TUI augimą nulėmė labiau didėjusios </w:t>
            </w:r>
            <w:proofErr w:type="spellStart"/>
            <w:r w:rsidRPr="00C50FA1">
              <w:rPr>
                <w:szCs w:val="24"/>
                <w:shd w:val="clear" w:color="auto" w:fill="FFFFFF"/>
              </w:rPr>
              <w:t>nerezidentų</w:t>
            </w:r>
            <w:proofErr w:type="spellEnd"/>
            <w:r w:rsidRPr="00C50FA1">
              <w:rPr>
                <w:szCs w:val="24"/>
                <w:shd w:val="clear" w:color="auto" w:fill="FFFFFF"/>
              </w:rPr>
              <w:t xml:space="preserve"> investicijos į skolos ir nuosavybės priemones – jų srautai atitinkamai sudarė 154,3 ir 43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2015 m. pirmąjį pusmetį TUI Lietuvoje sudarė 317,2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proofErr w:type="gramStart"/>
            <w:r w:rsidRPr="00C50FA1">
              <w:rPr>
                <w:szCs w:val="24"/>
                <w:shd w:val="clear" w:color="auto" w:fill="FFFFFF"/>
              </w:rPr>
              <w:t>(</w:t>
            </w:r>
            <w:proofErr w:type="gramEnd"/>
            <w:r w:rsidRPr="00C50FA1">
              <w:rPr>
                <w:szCs w:val="24"/>
                <w:shd w:val="clear" w:color="auto" w:fill="FFFFFF"/>
              </w:rPr>
              <w:t>1,8 proc. BVP).</w:t>
            </w:r>
          </w:p>
          <w:p w:rsidR="0099399B" w:rsidRPr="00C50FA1" w:rsidRDefault="0099399B" w:rsidP="000417A8">
            <w:pPr>
              <w:pStyle w:val="Antrats"/>
              <w:ind w:firstLine="747"/>
              <w:jc w:val="both"/>
            </w:pPr>
            <w:r w:rsidRPr="00C50FA1">
              <w:rPr>
                <w:szCs w:val="24"/>
                <w:shd w:val="clear" w:color="auto" w:fill="FFFFFF"/>
              </w:rPr>
              <w:t>2015 m. antrąjį ketvirtį Lietuvoje sparčiausiai didėjo Lenkijos (254,1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Vokietijos (75,8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Ispanijos (28,7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labiausiai mažėjo Švedijos (–182,7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Estijos (–66,9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(–61,8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F87835">
              <w:t>A</w:t>
            </w:r>
            <w:r w:rsidRPr="00C50FA1">
              <w:t>ntrąjį ketvirtį daugiausia investuota į apdirbamąją gamybą (153,5 mln. </w:t>
            </w:r>
            <w:proofErr w:type="spellStart"/>
            <w:r w:rsidRPr="00C50FA1">
              <w:t>E</w:t>
            </w:r>
            <w:r w:rsidR="00F87835">
              <w:t>ur</w:t>
            </w:r>
            <w:proofErr w:type="spellEnd"/>
            <w:r w:rsidRPr="00C50FA1">
              <w:t>), informacijos ir ryšių veiklą (12,3 mln. </w:t>
            </w:r>
            <w:proofErr w:type="spellStart"/>
            <w:r w:rsidRPr="00C50FA1">
              <w:t>E</w:t>
            </w:r>
            <w:r w:rsidR="00F87835">
              <w:t>ur</w:t>
            </w:r>
            <w:proofErr w:type="spellEnd"/>
            <w:r w:rsidRPr="00C50FA1">
              <w:t>), o labiausiai mažėjo investicijos į profesinę, mokslinę ir techninę veiklą (–43,1 mln. </w:t>
            </w:r>
            <w:proofErr w:type="spellStart"/>
            <w:r w:rsidRPr="00C50FA1">
              <w:t>E</w:t>
            </w:r>
            <w:r w:rsidR="00F87835">
              <w:t>ur</w:t>
            </w:r>
            <w:proofErr w:type="spellEnd"/>
            <w:r w:rsidRPr="00C50FA1">
              <w:t>).</w:t>
            </w:r>
          </w:p>
          <w:p w:rsidR="0099399B" w:rsidRPr="00C50FA1" w:rsidRDefault="0099399B" w:rsidP="0099399B">
            <w:pPr>
              <w:pStyle w:val="prastasiniatinklio"/>
              <w:shd w:val="clear" w:color="auto" w:fill="FFFFFF"/>
              <w:spacing w:before="0" w:beforeAutospacing="0" w:after="0" w:afterAutospacing="0"/>
              <w:jc w:val="both"/>
            </w:pPr>
            <w:r w:rsidRPr="00C50FA1">
              <w:t>2015 m. birželio 30 d.</w:t>
            </w:r>
            <w:r w:rsidRPr="00C50FA1">
              <w:rPr>
                <w:rStyle w:val="apple-converted-space"/>
              </w:rPr>
              <w:t> </w:t>
            </w:r>
            <w:r w:rsidRPr="00C50FA1">
              <w:rPr>
                <w:rStyle w:val="Grietas"/>
                <w:b w:val="0"/>
              </w:rPr>
              <w:t>sukauptosios</w:t>
            </w:r>
            <w:r w:rsidRPr="00C50FA1">
              <w:rPr>
                <w:rStyle w:val="apple-converted-space"/>
              </w:rPr>
              <w:t> </w:t>
            </w:r>
            <w:r w:rsidRPr="00C50FA1">
              <w:t xml:space="preserve">TUI Lietuvoje sudarė 13,1 mlrd. </w:t>
            </w:r>
            <w:proofErr w:type="spellStart"/>
            <w:r w:rsidRPr="00C50FA1">
              <w:t>E</w:t>
            </w:r>
            <w:r w:rsidR="00F93420">
              <w:t>ur</w:t>
            </w:r>
            <w:proofErr w:type="spellEnd"/>
            <w:r w:rsidRPr="00C50FA1">
              <w:t xml:space="preserve">. 2015 m. pirmąjį pusmetį jų suma Lietuvoje padidėjo 238,7 mln. </w:t>
            </w:r>
            <w:proofErr w:type="spellStart"/>
            <w:r w:rsidRPr="00C50FA1">
              <w:t>E</w:t>
            </w:r>
            <w:r w:rsidR="00F93420">
              <w:t>ur</w:t>
            </w:r>
            <w:proofErr w:type="spellEnd"/>
            <w:r w:rsidRPr="00C50FA1">
              <w:t xml:space="preserve"> (1,9 proc.). Vienam šalies gyventojui vidutiniškai teko </w:t>
            </w:r>
            <w:r w:rsidR="008D7888">
              <w:br/>
            </w:r>
            <w:r w:rsidRPr="00C50FA1">
              <w:t xml:space="preserve">4 514 </w:t>
            </w:r>
            <w:proofErr w:type="spellStart"/>
            <w:r w:rsidRPr="00C50FA1">
              <w:t>E</w:t>
            </w:r>
            <w:r w:rsidR="00F93420">
              <w:t>ur</w:t>
            </w:r>
            <w:proofErr w:type="spellEnd"/>
            <w:r w:rsidRPr="00C50FA1">
              <w:t xml:space="preserve"> TUI (2014 m. gruodžio 31 d. – 4 404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lastRenderedPageBreak/>
              <w:t xml:space="preserve">2015 m. birželio 30 d. duomenimis, Lietuvoje daugiausia yra investavę šių šalių investuotojai: Švedijos – 3,1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(24 proc. visų TUI), Nyderlandų – 1,5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(11,6 proc.), Vokietijos – 1,2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(9,3 proc.), Lenkijos – 905,5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(6,9 proc.), Norvegijos – 850,8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(6,5 proc.), ir Suomijos – 650,2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 proc.). Sukauptosios TUI Lietuvoje iš ES valstybių narių sudarė 10,9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(83,5 proc. visų TUI), iš euro zonos šalių – 5,7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(43,7 proc.), iš NVS šalių – 260,7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 proc.).</w:t>
            </w:r>
          </w:p>
          <w:p w:rsidR="0099399B" w:rsidRPr="00C50FA1" w:rsidRDefault="0099399B" w:rsidP="00F80CF5">
            <w:pPr>
              <w:pStyle w:val="Antrats"/>
              <w:ind w:firstLine="747"/>
              <w:jc w:val="both"/>
              <w:rPr>
                <w:szCs w:val="24"/>
              </w:rPr>
            </w:pPr>
            <w:r w:rsidRPr="00C50FA1">
              <w:rPr>
                <w:szCs w:val="24"/>
                <w:shd w:val="clear" w:color="auto" w:fill="FFFFFF"/>
              </w:rPr>
              <w:t xml:space="preserve">2015 m. birželio 30 d. duomenimis, daugiausia investuota į finansinę ir draudimo veiklą – </w:t>
            </w:r>
            <w:r w:rsidR="00F93420">
              <w:rPr>
                <w:szCs w:val="24"/>
                <w:shd w:val="clear" w:color="auto" w:fill="FFFFFF"/>
              </w:rPr>
              <w:br/>
            </w:r>
            <w:r w:rsidRPr="00C50FA1">
              <w:rPr>
                <w:szCs w:val="24"/>
                <w:shd w:val="clear" w:color="auto" w:fill="FFFFFF"/>
              </w:rPr>
              <w:t xml:space="preserve">27,4 proc. visų TUI, apdirbamosios gamybos veiklą – 21,5, nekilnojamojo turto operacijų veiklą – </w:t>
            </w:r>
            <w:r w:rsidR="00F93420">
              <w:rPr>
                <w:szCs w:val="24"/>
                <w:shd w:val="clear" w:color="auto" w:fill="FFFFFF"/>
              </w:rPr>
              <w:br/>
            </w:r>
            <w:r w:rsidRPr="00C50FA1">
              <w:rPr>
                <w:szCs w:val="24"/>
                <w:shd w:val="clear" w:color="auto" w:fill="FFFFFF"/>
              </w:rPr>
              <w:t xml:space="preserve">12,7, didmeninę ir mažmeninę prekybą, variklinių transporto priemonių ir motociklų remontą – </w:t>
            </w:r>
            <w:r w:rsidR="00F93420">
              <w:rPr>
                <w:szCs w:val="24"/>
                <w:shd w:val="clear" w:color="auto" w:fill="FFFFFF"/>
              </w:rPr>
              <w:br/>
            </w:r>
            <w:r w:rsidRPr="00C50FA1">
              <w:rPr>
                <w:szCs w:val="24"/>
                <w:shd w:val="clear" w:color="auto" w:fill="FFFFFF"/>
              </w:rPr>
              <w:t xml:space="preserve">11,6, informacijos ir ryšių veiklą – 8,8 proc. Iš apdirbamosios gamybos daugiausia investuota į rafinuotų naftos, chemijos ir farmacinių preparatų gamybą – 1,4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(49,1 proc. visų apdirbamosios gamybos TUI) ir maisto produktų, gėrimų ir tabako gaminių gamybą – 303 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(10,7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C50FA1" w:rsidRDefault="0092430B">
            <w:pPr>
              <w:ind w:firstLine="709"/>
              <w:jc w:val="both"/>
            </w:pPr>
            <w:r w:rsidRPr="00C50FA1">
              <w:t xml:space="preserve">Panevėžio rajone prioritetinės žemės ūkio veiklos šakos yra javų, rapsų auginimas. </w:t>
            </w:r>
            <w:r w:rsidR="00EF4A04" w:rsidRPr="00C50FA1">
              <w:t>Rajone yra</w:t>
            </w:r>
            <w:proofErr w:type="gramStart"/>
            <w:r w:rsidR="00EF4A04" w:rsidRPr="00C50FA1">
              <w:t xml:space="preserve">  </w:t>
            </w:r>
            <w:proofErr w:type="gramEnd"/>
            <w:r w:rsidR="00EF4A04" w:rsidRPr="00C50FA1">
              <w:t>įregistruota 2</w:t>
            </w:r>
            <w:r w:rsidR="00DE6EC8">
              <w:t xml:space="preserve"> </w:t>
            </w:r>
            <w:r w:rsidR="00EF4A04" w:rsidRPr="00C50FA1">
              <w:t xml:space="preserve">114 ūkininkų ūkių ir veikia </w:t>
            </w:r>
            <w:r w:rsidR="00956E43" w:rsidRPr="00C50FA1">
              <w:t>daugiau nei 2</w:t>
            </w:r>
            <w:r w:rsidR="00EF4A04" w:rsidRPr="00C50FA1">
              <w:t xml:space="preserve">0 žemės ūkio įmonių, stambiausios </w:t>
            </w:r>
            <w:r w:rsidR="00956E43" w:rsidRPr="00C50FA1">
              <w:t xml:space="preserve">iš jų </w:t>
            </w:r>
            <w:r w:rsidR="00EF4A04" w:rsidRPr="00C50FA1">
              <w:t>yra</w:t>
            </w:r>
            <w:r w:rsidR="00956E43" w:rsidRPr="00C50FA1">
              <w:t xml:space="preserve"> UAB „Krekenava“, </w:t>
            </w:r>
            <w:proofErr w:type="spellStart"/>
            <w:r w:rsidR="00956E43" w:rsidRPr="00C50FA1">
              <w:t>Žibartonių</w:t>
            </w:r>
            <w:proofErr w:type="spellEnd"/>
            <w:r w:rsidR="00956E43" w:rsidRPr="00C50FA1">
              <w:t>, Ėriškių ir Jotainių žemės ūkio bendrovės</w:t>
            </w:r>
            <w:r w:rsidR="00EF4A04" w:rsidRPr="00C50FA1">
              <w:t xml:space="preserve">. </w:t>
            </w:r>
            <w:r w:rsidRPr="00C50FA1">
              <w:t>Nors augalininkystė – didžiausias rajono ūkininkų pajam</w:t>
            </w:r>
            <w:r w:rsidR="00CD2528" w:rsidRPr="00C50FA1">
              <w:t>ų šaltinis, rajone užauginama</w:t>
            </w:r>
            <w:r w:rsidRPr="00C50FA1">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C50FA1" w:rsidRDefault="00401894">
            <w:pPr>
              <w:ind w:firstLine="709"/>
              <w:jc w:val="both"/>
            </w:pPr>
            <w:r w:rsidRPr="00C50FA1">
              <w:t xml:space="preserve">Svarbiausios pramonės produkcijos rūšys: medienos ir baldų gamyba, mėsos, duonos ir pyrago gaminių gamyba. Rajone veikia tokios didelės ir žinomos įmonės kaip „Linas </w:t>
            </w:r>
            <w:proofErr w:type="spellStart"/>
            <w:r w:rsidRPr="00C50FA1">
              <w:t>Agro</w:t>
            </w:r>
            <w:proofErr w:type="spellEnd"/>
            <w:r w:rsidRPr="00C50FA1">
              <w:t xml:space="preserve"> Group“, „Palink“, A. Povilausko įmonė „</w:t>
            </w:r>
            <w:proofErr w:type="spellStart"/>
            <w:r w:rsidRPr="00C50FA1">
              <w:t>Kadex</w:t>
            </w:r>
            <w:proofErr w:type="spellEnd"/>
            <w:r w:rsidRPr="00C50FA1">
              <w:t>“, UAB „Raguvos baldai“ ir ko, žuvies perdirbimo įmonė „</w:t>
            </w:r>
            <w:proofErr w:type="spellStart"/>
            <w:r w:rsidRPr="00C50FA1">
              <w:t>Grundalas</w:t>
            </w:r>
            <w:proofErr w:type="spellEnd"/>
            <w:r w:rsidRPr="00C50FA1">
              <w:t>“, AB „</w:t>
            </w:r>
            <w:proofErr w:type="spellStart"/>
            <w:r w:rsidRPr="00C50FA1">
              <w:t>Dembavos</w:t>
            </w:r>
            <w:proofErr w:type="spellEnd"/>
            <w:r w:rsidRPr="00C50FA1">
              <w:t xml:space="preserve"> medelynas“, popieriaus ir jo gaminių įmonė UAB „</w:t>
            </w:r>
            <w:proofErr w:type="spellStart"/>
            <w:r w:rsidRPr="00C50FA1">
              <w:t>Eseira</w:t>
            </w:r>
            <w:proofErr w:type="spellEnd"/>
            <w:r w:rsidRPr="00C50FA1">
              <w:t>“, dailiosios keramikos gaminių gamintoja „</w:t>
            </w:r>
            <w:proofErr w:type="spellStart"/>
            <w:r w:rsidRPr="00C50FA1">
              <w:t>Midenė</w:t>
            </w:r>
            <w:proofErr w:type="spellEnd"/>
            <w:r w:rsidRPr="00C50FA1">
              <w:t>“, čiužinių gamybos bendrovė „</w:t>
            </w:r>
            <w:proofErr w:type="spellStart"/>
            <w:r w:rsidRPr="00C50FA1">
              <w:t>Dominari</w:t>
            </w:r>
            <w:proofErr w:type="spellEnd"/>
            <w:r w:rsidRPr="00C50FA1">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65C04" w:rsidRPr="00C50FA1" w:rsidRDefault="00A65C04" w:rsidP="002223B1">
            <w:pPr>
              <w:pStyle w:val="Pagrindinistekstas"/>
              <w:spacing w:after="0"/>
              <w:ind w:firstLine="709"/>
              <w:jc w:val="both"/>
            </w:pPr>
            <w:r w:rsidRPr="00C50FA1">
              <w:t>Statistikos departamento duomenimis</w:t>
            </w:r>
            <w:r w:rsidR="00FC04A8" w:rsidRPr="00C50FA1">
              <w:t>,</w:t>
            </w:r>
            <w:r w:rsidRPr="00C50FA1">
              <w:t xml:space="preserve"> </w:t>
            </w:r>
            <w:r w:rsidR="003D3507" w:rsidRPr="00C50FA1">
              <w:t xml:space="preserve">Panevėžio rajone </w:t>
            </w:r>
            <w:r w:rsidR="007466E6" w:rsidRPr="00C50FA1">
              <w:t>ap</w:t>
            </w:r>
            <w:r w:rsidR="003D3507" w:rsidRPr="00C50FA1">
              <w:t>gyvendintų turistų skaičius 2015</w:t>
            </w:r>
            <w:r w:rsidRPr="00C50FA1">
              <w:t xml:space="preserve"> m.</w:t>
            </w:r>
            <w:r w:rsidR="007466E6" w:rsidRPr="00C50FA1">
              <w:t xml:space="preserve"> pirmą pusmetį</w:t>
            </w:r>
            <w:r w:rsidRPr="00C50FA1">
              <w:t xml:space="preserve"> </w:t>
            </w:r>
            <w:r w:rsidR="007466E6" w:rsidRPr="00C50FA1">
              <w:t xml:space="preserve">buvo </w:t>
            </w:r>
            <w:r w:rsidR="003D3507" w:rsidRPr="00C50FA1">
              <w:t>2,9</w:t>
            </w:r>
            <w:r w:rsidR="007466E6" w:rsidRPr="00C50FA1">
              <w:t xml:space="preserve"> tūkst., </w:t>
            </w:r>
            <w:r w:rsidR="003D3507" w:rsidRPr="00C50FA1">
              <w:t>10,6 proc. mažiau nei 2014 m. tuo pačiu laikotarpiu.</w:t>
            </w:r>
          </w:p>
          <w:p w:rsidR="00A65C04" w:rsidRPr="00C50FA1" w:rsidRDefault="00A65C04" w:rsidP="002223B1">
            <w:pPr>
              <w:pStyle w:val="Pagrindinistekstas"/>
              <w:spacing w:after="0"/>
              <w:ind w:firstLine="709"/>
              <w:jc w:val="both"/>
            </w:pPr>
            <w:r w:rsidRPr="00C50FA1">
              <w:t xml:space="preserve">Kitas svarbus rodiklis, nusakantis turizmo tendencijas, yra apgyvendinimo įstaigų užimtumas. Statistikos departamento prie Lietuvos Respublikos Vyriausybės duomenimis, </w:t>
            </w:r>
            <w:r w:rsidR="00650C06" w:rsidRPr="00C50FA1">
              <w:t>2015</w:t>
            </w:r>
            <w:r w:rsidRPr="00C50FA1">
              <w:t xml:space="preserve"> m. </w:t>
            </w:r>
            <w:r w:rsidR="007466E6" w:rsidRPr="00C50FA1">
              <w:t xml:space="preserve">pirmą pusmetį </w:t>
            </w:r>
            <w:r w:rsidRPr="00C50FA1">
              <w:t>Panevėžio rajone veikiančių apgyvendinimo įstaigų</w:t>
            </w:r>
            <w:r w:rsidR="007466E6" w:rsidRPr="00C50FA1">
              <w:t xml:space="preserve"> numerių</w:t>
            </w:r>
            <w:r w:rsidRPr="00C50FA1">
              <w:t xml:space="preserve"> užimtumas sudarė</w:t>
            </w:r>
            <w:r w:rsidR="00CA1553" w:rsidRPr="00C50FA1">
              <w:t xml:space="preserve"> </w:t>
            </w:r>
            <w:r w:rsidR="00650C06" w:rsidRPr="00C50FA1">
              <w:t>12,0</w:t>
            </w:r>
            <w:r w:rsidR="007466E6" w:rsidRPr="00C50FA1">
              <w:t xml:space="preserve"> proc.</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223B1" w:rsidRPr="00C50FA1" w:rsidRDefault="00550859" w:rsidP="002223B1">
            <w:pPr>
              <w:pStyle w:val="Pagrindinistekstas"/>
              <w:spacing w:after="0"/>
              <w:ind w:firstLine="709"/>
              <w:jc w:val="both"/>
            </w:pPr>
            <w:r w:rsidRPr="00C50FA1">
              <w:t>Šiuo metu rajone yra 237</w:t>
            </w:r>
            <w:r w:rsidR="00173B99" w:rsidRPr="00C50FA1">
              <w:t xml:space="preserve"> kultūros paveldo objekt</w:t>
            </w:r>
            <w:r w:rsidR="00FC04A8" w:rsidRPr="00C50FA1">
              <w:t>ai</w:t>
            </w:r>
            <w:r w:rsidR="00173B99" w:rsidRPr="00C50FA1">
              <w:t>: 58 iš jų pripažinti valstybės saugomais,</w:t>
            </w:r>
            <w:proofErr w:type="gramStart"/>
            <w:r w:rsidR="00173B99" w:rsidRPr="00C50FA1">
              <w:t xml:space="preserve"> </w:t>
            </w:r>
            <w:r w:rsidR="00CA1553" w:rsidRPr="00C50FA1">
              <w:t xml:space="preserve">     </w:t>
            </w:r>
            <w:proofErr w:type="gramEnd"/>
            <w:r w:rsidRPr="00C50FA1">
              <w:t>179</w:t>
            </w:r>
            <w:r w:rsidR="00173B99" w:rsidRPr="00C50FA1">
              <w:t xml:space="preserve"> įrašyt</w:t>
            </w:r>
            <w:r w:rsidR="00FC04A8" w:rsidRPr="00C50FA1">
              <w:t>as</w:t>
            </w:r>
            <w:r w:rsidR="00173B99" w:rsidRPr="00C50FA1">
              <w:t xml:space="preserve"> į Lietuvos Respublikos nekilnojamųjų kultūros vertybių registrą. </w:t>
            </w:r>
          </w:p>
          <w:p w:rsidR="00AF2487" w:rsidRPr="00C50FA1" w:rsidRDefault="00AF2487" w:rsidP="002223B1">
            <w:pPr>
              <w:pStyle w:val="Pagrindinistekstas"/>
              <w:spacing w:after="0"/>
              <w:ind w:firstLine="709"/>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w:t>
            </w:r>
            <w:r w:rsidRPr="00C50FA1">
              <w:lastRenderedPageBreak/>
              <w:t xml:space="preserve">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išvažiuoti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C50FA1" w:rsidRDefault="009A5788" w:rsidP="003C35C6">
            <w:pPr>
              <w:pStyle w:val="Sraopastraipa"/>
              <w:tabs>
                <w:tab w:val="left" w:pos="2325"/>
              </w:tabs>
              <w:ind w:left="0" w:firstLine="709"/>
              <w:jc w:val="both"/>
              <w:rPr>
                <w:lang w:eastAsia="lt-LT"/>
              </w:rPr>
            </w:pPr>
            <w:r w:rsidRPr="00C50FA1">
              <w:rPr>
                <w:lang w:eastAsia="lt-LT"/>
              </w:rPr>
              <w:t>Panevėžio r</w:t>
            </w:r>
            <w:r w:rsidR="00B90881" w:rsidRPr="00C50FA1">
              <w:rPr>
                <w:lang w:eastAsia="lt-LT"/>
              </w:rPr>
              <w:t>ajono</w:t>
            </w:r>
            <w:r w:rsidRPr="00C50FA1">
              <w:rPr>
                <w:lang w:eastAsia="lt-LT"/>
              </w:rPr>
              <w:t xml:space="preserve"> savivaldybė privalo užtikrinti, kad viešąja komunalinių atliekų tvarkymo sistema naudotųsi ne mažiau kaip 95 proc. savivaldybės teritorijos gyventojų, kuriems toje </w:t>
            </w:r>
            <w:r w:rsidR="00EB47F0" w:rsidRPr="00C50FA1">
              <w:rPr>
                <w:lang w:eastAsia="lt-LT"/>
              </w:rPr>
              <w:t>teritorijoje priklauso nuosavybė</w:t>
            </w:r>
            <w:r w:rsidRPr="00C50FA1">
              <w:rPr>
                <w:lang w:eastAsia="lt-LT"/>
              </w:rPr>
              <w:t>s teise nekilnojamojo turto objektai.</w:t>
            </w:r>
          </w:p>
          <w:p w:rsidR="00D30CEC" w:rsidRPr="00C50FA1" w:rsidRDefault="001208E0" w:rsidP="00D30CEC">
            <w:pPr>
              <w:autoSpaceDE w:val="0"/>
              <w:autoSpaceDN w:val="0"/>
              <w:adjustRightInd w:val="0"/>
              <w:ind w:firstLine="720"/>
              <w:jc w:val="both"/>
            </w:pPr>
            <w:r w:rsidRPr="00C50FA1">
              <w:t>Nuo 2007 m. rajone pradėjus veikti regioninei atliekų tvarkymo sistemai</w:t>
            </w:r>
            <w:r w:rsidR="009425F2" w:rsidRPr="00C50FA1">
              <w:t>,</w:t>
            </w:r>
            <w:r w:rsidRPr="00C50FA1">
              <w:t xml:space="preserve"> uždar</w:t>
            </w:r>
            <w:r w:rsidR="00507E15" w:rsidRPr="00C50FA1">
              <w:t>yti</w:t>
            </w:r>
            <w:r w:rsidRPr="00C50FA1">
              <w:t xml:space="preserve"> ir</w:t>
            </w:r>
            <w:proofErr w:type="gramStart"/>
            <w:r w:rsidRPr="00C50FA1">
              <w:t xml:space="preserve">  </w:t>
            </w:r>
            <w:proofErr w:type="gramEnd"/>
            <w:r w:rsidRPr="00C50FA1">
              <w:t>rekultivuo</w:t>
            </w:r>
            <w:r w:rsidR="00507E15" w:rsidRPr="00C50FA1">
              <w:t>ti</w:t>
            </w:r>
            <w:r w:rsidRPr="00C50FA1">
              <w:t xml:space="preserve"> </w:t>
            </w:r>
            <w:r w:rsidR="00507E15" w:rsidRPr="00C50FA1">
              <w:t>visi rajono teritorijoje buvę</w:t>
            </w:r>
            <w:r w:rsidRPr="00C50FA1">
              <w:t xml:space="preserve"> sąvartynai, neatitinkantys aplinkos</w:t>
            </w:r>
            <w:r w:rsidR="00BC7CF4" w:rsidRPr="00C50FA1">
              <w:t xml:space="preserve"> aps</w:t>
            </w:r>
            <w:r w:rsidRPr="00C50FA1">
              <w:t>aug</w:t>
            </w:r>
            <w:r w:rsidR="00BC7CF4" w:rsidRPr="00C50FA1">
              <w:t>os</w:t>
            </w:r>
            <w:r w:rsidRPr="00C50FA1">
              <w:t xml:space="preserve"> reikalavimų. </w:t>
            </w:r>
            <w:r w:rsidR="009A5788" w:rsidRPr="00C50FA1">
              <w:t>Atliekų tvarkymą regione organizuoja Panevėžio regiono atliekų tvarkymo centras (PRATC)</w:t>
            </w:r>
            <w:r w:rsidR="00801BE6" w:rsidRPr="00C50FA1">
              <w:t>, savivaldybės</w:t>
            </w:r>
            <w:r w:rsidR="009A5788" w:rsidRPr="00C50FA1">
              <w:t xml:space="preserve"> bei atliekų tvarkytojai.</w:t>
            </w:r>
            <w:r w:rsidR="005C194C" w:rsidRPr="00C50FA1">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C50FA1">
              <w:t xml:space="preserve">Panevėžio rajono savivaldybės duomenimis, komunalinių atliekų tvarkymo paslaugas gauna </w:t>
            </w:r>
            <w:r w:rsidR="002A61CA">
              <w:br/>
            </w:r>
            <w:r w:rsidRPr="00C50FA1">
              <w:t>8</w:t>
            </w:r>
            <w:r w:rsidR="00E00A55" w:rsidRPr="00C50FA1">
              <w:t>9</w:t>
            </w:r>
            <w:r w:rsidRPr="00C50FA1">
              <w:t xml:space="preserve">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C50FA1">
              <w:t>bioskaidžių</w:t>
            </w:r>
            <w:proofErr w:type="spellEnd"/>
            <w:r w:rsidRPr="00C50FA1">
              <w:t xml:space="preserve"> atliekų kompostavimas vietoje.</w:t>
            </w:r>
            <w:r w:rsidR="00D30CEC" w:rsidRPr="00C50FA1">
              <w:t xml:space="preserve"> </w:t>
            </w:r>
            <w:r w:rsidRPr="00C50FA1">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3C30C8" w:rsidP="000417A8">
            <w:pPr>
              <w:jc w:val="both"/>
              <w:rPr>
                <w:u w:val="single"/>
                <w:lang w:eastAsia="ar-SA"/>
              </w:rPr>
            </w:pPr>
            <w:r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2016 m. pradžioje Panevėžio rajone gyveno</w:t>
            </w:r>
            <w:proofErr w:type="gramStart"/>
            <w:r w:rsidR="007F77AB" w:rsidRPr="00C50FA1">
              <w:t xml:space="preserve">                              </w:t>
            </w:r>
            <w:proofErr w:type="gramEnd"/>
            <w:r w:rsidR="007F77AB" w:rsidRPr="00C50FA1">
              <w:t>4</w:t>
            </w:r>
            <w:r w:rsidR="00174FD9" w:rsidRPr="00C50FA1">
              <w:t xml:space="preserve">1 339 </w:t>
            </w:r>
            <w:r w:rsidR="007F77AB" w:rsidRPr="00C50FA1">
              <w:t xml:space="preserve">gyventojai, 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lastRenderedPageBreak/>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DB043E" w:rsidP="00DB043E">
            <w:pPr>
              <w:tabs>
                <w:tab w:val="left" w:pos="900"/>
                <w:tab w:val="left" w:pos="1260"/>
              </w:tabs>
              <w:ind w:firstLine="498"/>
              <w:jc w:val="both"/>
            </w:pPr>
            <w:r w:rsidRPr="00C50FA1">
              <w:t>Rajone 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842D58" w:rsidRPr="00C50FA1" w:rsidRDefault="00842D58" w:rsidP="00842D58">
            <w:pPr>
              <w:autoSpaceDE w:val="0"/>
              <w:ind w:firstLine="540"/>
              <w:jc w:val="both"/>
            </w:pPr>
            <w:r w:rsidRPr="00C50FA1">
              <w:t xml:space="preserve">2015–2016 m. m. Panevėžio rajone veikia šios švietimo įstaigos: 6 gimnazijos, 1 vidurinė mokykla, 1 progimnazija, </w:t>
            </w:r>
            <w:r w:rsidR="007E7FB4">
              <w:t>9</w:t>
            </w:r>
            <w:r w:rsidRPr="00C50FA1">
              <w:t xml:space="preserve"> pagrindin</w:t>
            </w:r>
            <w:r w:rsidR="008D7888">
              <w:t>ės</w:t>
            </w:r>
            <w:r w:rsidRPr="00C50FA1">
              <w:t xml:space="preserve"> mokykl</w:t>
            </w:r>
            <w:r w:rsidR="008D7888">
              <w:t>os</w:t>
            </w:r>
            <w:r w:rsidRPr="00C50FA1">
              <w:t>, 3 mokyklos</w:t>
            </w:r>
            <w:proofErr w:type="gramStart"/>
            <w:r w:rsidRPr="00C50FA1">
              <w:t>-</w:t>
            </w:r>
            <w:proofErr w:type="gramEnd"/>
            <w:r w:rsidRPr="00C50FA1">
              <w:t xml:space="preserve">darželiai, 6 lopšeliai-darželiai, </w:t>
            </w:r>
            <w:r w:rsidR="002A61CA">
              <w:br/>
            </w:r>
            <w:r w:rsidRPr="00C50FA1">
              <w:t xml:space="preserve">1 neformaliojo vaikų švietimo mokykla (Muzikos mokykla), Pedagoginė psichologinė tarnyba, Švietimo centras. </w:t>
            </w:r>
          </w:p>
          <w:p w:rsidR="00842D58" w:rsidRPr="00C50FA1" w:rsidRDefault="00842D58" w:rsidP="00842D58">
            <w:pPr>
              <w:autoSpaceDE w:val="0"/>
              <w:ind w:firstLine="540"/>
              <w:jc w:val="both"/>
              <w:rPr>
                <w:shd w:val="clear" w:color="auto" w:fill="FFFFFF"/>
              </w:rPr>
            </w:pPr>
            <w:r w:rsidRPr="00C50FA1">
              <w:t xml:space="preserve">Vienuoliktosios klasės sudarytos visose gimnazijose ir Naujamiesčio vidurinėje mokykloje. Katinų pagrindinė mokykla nuo 2015 m. rugsėjo 1 d. reorganizuota į </w:t>
            </w:r>
            <w:proofErr w:type="spellStart"/>
            <w:r w:rsidRPr="00C50FA1">
              <w:t>Velžio</w:t>
            </w:r>
            <w:proofErr w:type="spellEnd"/>
            <w:r w:rsidRPr="00C50FA1">
              <w:t xml:space="preserve"> gimnazijos skyrių, </w:t>
            </w:r>
            <w:proofErr w:type="spellStart"/>
            <w:r w:rsidRPr="00C50FA1">
              <w:t>Kurganavos</w:t>
            </w:r>
            <w:proofErr w:type="spellEnd"/>
            <w:r w:rsidRPr="00C50FA1">
              <w:rPr>
                <w:shd w:val="clear" w:color="auto" w:fill="FFFFFF"/>
              </w:rPr>
              <w:t xml:space="preserve"> pagrindinė mokykla nuo 2015 m. rugsėjo 1 d. reorganizuota į Miežiškių pagrindinės mokyklos skyrių, Vadoklių vidurinė </w:t>
            </w:r>
            <w:r w:rsidR="002A61CA">
              <w:rPr>
                <w:shd w:val="clear" w:color="auto" w:fill="FFFFFF"/>
              </w:rPr>
              <w:t xml:space="preserve">mokykla </w:t>
            </w:r>
            <w:r w:rsidRPr="00C50FA1">
              <w:rPr>
                <w:shd w:val="clear" w:color="auto" w:fill="FFFFFF"/>
              </w:rPr>
              <w:t xml:space="preserve">nuo 2015 m. rugsėjo 1 d. reorganizuota į pagrindinę mokyklą. Lietuvos Respublikos švietimo ir mokslo ministerija 2016 m. </w:t>
            </w:r>
            <w:r w:rsidR="002A61CA">
              <w:rPr>
                <w:shd w:val="clear" w:color="auto" w:fill="FFFFFF"/>
              </w:rPr>
              <w:t>akredituos</w:t>
            </w:r>
            <w:r w:rsidRPr="00C50FA1">
              <w:rPr>
                <w:shd w:val="clear" w:color="auto" w:fill="FFFFFF"/>
              </w:rPr>
              <w:t xml:space="preserve"> vidurinio ugdymo programos </w:t>
            </w:r>
            <w:r w:rsidR="002A61CA">
              <w:rPr>
                <w:shd w:val="clear" w:color="auto" w:fill="FFFFFF"/>
              </w:rPr>
              <w:t>įgyvendinimą</w:t>
            </w:r>
            <w:r w:rsidRPr="00C50FA1">
              <w:rPr>
                <w:shd w:val="clear" w:color="auto" w:fill="FFFFFF"/>
              </w:rPr>
              <w:t xml:space="preserve"> Naujamiesčio vidurinėje mokykloje.</w:t>
            </w:r>
          </w:p>
          <w:p w:rsidR="00842D58" w:rsidRPr="00C50FA1" w:rsidRDefault="00842D58" w:rsidP="00842D58">
            <w:pPr>
              <w:autoSpaceDE w:val="0"/>
              <w:ind w:firstLine="540"/>
              <w:jc w:val="both"/>
              <w:rPr>
                <w:rFonts w:cs="TimesNewRomanPSMT"/>
              </w:rPr>
            </w:pPr>
            <w:r w:rsidRPr="00C50FA1">
              <w:t>2015–2016 m. m. bendrojo ugdymo mokyklose mokosi 3 219 mokinių</w:t>
            </w:r>
            <w:r w:rsidRPr="00C50FA1">
              <w:rPr>
                <w:rFonts w:cs="TimesNewRomanPSMT"/>
              </w:rPr>
              <w:t>, ikimokyklinio ugdymo grupes lanko 723 vaikai, priešmokyklinio ugdymo grupes lanko 263 vaikai.</w:t>
            </w:r>
          </w:p>
          <w:p w:rsidR="00842D58" w:rsidRPr="00C50FA1" w:rsidRDefault="00842D58" w:rsidP="00842D58">
            <w:pPr>
              <w:autoSpaceDE w:val="0"/>
              <w:ind w:firstLine="540"/>
              <w:jc w:val="both"/>
              <w:rPr>
                <w:rFonts w:cs="TimesNewRomanPSMT"/>
              </w:rPr>
            </w:pPr>
            <w:r w:rsidRPr="00C50FA1">
              <w:rPr>
                <w:rFonts w:cs="TimesNewRomanPSMT"/>
              </w:rPr>
              <w:t>Panevėžio rajono švietimo būklė kokybės aspektu įvertinama analizuojant šalies ir Panevėžio rajono švietimo būklės rodiklius. Įvertinus ir palyginus švietimo būklę apibūdinančius rodiklius</w:t>
            </w:r>
            <w:proofErr w:type="gramStart"/>
            <w:r w:rsidRPr="00C50FA1">
              <w:rPr>
                <w:rFonts w:cs="TimesNewRomanPSMT"/>
              </w:rPr>
              <w:t xml:space="preserve">              </w:t>
            </w:r>
            <w:proofErr w:type="gramEnd"/>
            <w:r w:rsidRPr="00C50FA1">
              <w:rPr>
                <w:rFonts w:cs="TimesNewRomanPSMT"/>
              </w:rPr>
              <w:t>(11 finansavimo ir aprūpinimo, 10 personalo, 9 procesų, 12 rezultatų) – 34 proc. Panevėžio r</w:t>
            </w:r>
            <w:r w:rsidR="008D5DE8">
              <w:rPr>
                <w:rFonts w:cs="TimesNewRomanPSMT"/>
              </w:rPr>
              <w:t>ajono</w:t>
            </w:r>
            <w:r w:rsidRPr="00C50FA1">
              <w:rPr>
                <w:rFonts w:cs="TimesNewRomanPSMT"/>
              </w:rPr>
              <w:t xml:space="preserve"> švietimo būklę nusakančių rodiklių yra aukštesni už šalies vidurkį, 32 proc. atitinka šalies vidurkį, </w:t>
            </w:r>
            <w:r w:rsidR="008D5DE8">
              <w:rPr>
                <w:rFonts w:cs="TimesNewRomanPSMT"/>
              </w:rPr>
              <w:br/>
            </w:r>
            <w:r w:rsidRPr="00C50FA1">
              <w:rPr>
                <w:rFonts w:cs="TimesNewRomanPSMT"/>
              </w:rPr>
              <w:t xml:space="preserve">34 proc. rodiklių yra žemesni už šalies vidurkį. </w:t>
            </w:r>
          </w:p>
          <w:p w:rsidR="00842D58" w:rsidRPr="00C50FA1" w:rsidRDefault="00842D58" w:rsidP="00842D58">
            <w:pPr>
              <w:autoSpaceDE w:val="0"/>
              <w:ind w:firstLine="540"/>
              <w:jc w:val="both"/>
              <w:rPr>
                <w:rFonts w:cs="TimesNewRomanPSMT"/>
              </w:rPr>
            </w:pPr>
            <w:r w:rsidRPr="00C50FA1">
              <w:rPr>
                <w:rFonts w:cs="TimesNewRomanPSMT"/>
              </w:rPr>
              <w:t xml:space="preserve">2015–2016 m. m. švietimo srities veiklos prioritetai: </w:t>
            </w:r>
          </w:p>
          <w:p w:rsidR="00842D58" w:rsidRPr="00C50FA1" w:rsidRDefault="00842D58" w:rsidP="00842D58">
            <w:pPr>
              <w:autoSpaceDE w:val="0"/>
              <w:ind w:firstLine="540"/>
              <w:jc w:val="both"/>
              <w:rPr>
                <w:rFonts w:cs="TimesNewRomanPSMT"/>
              </w:rPr>
            </w:pPr>
            <w:r w:rsidRPr="00C50FA1">
              <w:rPr>
                <w:rFonts w:cs="TimesNewRomanPSMT"/>
              </w:rPr>
              <w:t>1. Mokymo(</w:t>
            </w:r>
            <w:proofErr w:type="spellStart"/>
            <w:r w:rsidRPr="00C50FA1">
              <w:rPr>
                <w:rFonts w:cs="TimesNewRomanPSMT"/>
              </w:rPr>
              <w:t>si</w:t>
            </w:r>
            <w:proofErr w:type="spellEnd"/>
            <w:r w:rsidRPr="00C50FA1">
              <w:rPr>
                <w:rFonts w:cs="TimesNewRomanPSMT"/>
              </w:rPr>
              <w:t>) kokybė</w:t>
            </w:r>
            <w:r w:rsidR="007E7FB4">
              <w:rPr>
                <w:rFonts w:cs="TimesNewRomanPSMT"/>
              </w:rPr>
              <w:t>s gerinimas</w:t>
            </w:r>
            <w:r w:rsidR="008D5DE8">
              <w:rPr>
                <w:rFonts w:cs="TimesNewRomanPSMT"/>
              </w:rPr>
              <w:t>;</w:t>
            </w:r>
          </w:p>
          <w:p w:rsidR="00842D58" w:rsidRPr="00C50FA1" w:rsidRDefault="00842D58" w:rsidP="00842D58">
            <w:pPr>
              <w:autoSpaceDE w:val="0"/>
              <w:ind w:firstLine="540"/>
              <w:jc w:val="both"/>
              <w:rPr>
                <w:rFonts w:cs="TimesNewRomanPSMT"/>
              </w:rPr>
            </w:pPr>
            <w:r w:rsidRPr="00C50FA1">
              <w:t xml:space="preserve">2. </w:t>
            </w:r>
            <w:r w:rsidRPr="00C50FA1">
              <w:rPr>
                <w:bCs/>
                <w:iCs/>
              </w:rPr>
              <w:t>Neformalusis suaugusiųjų ir kitas neformalusis vaikų švietimas.</w:t>
            </w:r>
          </w:p>
          <w:p w:rsidR="00842D58" w:rsidRPr="00C50FA1" w:rsidRDefault="00842D58" w:rsidP="00842D58">
            <w:pPr>
              <w:autoSpaceDE w:val="0"/>
              <w:ind w:firstLine="540"/>
              <w:jc w:val="both"/>
              <w:rPr>
                <w:rFonts w:cs="TimesNewRomanPSMT"/>
              </w:rPr>
            </w:pPr>
            <w:r w:rsidRPr="00C50FA1">
              <w:rPr>
                <w:rFonts w:cs="TimesNewRomanPSMT"/>
              </w:rPr>
              <w:t xml:space="preserve">2015–2016 m. m. švietimo srities veiklos prioritetai įgyvendinami vykdant Švietimo, kultūros ir </w:t>
            </w:r>
            <w:proofErr w:type="gramStart"/>
            <w:r w:rsidRPr="00C50FA1">
              <w:rPr>
                <w:rFonts w:cs="TimesNewRomanPSMT"/>
              </w:rPr>
              <w:t>sporto skyriaus</w:t>
            </w:r>
            <w:proofErr w:type="gramEnd"/>
            <w:r w:rsidRPr="00C50FA1">
              <w:rPr>
                <w:rFonts w:cs="TimesNewRomanPSMT"/>
              </w:rPr>
              <w:t xml:space="preserve"> 2015–2016 m. m. veiklos programą (priedai – švietimo įstaigų veiklos kokybės užtikrinimas, bendroji priežiūra, metodinės ir vadybinės paramos teikimas). 2015–2016 m. m. švietimo srities veiklos prioritetus įgyvendina Švietimo centras, Pedagoginė psichologinė tarnyba, mokyklos.</w:t>
            </w:r>
          </w:p>
          <w:p w:rsidR="00FE0C90" w:rsidRPr="00C50FA1"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C50FA1" w:rsidRDefault="00F915FF" w:rsidP="00F915FF">
            <w:pPr>
              <w:ind w:firstLine="720"/>
              <w:jc w:val="both"/>
            </w:pPr>
            <w:r w:rsidRPr="00C50FA1">
              <w:t>Panevėžio rajono savivaldybė turi pakankamai gerai išplėtotą kultūros centrų tinklą. 2015 m. Panevėžio rajone veikė 12 kultūros centrų ir 20 jų padalinių, juose 190 įvairių meno kolektyvų,</w:t>
            </w:r>
            <w:proofErr w:type="gramStart"/>
            <w:r w:rsidRPr="00C50FA1">
              <w:t xml:space="preserve">                   </w:t>
            </w:r>
            <w:proofErr w:type="gramEnd"/>
            <w:r w:rsidRPr="00C50FA1">
              <w:t xml:space="preserve">1 854 dalyviai. Kultūros centruose dirbo 155 darbuotojai, iš jų 111 </w:t>
            </w:r>
            <w:proofErr w:type="gramStart"/>
            <w:r w:rsidRPr="00C50FA1">
              <w:t>kultūros</w:t>
            </w:r>
            <w:proofErr w:type="gramEnd"/>
            <w:r w:rsidRPr="00C50FA1">
              <w:t xml:space="preserve"> ir meno darbuotojų.</w:t>
            </w:r>
          </w:p>
          <w:p w:rsidR="00F915FF" w:rsidRPr="00C50FA1" w:rsidRDefault="00F915FF" w:rsidP="00F915FF">
            <w:pPr>
              <w:ind w:firstLine="720"/>
              <w:jc w:val="both"/>
            </w:pPr>
            <w:r w:rsidRPr="00C50FA1">
              <w:t>Rajone yra 33 žiūrovų salės, kuriose telpa 5 220 žiūrovų; veikia 8 visuomeniniai ir 2 privatūs muziejai, 5 galerijos.</w:t>
            </w:r>
          </w:p>
          <w:p w:rsidR="00F915FF" w:rsidRPr="00C50FA1" w:rsidRDefault="00F915FF" w:rsidP="00F915FF">
            <w:pPr>
              <w:ind w:firstLine="626"/>
              <w:jc w:val="both"/>
            </w:pPr>
            <w:r w:rsidRPr="00C50FA1">
              <w:t>2015 m. Panevėžio rajone veikė 36 bibliotekos – Panevėžio rajono savivaldybės viešoji biblioteka ir 35 jos filialai. Visos bibliotekos kompiuterizuotos. Bibliotekose vykdomos vaikų ir suaugusiųjų neformal</w:t>
            </w:r>
            <w:r w:rsidR="008D5DE8">
              <w:t>iojo</w:t>
            </w:r>
            <w:r w:rsidRPr="00C50FA1">
              <w:t xml:space="preserve"> švietimo veiklos </w:t>
            </w:r>
            <w:r w:rsidR="008D5DE8">
              <w:t>–</w:t>
            </w:r>
            <w:r w:rsidRPr="00C50FA1">
              <w:t xml:space="preserve"> vyksta gyventojų kompiuterinio raštingumo mokymai, mokoma naudotis </w:t>
            </w:r>
            <w:proofErr w:type="spellStart"/>
            <w:r w:rsidRPr="00C50FA1">
              <w:t>planšetiniais</w:t>
            </w:r>
            <w:proofErr w:type="spellEnd"/>
            <w:r w:rsidRPr="00C50FA1">
              <w:t xml:space="preserve"> kompiuteriais, mobiliųjų telefonų programėlėmis</w:t>
            </w:r>
            <w:r w:rsidR="008D5DE8">
              <w:t>,</w:t>
            </w:r>
            <w:r w:rsidRPr="00C50FA1">
              <w:t xml:space="preserve"> gyventojai mokomi naudotis </w:t>
            </w:r>
            <w:r w:rsidR="008D5DE8">
              <w:br/>
            </w:r>
            <w:r w:rsidRPr="00C50FA1">
              <w:t>e-sveikata, e-valdžia, e-bankininkystė ir kt. paslaugomis, teikiamos kopijavimo, spausdinimo, skenavimo ir kt. paslaugos.</w:t>
            </w:r>
          </w:p>
          <w:p w:rsidR="00F915FF" w:rsidRPr="00C50FA1" w:rsidRDefault="00F915FF" w:rsidP="00F915FF">
            <w:pPr>
              <w:ind w:firstLine="720"/>
              <w:jc w:val="both"/>
            </w:pPr>
            <w:r w:rsidRPr="00C50FA1">
              <w:lastRenderedPageBreak/>
              <w:t xml:space="preserve">Išplėstas bibliotekos paslaugų spektras. Bibliotekos padalinys </w:t>
            </w:r>
            <w:proofErr w:type="spellStart"/>
            <w:r w:rsidRPr="00C50FA1">
              <w:t>Gustonių</w:t>
            </w:r>
            <w:proofErr w:type="spellEnd"/>
            <w:r w:rsidRPr="00C50FA1">
              <w:t xml:space="preserve"> biblioteka</w:t>
            </w:r>
            <w:proofErr w:type="gramStart"/>
            <w:r w:rsidRPr="00C50FA1">
              <w:t>-</w:t>
            </w:r>
            <w:proofErr w:type="gramEnd"/>
            <w:r w:rsidRPr="00C50FA1">
              <w:t xml:space="preserve">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C50FA1">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t xml:space="preserve">Valstybinei </w:t>
            </w:r>
            <w:r w:rsidRPr="00C50FA1">
              <w:t xml:space="preserve">mokesčių inspekcijai. Biblioteka dalyvauja įvairiuose projektuose, </w:t>
            </w:r>
            <w:r w:rsidR="00D80AFD">
              <w:t>v</w:t>
            </w:r>
            <w:r w:rsidRPr="00C50FA1">
              <w:t xml:space="preserve">ykdo kultūrines, </w:t>
            </w:r>
            <w:proofErr w:type="spellStart"/>
            <w:r w:rsidRPr="00C50FA1">
              <w:t>savanorystės</w:t>
            </w:r>
            <w:proofErr w:type="spellEnd"/>
            <w:r w:rsidRPr="00C50FA1">
              <w:t xml:space="preserve"> veiklas. Prie bibliotekos veikia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855D2A" w:rsidRPr="00C50FA1" w:rsidRDefault="00855D2A" w:rsidP="00855D2A">
            <w:pPr>
              <w:ind w:firstLine="720"/>
              <w:jc w:val="both"/>
            </w:pPr>
            <w:r w:rsidRPr="00C50FA1">
              <w:t>Panevėžio rajone veikia 15 sporto klubų, kuriuose sportuoja 500 rajono gyventojų. Seniūnijose sporto renginių organizavimu, gyventojų sporto užimtumu rūpinasi 13 sporto metodini</w:t>
            </w:r>
            <w:r w:rsidR="000E3C9D" w:rsidRPr="00C50FA1">
              <w:t>n</w:t>
            </w:r>
            <w:r w:rsidRPr="00C50FA1">
              <w:t xml:space="preserve">kų. Daugiausia naudojamasi mokyklų sporto bazėmis. </w:t>
            </w:r>
          </w:p>
          <w:p w:rsidR="00A77040" w:rsidRPr="00C50FA1" w:rsidRDefault="00855D2A" w:rsidP="00855D2A">
            <w:pPr>
              <w:autoSpaceDE w:val="0"/>
              <w:ind w:firstLine="720"/>
              <w:jc w:val="both"/>
            </w:pPr>
            <w:r w:rsidRPr="00C50FA1">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C50FA1">
              <w:t>Žibartonių</w:t>
            </w:r>
            <w:proofErr w:type="spellEnd"/>
            <w:r w:rsidRPr="00C50FA1">
              <w:t xml:space="preserve"> pagrindinės mokyklos, Paįstrio Juozo Zikaro gimnazijos Skaistgirių skyrius. Suremontuota </w:t>
            </w:r>
            <w:proofErr w:type="spellStart"/>
            <w:r w:rsidRPr="00C50FA1">
              <w:t>Paliūniškio</w:t>
            </w:r>
            <w:proofErr w:type="spellEnd"/>
            <w:r w:rsidRPr="00C50FA1">
              <w:t xml:space="preserve"> pagrindinės mokyklos sporto salė.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401894" w:rsidRPr="00C50FA1" w:rsidRDefault="00401894" w:rsidP="00401894">
            <w:pPr>
              <w:pStyle w:val="Pagrindinistekstas"/>
              <w:spacing w:after="0"/>
              <w:ind w:firstLine="709"/>
              <w:jc w:val="both"/>
            </w:pPr>
            <w:r w:rsidRPr="00C50FA1">
              <w:t>2015 m. asmenų (šeimų), turinčių teisę į socialinį būstą ir įrašytų į Panevėžio rajono savivaldybės socialiniam būstui išsinuomoti sąrašus, skaičius yra 107</w:t>
            </w:r>
            <w:r w:rsidR="00410D87" w:rsidRPr="00C50FA1">
              <w:t>.</w:t>
            </w:r>
            <w:r w:rsidRPr="00C50FA1">
              <w:t xml:space="preserve"> </w:t>
            </w:r>
          </w:p>
          <w:p w:rsidR="009229F5" w:rsidRPr="00C50FA1" w:rsidRDefault="00401894" w:rsidP="00401894">
            <w:pPr>
              <w:pStyle w:val="Pagrindinistekstas"/>
              <w:spacing w:after="0"/>
              <w:ind w:firstLine="709"/>
              <w:jc w:val="both"/>
            </w:pPr>
            <w:r w:rsidRPr="00C50FA1">
              <w:t>2015 m. suteikt</w:t>
            </w:r>
            <w:r w:rsidR="008D5DE8">
              <w:t>i</w:t>
            </w:r>
            <w:r w:rsidRPr="00C50FA1">
              <w:t xml:space="preserve"> 4 socialiniai būstai, iš jų pagal sąrašus: 2 – šeimoms, auginančioms tris ir daugiau vaikų (įvaikių); 2 – asmenims iš bendrojo sąrašo. Palyginti su ankstesniais metais</w:t>
            </w:r>
            <w:r w:rsidR="008D5DE8">
              <w:t>,</w:t>
            </w:r>
            <w:r w:rsidRPr="00C50FA1">
              <w:t xml:space="preserve"> būstų suteikta mažiau, nes iš valstybės biudžeto nebuvo skirta lėšų socialinio būsto fondo plėtrai.</w:t>
            </w:r>
            <w:r w:rsidR="009229F5" w:rsidRPr="00C50FA1">
              <w:t xml:space="preserve"> </w:t>
            </w:r>
          </w:p>
          <w:p w:rsidR="009A5788" w:rsidRPr="00C50FA1" w:rsidRDefault="009A5788">
            <w:pPr>
              <w:pStyle w:val="Pagrindinistekstas"/>
              <w:spacing w:after="0"/>
              <w:ind w:firstLine="709"/>
              <w:jc w:val="both"/>
            </w:pP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w:t>
            </w:r>
            <w:bookmarkStart w:id="0" w:name="_GoBack"/>
            <w:bookmarkEnd w:id="0"/>
            <w:r w:rsidRPr="00C50FA1">
              <w:t xml:space="preserve">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2276AF" w:rsidRPr="00C50FA1">
              <w:t>2015 m. sausio–lapkričio mėn</w:t>
            </w:r>
            <w:r w:rsidR="008D5DE8">
              <w:t>.</w:t>
            </w:r>
            <w:r w:rsidR="002276AF" w:rsidRPr="00C50FA1">
              <w:t xml:space="preserve"> Panevėžio apskrityje registruotos 4 798 nusikalstamos veikos, arba 19,7 proc. mažiau nei 2014 m. tuo pačiu laikotarpiu </w:t>
            </w:r>
            <w:r w:rsidR="008D5DE8">
              <w:br/>
            </w:r>
            <w:r w:rsidR="002276AF" w:rsidRPr="00C50FA1">
              <w:t xml:space="preserve">(5 976). Ištirta – 2 795, arba 23,9 proc. mažiau nei 2014 m. tuo pačiu laikotarpiu (3 673). Lyginant </w:t>
            </w:r>
            <w:r w:rsidR="008D5DE8">
              <w:br/>
            </w:r>
            <w:r w:rsidR="002276AF" w:rsidRPr="00C50FA1">
              <w:t xml:space="preserve">2015 ir 2014 m. sausio–lapkričio mėnesius, nusikalstamų veikų ištyrimo procentas sumažėjo 3,2 proc. </w:t>
            </w:r>
          </w:p>
          <w:p w:rsidR="009A5788" w:rsidRPr="00C50FA1" w:rsidRDefault="0058395F">
            <w:pPr>
              <w:tabs>
                <w:tab w:val="left" w:pos="900"/>
                <w:tab w:val="left" w:pos="1260"/>
              </w:tabs>
              <w:ind w:firstLine="498"/>
              <w:jc w:val="both"/>
            </w:pPr>
            <w:r w:rsidRPr="00C50FA1">
              <w:lastRenderedPageBreak/>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1A7D9B" w:rsidRPr="00C50FA1" w:rsidRDefault="00191650" w:rsidP="001A7D9B">
            <w:pPr>
              <w:pStyle w:val="Antrats"/>
              <w:tabs>
                <w:tab w:val="left" w:pos="720"/>
              </w:tabs>
              <w:snapToGrid w:val="0"/>
              <w:ind w:firstLine="498"/>
              <w:jc w:val="both"/>
              <w:rPr>
                <w:szCs w:val="24"/>
              </w:rPr>
            </w:pPr>
            <w:r w:rsidRPr="00C50FA1">
              <w:rPr>
                <w:szCs w:val="24"/>
              </w:rPr>
              <w:t>Informacinių technologijų naudojimo namų ūkiuose tyrimo duomenimis,</w:t>
            </w:r>
            <w:r w:rsidR="006F5A8C" w:rsidRPr="00C50FA1">
              <w:rPr>
                <w:szCs w:val="24"/>
              </w:rPr>
              <w:t xml:space="preserve"> 2015 m. pirmąjį ketvirtį </w:t>
            </w:r>
            <w:r w:rsidR="006F5A8C" w:rsidRPr="00C50FA1">
              <w:t>k</w:t>
            </w:r>
            <w:r w:rsidR="006F5A8C" w:rsidRPr="00C50FA1">
              <w:rPr>
                <w:szCs w:val="24"/>
              </w:rPr>
              <w:t>ompiuteriu naudojosi 71 proc. 16–74 metų amžiaus gyventojų. Didelė dalis</w:t>
            </w:r>
            <w:r w:rsidR="006F5A8C" w:rsidRPr="00C50FA1">
              <w:t xml:space="preserve"> </w:t>
            </w:r>
            <w:r w:rsidR="006F5A8C" w:rsidRPr="00C50FA1">
              <w:rPr>
                <w:szCs w:val="24"/>
              </w:rPr>
              <w:t>besinaudojančių kompiuteriu asmenų – jauni žmonės: 96 proc. 16–24 metų amžiaus ir 94 proc. 25–34 metų amžiaus</w:t>
            </w:r>
            <w:r w:rsidR="001A7D9B" w:rsidRPr="00C50FA1">
              <w:rPr>
                <w:szCs w:val="24"/>
              </w:rPr>
              <w:t xml:space="preserve"> </w:t>
            </w:r>
            <w:r w:rsidR="006F5A8C" w:rsidRPr="00C50FA1">
              <w:rPr>
                <w:szCs w:val="24"/>
              </w:rPr>
              <w:t>gyventojų naudojosi kompiuteriu. 2015 m. pirmąjį ketvirtį 22 proc. 65–74 metų amžiaus gyventojų naudojosi kompiuteriu,</w:t>
            </w:r>
            <w:r w:rsidR="006F5A8C" w:rsidRPr="00C50FA1">
              <w:t xml:space="preserve"> </w:t>
            </w:r>
            <w:r w:rsidR="006F5A8C" w:rsidRPr="00C50FA1">
              <w:rPr>
                <w:szCs w:val="24"/>
              </w:rPr>
              <w:t>bet net 72 proc. niekada neteko juo naudotis.</w:t>
            </w:r>
            <w:r w:rsidR="006F5A8C" w:rsidRPr="00C50FA1">
              <w:t xml:space="preserve"> </w:t>
            </w:r>
            <w:r w:rsidR="006F5A8C" w:rsidRPr="00C50FA1">
              <w:rPr>
                <w:szCs w:val="24"/>
              </w:rPr>
              <w:t>Dauguma (79 proc.) asmenų, kurie 2015 m. pirmąjį ketvirtį naudojosi kompiuteriu, naudojosi juo kasdien, 17 proc. –</w:t>
            </w:r>
            <w:r w:rsidR="006F5A8C" w:rsidRPr="00C50FA1">
              <w:t xml:space="preserve"> </w:t>
            </w:r>
            <w:r w:rsidR="006F5A8C" w:rsidRPr="00C50FA1">
              <w:rPr>
                <w:szCs w:val="24"/>
              </w:rPr>
              <w:t>bent kartą per savaitę, bet ne kasdien.</w:t>
            </w:r>
            <w:r w:rsidR="006F5A8C" w:rsidRPr="00C50FA1">
              <w:t xml:space="preserve"> </w:t>
            </w:r>
            <w:r w:rsidR="006F5A8C" w:rsidRPr="00C50FA1">
              <w:rPr>
                <w:szCs w:val="24"/>
              </w:rPr>
              <w:t>Didžiausia kompiuteriu besinaudojančių 16–74 metų amžiaus gyventojų dalis buvo Kauno, Klaipėdos ir Telšių apskrityse –</w:t>
            </w:r>
            <w:r w:rsidR="006F5A8C" w:rsidRPr="00C50FA1">
              <w:t xml:space="preserve"> </w:t>
            </w:r>
            <w:r w:rsidR="006F5A8C" w:rsidRPr="00C50FA1">
              <w:rPr>
                <w:szCs w:val="24"/>
              </w:rPr>
              <w:t>atitinkamai 77, 76 ir 72 proc., mažiausia – Tauragės apskrityje (58 proc.). Utenos apskrityje kompiuterių besinaudojančių</w:t>
            </w:r>
            <w:r w:rsidR="006F5A8C" w:rsidRPr="00C50FA1">
              <w:t xml:space="preserve"> </w:t>
            </w:r>
            <w:r w:rsidR="006F5A8C" w:rsidRPr="00C50FA1">
              <w:rPr>
                <w:szCs w:val="24"/>
              </w:rPr>
              <w:t>gyventojų dalis per dvejus metus (2015 m. pirmąjį ketvirtį, palyginti su 2013 m. pirmuoju ketvirčiu) išaugo labiausiai –</w:t>
            </w:r>
            <w:r w:rsidR="006F5A8C" w:rsidRPr="00C50FA1">
              <w:t xml:space="preserve"> </w:t>
            </w:r>
            <w:r w:rsidR="006F5A8C" w:rsidRPr="00C50FA1">
              <w:rPr>
                <w:szCs w:val="24"/>
              </w:rPr>
              <w:t>7 procentiniais punktais, Telšių ir Alytaus apskrityse – po 6 procentinius punktus.</w:t>
            </w:r>
            <w:r w:rsidR="006F5A8C" w:rsidRPr="00C50FA1">
              <w:t xml:space="preserve"> </w:t>
            </w:r>
            <w:r w:rsidR="006F5A8C" w:rsidRPr="00C50FA1">
              <w:rPr>
                <w:szCs w:val="24"/>
              </w:rPr>
              <w:t>Internetu 2015 m. pirmąjį ketvirtį naudojosi 71 proc. visų 16–74 metų amžiaus gyventojų (2013 m. – 68 proc.). 16–24 metų</w:t>
            </w:r>
            <w:r w:rsidR="006F5A8C" w:rsidRPr="00C50FA1">
              <w:t xml:space="preserve"> </w:t>
            </w:r>
            <w:r w:rsidR="006F5A8C" w:rsidRPr="00C50FA1">
              <w:rPr>
                <w:szCs w:val="24"/>
              </w:rPr>
              <w:t>amžiaus grupėje internetu naudojosi 97 proc. gyventojų, 65–74 metų amžiaus – 22 proc. Dauguma – 85 proc. – dirbančių</w:t>
            </w:r>
            <w:r w:rsidR="006F5A8C" w:rsidRPr="00C50FA1">
              <w:t xml:space="preserve"> </w:t>
            </w:r>
            <w:r w:rsidR="006F5A8C" w:rsidRPr="00C50FA1">
              <w:rPr>
                <w:szCs w:val="24"/>
              </w:rPr>
              <w:t>asmenų naudojosi interne</w:t>
            </w:r>
            <w:r w:rsidR="006F5A8C" w:rsidRPr="00C50FA1">
              <w:t>tu.</w:t>
            </w:r>
            <w:r w:rsidR="001A7D9B" w:rsidRPr="00C50FA1">
              <w:t xml:space="preserve"> </w:t>
            </w:r>
            <w:r w:rsidR="001A7D9B" w:rsidRPr="00C50FA1">
              <w:rPr>
                <w:szCs w:val="24"/>
              </w:rPr>
              <w:t xml:space="preserve">Visose apskrityse internetas dažniausiai buvo naudojamas naujienoms skaityti, ryšiams, informacijos paieškai. </w:t>
            </w:r>
          </w:p>
          <w:p w:rsidR="00A142E7" w:rsidRPr="00C50FA1" w:rsidRDefault="001A7D9B" w:rsidP="001A7D9B">
            <w:pPr>
              <w:pStyle w:val="Antrats"/>
              <w:tabs>
                <w:tab w:val="left" w:pos="720"/>
              </w:tabs>
              <w:snapToGrid w:val="0"/>
              <w:ind w:firstLine="498"/>
              <w:jc w:val="both"/>
              <w:rPr>
                <w:szCs w:val="24"/>
              </w:rPr>
            </w:pPr>
            <w:r w:rsidRPr="00C50FA1">
              <w:rPr>
                <w:szCs w:val="24"/>
              </w:rPr>
              <w:t xml:space="preserve">Bent kartą per metus valstybės institucijų ar kitų viešųjų paslaugų įstaigų elektroninėmis paslaugomis pasinaudojo 60 proc. 16–74 metų amžiaus internetu besinaudojančių gyventojų, arba </w:t>
            </w:r>
            <w:r w:rsidR="008D5DE8">
              <w:rPr>
                <w:szCs w:val="24"/>
              </w:rPr>
              <w:br/>
            </w:r>
            <w:r w:rsidRPr="00C50FA1">
              <w:rPr>
                <w:szCs w:val="24"/>
              </w:rPr>
              <w:t xml:space="preserve">44 proc. visų šios amžiaus grupės gyventojų. Kauno apskrityje elektroninėmis viešosiomis paslaugomis naudojosi 51 proc. 16–74 metų amžiaus asmenų, o Tauragės apskrityje – tik 21 proc. </w:t>
            </w:r>
          </w:p>
          <w:p w:rsidR="001A7D9B" w:rsidRPr="00C50FA1" w:rsidRDefault="001A7D9B" w:rsidP="001A7D9B">
            <w:pPr>
              <w:pStyle w:val="Antrats"/>
              <w:tabs>
                <w:tab w:val="left" w:pos="720"/>
              </w:tabs>
              <w:snapToGrid w:val="0"/>
              <w:ind w:firstLine="498"/>
              <w:jc w:val="both"/>
              <w:rPr>
                <w:szCs w:val="24"/>
              </w:rPr>
            </w:pPr>
            <w:r w:rsidRPr="00C50FA1">
              <w:rPr>
                <w:szCs w:val="24"/>
              </w:rPr>
              <w:t>Internetinės bankininkystės paslaugomis 2015 m. pirmąjį ketvirtį naudojosi 70 proc. 16–74 metų amžiaus internetu besinaudojančių asmenų (50 proc. visų šios amžiaus grupės gyventojų). Klaipėdos apskrityje internetine bankininkyste naudojosi 60 proc. 16–74 metų amžiaus asmenų, Tauragės apskrityje – kas trečias.</w:t>
            </w:r>
          </w:p>
          <w:p w:rsidR="009A5788" w:rsidRPr="00C50FA1" w:rsidRDefault="00491393" w:rsidP="009E48FA">
            <w:pPr>
              <w:pStyle w:val="prastasiniatinklio"/>
              <w:spacing w:before="0" w:beforeAutospacing="0" w:after="0" w:afterAutospacing="0"/>
              <w:ind w:firstLine="540"/>
              <w:jc w:val="both"/>
            </w:pPr>
            <w:r w:rsidRPr="00C50FA1">
              <w:rPr>
                <w:lang w:eastAsia="ar-SA"/>
              </w:rPr>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9A5788">
            <w:pPr>
              <w:pStyle w:val="Antrats"/>
              <w:tabs>
                <w:tab w:val="left" w:pos="720"/>
              </w:tabs>
              <w:snapToGrid w:val="0"/>
              <w:ind w:firstLine="498"/>
              <w:jc w:val="both"/>
            </w:pPr>
            <w:r w:rsidRPr="00C50FA1">
              <w:t>Savivaldybės administracij</w:t>
            </w:r>
            <w:r w:rsidR="00CB4DC9">
              <w:t>os struktūra</w:t>
            </w:r>
            <w:r w:rsidRPr="00C50FA1">
              <w:t xml:space="preserve">: </w:t>
            </w:r>
            <w:r w:rsidR="00CB4DC9">
              <w:t xml:space="preserve">Savivaldybės </w:t>
            </w:r>
            <w:r w:rsidRPr="00C50FA1">
              <w:t xml:space="preserve">administracijos direktorius, </w:t>
            </w:r>
            <w:r w:rsidR="00CB4DC9">
              <w:t xml:space="preserve">Savivaldybės </w:t>
            </w:r>
            <w:r w:rsidRPr="00C50FA1">
              <w:t xml:space="preserve">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rsidRPr="00C50FA1">
              <w:t>administravimo</w:t>
            </w:r>
            <w:r w:rsidRPr="00C50FA1">
              <w:t>, Civilinės metrikacijos, Apskaitos, Juridinis</w:t>
            </w:r>
            <w:r w:rsidR="009C65B9" w:rsidRPr="00C50FA1">
              <w:t xml:space="preserve"> ir </w:t>
            </w:r>
            <w:r w:rsidRPr="00C50FA1">
              <w:t xml:space="preserve">Kanceliarijos </w:t>
            </w:r>
            <w:r w:rsidR="00827A7E" w:rsidRPr="00C50FA1">
              <w:t>skyri</w:t>
            </w:r>
            <w:r w:rsidR="009C65B9" w:rsidRPr="00C50FA1">
              <w:t>ai</w:t>
            </w:r>
            <w:r w:rsidRPr="00C50FA1">
              <w:t>,</w:t>
            </w:r>
            <w:r w:rsidR="001208E0" w:rsidRPr="00C50FA1">
              <w:t xml:space="preserve"> Ūkio tarnyba,</w:t>
            </w:r>
            <w:r w:rsidRPr="00C50FA1">
              <w:t xml:space="preserve"> </w:t>
            </w:r>
            <w:r w:rsidR="009C65B9" w:rsidRPr="00C50FA1">
              <w:t>s</w:t>
            </w:r>
            <w:r w:rsidRPr="00C50FA1">
              <w:t>avivaldybės gydytojas</w:t>
            </w:r>
            <w:r w:rsidR="00A40CCA" w:rsidRPr="00C50FA1">
              <w:t xml:space="preserve"> (vyr. specialistas)</w:t>
            </w:r>
            <w:r w:rsidRPr="00C50FA1">
              <w:t xml:space="preserve">, </w:t>
            </w:r>
            <w:r w:rsidR="00827A7E" w:rsidRPr="00C50FA1">
              <w:t>v</w:t>
            </w:r>
            <w:r w:rsidRPr="00C50FA1">
              <w:t xml:space="preserve">yr. specialistas paveldui, </w:t>
            </w:r>
            <w:r w:rsidR="00827A7E" w:rsidRPr="00C50FA1">
              <w:t>c</w:t>
            </w:r>
            <w:r w:rsidRPr="00C50FA1">
              <w:t>ivilinė</w:t>
            </w:r>
            <w:r w:rsidR="00093DA3" w:rsidRPr="00C50FA1">
              <w:t>s saugos</w:t>
            </w:r>
            <w:r w:rsidR="009B6E45" w:rsidRPr="00C50FA1">
              <w:t xml:space="preserve"> </w:t>
            </w:r>
            <w:r w:rsidR="00CB4DC9">
              <w:t>vyr. specialistas,</w:t>
            </w:r>
            <w:r w:rsidR="009B6E45" w:rsidRPr="00C50FA1">
              <w:t xml:space="preserve"> mobilizacijos</w:t>
            </w:r>
            <w:r w:rsidR="00093DA3" w:rsidRPr="00C50FA1">
              <w:t xml:space="preserve"> vyr. specialistas</w:t>
            </w:r>
            <w:r w:rsidR="009B6E45" w:rsidRPr="00C50FA1">
              <w:t xml:space="preserve">, </w:t>
            </w:r>
            <w:r w:rsidR="00827A7E" w:rsidRPr="00C50FA1">
              <w:t>j</w:t>
            </w:r>
            <w:r w:rsidR="009B6E45" w:rsidRPr="00C50FA1">
              <w:t>aunimo reikalų koordinatorius</w:t>
            </w:r>
            <w:r w:rsidR="000B1548" w:rsidRPr="00C50FA1">
              <w:t xml:space="preserve"> (vyr. </w:t>
            </w:r>
            <w:r w:rsidR="000B1548" w:rsidRPr="00C50FA1">
              <w:lastRenderedPageBreak/>
              <w:t>specialistas)</w:t>
            </w:r>
            <w:r w:rsidR="009B6E45" w:rsidRPr="00C50FA1">
              <w:t xml:space="preserve"> </w:t>
            </w:r>
            <w:r w:rsidR="00093DA3" w:rsidRPr="00C50FA1">
              <w:t>ir 12</w:t>
            </w:r>
            <w:r w:rsidRPr="00C50FA1">
              <w:t xml:space="preserve"> seniūnijų: Krekenavos, Miežiškių, Vadoklių, Smilgių, Ramygalos, Karsakiškio,</w:t>
            </w:r>
            <w:r w:rsidR="00093DA3" w:rsidRPr="00C50FA1">
              <w:t xml:space="preserve"> Paįstrio,</w:t>
            </w:r>
            <w:r w:rsidRPr="00C50FA1">
              <w:t xml:space="preserve"> Panevėžio, Raguvos, Upytės, Naujamiesčio, </w:t>
            </w:r>
            <w:proofErr w:type="spellStart"/>
            <w:r w:rsidRPr="00C50FA1">
              <w:t>Velžio</w:t>
            </w:r>
            <w:proofErr w:type="spellEnd"/>
            <w:r w:rsidR="000B4350" w:rsidRPr="00C50FA1">
              <w:t>.</w:t>
            </w:r>
          </w:p>
          <w:p w:rsidR="009A5788" w:rsidRPr="00C50FA1" w:rsidRDefault="009A5788">
            <w:pPr>
              <w:pStyle w:val="Antrats"/>
              <w:tabs>
                <w:tab w:val="left" w:pos="720"/>
              </w:tabs>
              <w:snapToGrid w:val="0"/>
              <w:ind w:firstLine="498"/>
              <w:rPr>
                <w:b/>
              </w:rPr>
            </w:pPr>
            <w:r w:rsidRPr="00C50FA1">
              <w:rPr>
                <w:b/>
              </w:rPr>
              <w:t>Žmogiškieji ištekliai.</w:t>
            </w:r>
          </w:p>
          <w:p w:rsidR="009A5788" w:rsidRPr="00C50FA1" w:rsidRDefault="00536C98">
            <w:pPr>
              <w:shd w:val="clear" w:color="auto" w:fill="FFFFFF"/>
              <w:ind w:firstLine="498"/>
              <w:jc w:val="both"/>
              <w:rPr>
                <w:lang w:eastAsia="ar-SA"/>
              </w:rPr>
            </w:pPr>
            <w:r w:rsidRPr="00C50FA1">
              <w:t>Savivaldybės administracijoje 2016 m. sausio 1 d. didžiausias leistinas pareigybių skaičius buvo 239,5, iš jų patvirtintos: 103,5 valstybės tarnautojų pareigybės ir 136 darbuotojų, dirbančių pagal darbo sutartis ir gaunančių darbo užmokestį iš savivaldybės biudžeto.</w:t>
            </w:r>
          </w:p>
          <w:p w:rsidR="00DF725E" w:rsidRPr="00C50FA1" w:rsidRDefault="00DF725E" w:rsidP="00DF725E">
            <w:pPr>
              <w:pStyle w:val="Pagrindinistekstas"/>
              <w:spacing w:after="0"/>
              <w:ind w:firstLine="498"/>
              <w:jc w:val="both"/>
              <w:rPr>
                <w:b/>
              </w:rPr>
            </w:pPr>
            <w:r w:rsidRPr="00C50FA1">
              <w:t>Didžioji dalis Savivaldybės administracijos valstybės tarnautojų turi 10 ir 12 pa</w:t>
            </w:r>
            <w:r w:rsidR="00AE2BC7" w:rsidRPr="00C50FA1">
              <w:t>reigybinę kategoriją. 91 proc. S</w:t>
            </w:r>
            <w:r w:rsidRPr="00C50FA1">
              <w:t>avivaldybės administracijos valstybės tarnautojų turi nuo 3 iki 25 metų valstybės tarnybos darbo stažą (70 proc. – nuo 3 iki 23 m. valstybės tarnybos darbo stažo). Valstybės tarnautojų kvalifikacija įvertinta taip: 7 valstybės tarnautojai turi pirmą kvalifikacinę klasę, 29 – antrą, 54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 xml:space="preserve">Savivaldybės įvaizdžio formavimui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t xml:space="preserve">Lietuvos Respublikos vidaus kontrolės ir vidaus audito įstatyme numatyta, kad </w:t>
            </w:r>
            <w:proofErr w:type="gramStart"/>
            <w:r w:rsidRPr="00C50FA1">
              <w:t>savivaldybių administracijoje</w:t>
            </w:r>
            <w:proofErr w:type="gramEnd"/>
            <w:r w:rsidRPr="00C50FA1">
              <w:t xml:space="preserve"> turi būti įsteigtos vidaus audito tarnybos. Vykdant šį įstatymą, </w:t>
            </w:r>
            <w:proofErr w:type="gramStart"/>
            <w:r w:rsidRPr="00C50FA1">
              <w:t>savivaldybės administracijoje</w:t>
            </w:r>
            <w:proofErr w:type="gramEnd"/>
            <w:r w:rsidRPr="00C50FA1">
              <w:t xml:space="preserv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Sudarytos geros sąlygos seniūnijų socialiniams darbuotojams: seniūnijos turi automobilius, kuriuos naudoja socialiniai darbuotojai vizitams į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Rajone veikia visos pagalbos mokyklai institucijos (pedagoginė psichologinė tarnyba, 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lastRenderedPageBreak/>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 xml:space="preserve">Kiekviena seniūnija turi sporto metodininką </w:t>
            </w:r>
            <w:proofErr w:type="gramStart"/>
            <w:r w:rsidR="00B03547" w:rsidRPr="00C50FA1">
              <w:rPr>
                <w:szCs w:val="24"/>
              </w:rPr>
              <w:t>(</w:t>
            </w:r>
            <w:proofErr w:type="gramEnd"/>
            <w:r w:rsidR="00B03547" w:rsidRPr="00C50FA1">
              <w:rPr>
                <w:szCs w:val="24"/>
              </w:rPr>
              <w:t>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(58), dauguma 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lastRenderedPageBreak/>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Sensta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7</w:t>
            </w:r>
            <w:r w:rsidRPr="00C50FA1">
              <w:rPr>
                <w:szCs w:val="24"/>
                <w:lang w:eastAsia="lt-LT"/>
              </w:rPr>
              <w:t>. Bendruomenėms trūksta patalpų susibūrimams.</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9037B7">
              <w:rPr>
                <w:szCs w:val="24"/>
                <w:lang w:eastAsia="lt-LT"/>
              </w:rPr>
              <w:t>8</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29</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3</w:t>
            </w:r>
            <w:r w:rsidR="009037B7">
              <w:rPr>
                <w:szCs w:val="24"/>
                <w:lang w:eastAsia="lt-LT"/>
              </w:rPr>
              <w:t>0</w:t>
            </w:r>
            <w:r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9037B7">
              <w:rPr>
                <w:szCs w:val="24"/>
                <w:lang w:eastAsia="lt-LT"/>
              </w:rPr>
              <w:t>1</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2</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3</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4</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75442B">
              <w:t>5</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6</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7</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8</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39</w:t>
            </w:r>
            <w:r w:rsidR="005512CD" w:rsidRPr="00C50FA1">
              <w:rPr>
                <w:szCs w:val="24"/>
              </w:rPr>
              <w:t>. Ne visose vietovėse apšviestos gatvės, trūksta apšvietimo infrastruktūros.</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4</w:t>
            </w:r>
            <w:r w:rsidR="0075442B">
              <w:rPr>
                <w:szCs w:val="24"/>
              </w:rPr>
              <w:t>0</w:t>
            </w:r>
            <w:r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75442B">
              <w:rPr>
                <w:szCs w:val="24"/>
              </w:rPr>
              <w:t>1</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75442B">
              <w:rPr>
                <w:szCs w:val="24"/>
              </w:rPr>
              <w:t>2</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proofErr w:type="gramStart"/>
            <w:r w:rsidR="001F3DA0" w:rsidRPr="00C50FA1">
              <w:t>,</w:t>
            </w:r>
            <w:r w:rsidRPr="00C50FA1">
              <w:t xml:space="preserve"> bei</w:t>
            </w:r>
            <w:proofErr w:type="gramEnd"/>
            <w:r w:rsidRPr="00C50FA1">
              <w:t xml:space="preserve">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C50FA1">
              <w:lastRenderedPageBreak/>
              <w:t>E-01</w:t>
            </w:r>
            <w:proofErr w:type="gramStart"/>
            <w:r w:rsidRPr="00C50FA1">
              <w:t>-</w:t>
            </w:r>
            <w:proofErr w:type="gramEnd"/>
            <w:r w:rsidRPr="00C50FA1">
              <w:t xml:space="preserve">03 </w:t>
            </w:r>
            <w:r w:rsidR="00827A7E" w:rsidRPr="00C50FA1">
              <w:t>–</w:t>
            </w:r>
            <w:r w:rsidRPr="00C50FA1">
              <w:t xml:space="preserve"> </w:t>
            </w:r>
            <w:r w:rsidR="00827A7E" w:rsidRPr="00C50FA1">
              <w:t>k</w:t>
            </w:r>
            <w:r w:rsidRPr="00C50FA1">
              <w:t xml:space="preserve">ultūros centruose veikiančių meno </w:t>
            </w:r>
            <w:r w:rsidR="001F3DA0" w:rsidRPr="00C50FA1">
              <w:t xml:space="preserve">mėgėjų </w:t>
            </w:r>
            <w:r w:rsidRPr="00C50FA1">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lastRenderedPageBreak/>
              <w:t>Įgyvendinant šį strateginį tikslą vykdomos programos:</w:t>
            </w:r>
          </w:p>
          <w:p w:rsidR="009A5788" w:rsidRPr="00C50FA1" w:rsidRDefault="009A5788">
            <w:pPr>
              <w:pStyle w:val="Antrats"/>
              <w:tabs>
                <w:tab w:val="clear" w:pos="4320"/>
                <w:tab w:val="clear" w:pos="8640"/>
              </w:tabs>
              <w:snapToGrid w:val="0"/>
              <w:jc w:val="both"/>
            </w:pPr>
            <w:r w:rsidRPr="00C50FA1">
              <w:t xml:space="preserve">01 </w:t>
            </w:r>
            <w:proofErr w:type="gramStart"/>
            <w:r w:rsidRPr="00C50FA1">
              <w:t>Savivaldybės</w:t>
            </w:r>
            <w:proofErr w:type="gramEnd"/>
            <w:r w:rsidRPr="00C50FA1">
              <w:t xml:space="preserve">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01 – gyventojų skaičiaus metinė kaita (proc.);</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w:t>
            </w:r>
            <w:proofErr w:type="gramStart"/>
            <w:r w:rsidRPr="00C50FA1">
              <w:t>-</w:t>
            </w:r>
            <w:proofErr w:type="gramEnd"/>
            <w:r w:rsidRPr="00C50FA1">
              <w:t>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 xml:space="preserve">01 – verslumo lygis (veikiančių smulkių ir vidutinių įmonių skaičius </w:t>
            </w:r>
            <w:r w:rsidR="009E6E20">
              <w:t>1 000</w:t>
            </w:r>
            <w:r w:rsidRPr="00C50FA1">
              <w:t>iui gyventojų);</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E-03</w:t>
            </w:r>
            <w:proofErr w:type="gramStart"/>
            <w:r w:rsidRPr="00C50FA1">
              <w:t>-</w:t>
            </w:r>
            <w:proofErr w:type="gramEnd"/>
            <w:r w:rsidRPr="00C50FA1">
              <w:t xml:space="preserve">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lastRenderedPageBreak/>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AE2BC7" w:rsidRPr="00C50FA1">
        <w:t>6</w:t>
      </w:r>
      <w:r w:rsidR="00460E56" w:rsidRPr="00C50FA1">
        <w:t>–</w:t>
      </w:r>
      <w:r w:rsidR="007E3DF0" w:rsidRPr="00C50FA1">
        <w:t>201</w:t>
      </w:r>
      <w:r w:rsidR="00AE2BC7" w:rsidRPr="00C50FA1">
        <w:t>8</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70F" w:rsidRDefault="0052570F">
      <w:r>
        <w:separator/>
      </w:r>
    </w:p>
  </w:endnote>
  <w:endnote w:type="continuationSeparator" w:id="0">
    <w:p w:rsidR="0052570F" w:rsidRDefault="0052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70F" w:rsidRDefault="0052570F">
      <w:r>
        <w:separator/>
      </w:r>
    </w:p>
  </w:footnote>
  <w:footnote w:type="continuationSeparator" w:id="0">
    <w:p w:rsidR="0052570F" w:rsidRDefault="00525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793173"/>
      <w:docPartObj>
        <w:docPartGallery w:val="Page Numbers (Top of Page)"/>
        <w:docPartUnique/>
      </w:docPartObj>
    </w:sdtPr>
    <w:sdtEndPr/>
    <w:sdtContent>
      <w:p w:rsidR="009037B7" w:rsidRDefault="009037B7">
        <w:pPr>
          <w:pStyle w:val="Antrats"/>
          <w:jc w:val="center"/>
        </w:pPr>
        <w:r>
          <w:fldChar w:fldCharType="begin"/>
        </w:r>
        <w:r>
          <w:instrText>PAGE   \* MERGEFORMAT</w:instrText>
        </w:r>
        <w:r>
          <w:fldChar w:fldCharType="separate"/>
        </w:r>
        <w:r w:rsidR="00CE0BE2">
          <w:rPr>
            <w:noProof/>
          </w:rPr>
          <w:t>13</w:t>
        </w:r>
        <w:r>
          <w:fldChar w:fldCharType="end"/>
        </w:r>
      </w:p>
    </w:sdtContent>
  </w:sdt>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 xml:space="preserve">Panevėžio rajono </w:t>
    </w:r>
    <w:proofErr w:type="gramStart"/>
    <w:r w:rsidRPr="00BE1580">
      <w:rPr>
        <w:lang w:val="lt-LT"/>
      </w:rPr>
      <w:t>savivaldybės tarybos</w:t>
    </w:r>
    <w:proofErr w:type="gramEnd"/>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Pr>
        <w:lang w:val="lt-LT"/>
      </w:rPr>
      <w:t xml:space="preserve">6 </w:t>
    </w:r>
    <w:r w:rsidRPr="00BE1580">
      <w:rPr>
        <w:lang w:val="lt-LT"/>
      </w:rPr>
      <w:t xml:space="preserve">m. </w:t>
    </w:r>
    <w:r>
      <w:rPr>
        <w:lang w:val="lt-LT"/>
      </w:rPr>
      <w:t>vasario</w:t>
    </w:r>
    <w:r w:rsidRPr="00BE1580">
      <w:rPr>
        <w:lang w:val="lt-LT"/>
      </w:rPr>
      <w:t xml:space="preserve"> </w:t>
    </w:r>
    <w:r>
      <w:rPr>
        <w:lang w:val="lt-LT"/>
      </w:rPr>
      <w:t>18</w:t>
    </w:r>
    <w:r w:rsidRPr="00BE1580">
      <w:rPr>
        <w:lang w:val="lt-LT"/>
      </w:rPr>
      <w:t xml:space="preserve"> d. sprendimu </w:t>
    </w:r>
    <w:r w:rsidRPr="00BE1580">
      <w:rPr>
        <w:caps/>
        <w:lang w:val="lt-LT"/>
      </w:rPr>
      <w:t>n</w:t>
    </w:r>
    <w:r w:rsidRPr="00BE1580">
      <w:rPr>
        <w:lang w:val="lt-LT"/>
      </w:rPr>
      <w:t>r. T-</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16EE7"/>
    <w:rsid w:val="000224A4"/>
    <w:rsid w:val="00022EDE"/>
    <w:rsid w:val="00024FB3"/>
    <w:rsid w:val="00026141"/>
    <w:rsid w:val="000267A2"/>
    <w:rsid w:val="0003516B"/>
    <w:rsid w:val="00035815"/>
    <w:rsid w:val="00036FBF"/>
    <w:rsid w:val="00036FC9"/>
    <w:rsid w:val="000417A8"/>
    <w:rsid w:val="0004235D"/>
    <w:rsid w:val="0004660A"/>
    <w:rsid w:val="00053999"/>
    <w:rsid w:val="00062E83"/>
    <w:rsid w:val="00070AA9"/>
    <w:rsid w:val="00072DA3"/>
    <w:rsid w:val="000739F1"/>
    <w:rsid w:val="0007576C"/>
    <w:rsid w:val="000806B8"/>
    <w:rsid w:val="00080A6F"/>
    <w:rsid w:val="00082518"/>
    <w:rsid w:val="000827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538"/>
    <w:rsid w:val="000B5790"/>
    <w:rsid w:val="000C3634"/>
    <w:rsid w:val="000D0FF5"/>
    <w:rsid w:val="000D4609"/>
    <w:rsid w:val="000D7E6B"/>
    <w:rsid w:val="000E3C9D"/>
    <w:rsid w:val="000E4038"/>
    <w:rsid w:val="000E4ACD"/>
    <w:rsid w:val="000E5A01"/>
    <w:rsid w:val="000E6487"/>
    <w:rsid w:val="000F1A6E"/>
    <w:rsid w:val="000F1B1A"/>
    <w:rsid w:val="000F3115"/>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3338"/>
    <w:rsid w:val="00147BC3"/>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3678"/>
    <w:rsid w:val="001D4066"/>
    <w:rsid w:val="001E1DCB"/>
    <w:rsid w:val="001E5DB2"/>
    <w:rsid w:val="001F00CA"/>
    <w:rsid w:val="001F3C68"/>
    <w:rsid w:val="001F3DA0"/>
    <w:rsid w:val="001F42A8"/>
    <w:rsid w:val="001F7B1C"/>
    <w:rsid w:val="002060D2"/>
    <w:rsid w:val="00207DB9"/>
    <w:rsid w:val="002112C1"/>
    <w:rsid w:val="002158B6"/>
    <w:rsid w:val="00215BE3"/>
    <w:rsid w:val="00215CA9"/>
    <w:rsid w:val="002223B1"/>
    <w:rsid w:val="00223004"/>
    <w:rsid w:val="00225B14"/>
    <w:rsid w:val="002276AF"/>
    <w:rsid w:val="00231EA9"/>
    <w:rsid w:val="00236410"/>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A61CA"/>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23FA"/>
    <w:rsid w:val="00320753"/>
    <w:rsid w:val="003320A4"/>
    <w:rsid w:val="00333101"/>
    <w:rsid w:val="0034343F"/>
    <w:rsid w:val="00347B9F"/>
    <w:rsid w:val="003514E7"/>
    <w:rsid w:val="00351A8F"/>
    <w:rsid w:val="003529FC"/>
    <w:rsid w:val="00355225"/>
    <w:rsid w:val="0036124F"/>
    <w:rsid w:val="00364B06"/>
    <w:rsid w:val="00365273"/>
    <w:rsid w:val="00383DB3"/>
    <w:rsid w:val="00387F3B"/>
    <w:rsid w:val="00391241"/>
    <w:rsid w:val="00394496"/>
    <w:rsid w:val="00395651"/>
    <w:rsid w:val="003A0201"/>
    <w:rsid w:val="003A1AF8"/>
    <w:rsid w:val="003A4150"/>
    <w:rsid w:val="003A4B14"/>
    <w:rsid w:val="003A4FD7"/>
    <w:rsid w:val="003A5C4D"/>
    <w:rsid w:val="003B1FC7"/>
    <w:rsid w:val="003B49AF"/>
    <w:rsid w:val="003C2066"/>
    <w:rsid w:val="003C2169"/>
    <w:rsid w:val="003C21EE"/>
    <w:rsid w:val="003C30C8"/>
    <w:rsid w:val="003C35C6"/>
    <w:rsid w:val="003C5AAF"/>
    <w:rsid w:val="003D3507"/>
    <w:rsid w:val="003D3A98"/>
    <w:rsid w:val="003D6E2F"/>
    <w:rsid w:val="003E0D3D"/>
    <w:rsid w:val="003E6144"/>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20954"/>
    <w:rsid w:val="0042197E"/>
    <w:rsid w:val="0043688C"/>
    <w:rsid w:val="00437F8C"/>
    <w:rsid w:val="00440957"/>
    <w:rsid w:val="00440D49"/>
    <w:rsid w:val="00450EF8"/>
    <w:rsid w:val="0045601C"/>
    <w:rsid w:val="00460533"/>
    <w:rsid w:val="00460E56"/>
    <w:rsid w:val="00467CC6"/>
    <w:rsid w:val="00472BAD"/>
    <w:rsid w:val="00473807"/>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13A73"/>
    <w:rsid w:val="005220B8"/>
    <w:rsid w:val="005252B9"/>
    <w:rsid w:val="0052570F"/>
    <w:rsid w:val="00536C98"/>
    <w:rsid w:val="00540FD4"/>
    <w:rsid w:val="00550859"/>
    <w:rsid w:val="005512CD"/>
    <w:rsid w:val="00553978"/>
    <w:rsid w:val="00563DE0"/>
    <w:rsid w:val="00563DFC"/>
    <w:rsid w:val="00564BAD"/>
    <w:rsid w:val="0056655B"/>
    <w:rsid w:val="005728C0"/>
    <w:rsid w:val="00572DAA"/>
    <w:rsid w:val="0057461F"/>
    <w:rsid w:val="00574FAD"/>
    <w:rsid w:val="00577FE6"/>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F0D28"/>
    <w:rsid w:val="005F6626"/>
    <w:rsid w:val="005F69FD"/>
    <w:rsid w:val="0060181E"/>
    <w:rsid w:val="00610B9B"/>
    <w:rsid w:val="00611FF2"/>
    <w:rsid w:val="00613162"/>
    <w:rsid w:val="00616D96"/>
    <w:rsid w:val="0062217F"/>
    <w:rsid w:val="00623E43"/>
    <w:rsid w:val="00631FC5"/>
    <w:rsid w:val="00632EED"/>
    <w:rsid w:val="00633078"/>
    <w:rsid w:val="00641362"/>
    <w:rsid w:val="0065054C"/>
    <w:rsid w:val="00650C06"/>
    <w:rsid w:val="006524C1"/>
    <w:rsid w:val="00654EEF"/>
    <w:rsid w:val="00655267"/>
    <w:rsid w:val="00656113"/>
    <w:rsid w:val="00660949"/>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5A8C"/>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5442B"/>
    <w:rsid w:val="007554C2"/>
    <w:rsid w:val="007625D4"/>
    <w:rsid w:val="00764376"/>
    <w:rsid w:val="007707B8"/>
    <w:rsid w:val="0077148C"/>
    <w:rsid w:val="00771A59"/>
    <w:rsid w:val="00774B5E"/>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2D58"/>
    <w:rsid w:val="0084365A"/>
    <w:rsid w:val="0084460C"/>
    <w:rsid w:val="0084545F"/>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7FFA"/>
    <w:rsid w:val="0089076D"/>
    <w:rsid w:val="00890A77"/>
    <w:rsid w:val="00890DD8"/>
    <w:rsid w:val="00890FF3"/>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3BD2"/>
    <w:rsid w:val="008D51D2"/>
    <w:rsid w:val="008D5DE8"/>
    <w:rsid w:val="008D7888"/>
    <w:rsid w:val="008F48E6"/>
    <w:rsid w:val="008F5431"/>
    <w:rsid w:val="008F7F0E"/>
    <w:rsid w:val="009037B7"/>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6175"/>
    <w:rsid w:val="00956E43"/>
    <w:rsid w:val="0096147F"/>
    <w:rsid w:val="009621AC"/>
    <w:rsid w:val="0096475A"/>
    <w:rsid w:val="009653DF"/>
    <w:rsid w:val="00966CA5"/>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A06187"/>
    <w:rsid w:val="00A075D6"/>
    <w:rsid w:val="00A117A5"/>
    <w:rsid w:val="00A142E7"/>
    <w:rsid w:val="00A148D5"/>
    <w:rsid w:val="00A161C3"/>
    <w:rsid w:val="00A1654B"/>
    <w:rsid w:val="00A21684"/>
    <w:rsid w:val="00A21C06"/>
    <w:rsid w:val="00A222BB"/>
    <w:rsid w:val="00A22FD6"/>
    <w:rsid w:val="00A35D70"/>
    <w:rsid w:val="00A378D2"/>
    <w:rsid w:val="00A40CCA"/>
    <w:rsid w:val="00A4497E"/>
    <w:rsid w:val="00A56EB7"/>
    <w:rsid w:val="00A626D9"/>
    <w:rsid w:val="00A64825"/>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5502"/>
    <w:rsid w:val="00B10826"/>
    <w:rsid w:val="00B116AE"/>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1852"/>
    <w:rsid w:val="00B54AB2"/>
    <w:rsid w:val="00B6026C"/>
    <w:rsid w:val="00B607F4"/>
    <w:rsid w:val="00B70CF8"/>
    <w:rsid w:val="00B70FA5"/>
    <w:rsid w:val="00B72BBD"/>
    <w:rsid w:val="00B74046"/>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4829"/>
    <w:rsid w:val="00C208D4"/>
    <w:rsid w:val="00C21F5E"/>
    <w:rsid w:val="00C26A4D"/>
    <w:rsid w:val="00C31621"/>
    <w:rsid w:val="00C347A2"/>
    <w:rsid w:val="00C40223"/>
    <w:rsid w:val="00C407F8"/>
    <w:rsid w:val="00C44878"/>
    <w:rsid w:val="00C45E82"/>
    <w:rsid w:val="00C50FA1"/>
    <w:rsid w:val="00C516AC"/>
    <w:rsid w:val="00C518D4"/>
    <w:rsid w:val="00C61652"/>
    <w:rsid w:val="00C62B56"/>
    <w:rsid w:val="00C65C13"/>
    <w:rsid w:val="00C7373C"/>
    <w:rsid w:val="00C87721"/>
    <w:rsid w:val="00C900AE"/>
    <w:rsid w:val="00C90E28"/>
    <w:rsid w:val="00C92707"/>
    <w:rsid w:val="00C9360F"/>
    <w:rsid w:val="00CA1553"/>
    <w:rsid w:val="00CA31CE"/>
    <w:rsid w:val="00CA3553"/>
    <w:rsid w:val="00CA3D2A"/>
    <w:rsid w:val="00CA5FB3"/>
    <w:rsid w:val="00CA6E67"/>
    <w:rsid w:val="00CB0D32"/>
    <w:rsid w:val="00CB1ECA"/>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CC1"/>
    <w:rsid w:val="00DA03EA"/>
    <w:rsid w:val="00DB043E"/>
    <w:rsid w:val="00DB0CE9"/>
    <w:rsid w:val="00DB259B"/>
    <w:rsid w:val="00DB3425"/>
    <w:rsid w:val="00DB3611"/>
    <w:rsid w:val="00DB705D"/>
    <w:rsid w:val="00DB7363"/>
    <w:rsid w:val="00DC056A"/>
    <w:rsid w:val="00DC2032"/>
    <w:rsid w:val="00DC48CB"/>
    <w:rsid w:val="00DD2DF5"/>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7EB"/>
    <w:rsid w:val="00E171C7"/>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366B"/>
    <w:rsid w:val="00EB47F0"/>
    <w:rsid w:val="00EC1626"/>
    <w:rsid w:val="00EC3CEC"/>
    <w:rsid w:val="00EC5F98"/>
    <w:rsid w:val="00EC6E36"/>
    <w:rsid w:val="00EC7466"/>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639D"/>
    <w:rsid w:val="00FA6B71"/>
    <w:rsid w:val="00FB02B5"/>
    <w:rsid w:val="00FB528C"/>
    <w:rsid w:val="00FB6F8A"/>
    <w:rsid w:val="00FC04A8"/>
    <w:rsid w:val="00FC1B72"/>
    <w:rsid w:val="00FC4A34"/>
    <w:rsid w:val="00FC58D2"/>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 w:type="character" w:customStyle="1" w:styleId="AntratsDiagrama">
    <w:name w:val="Antraštės Diagrama"/>
    <w:basedOn w:val="Numatytasispastraiposriftas"/>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1693846240">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987392985">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1283878403">
          <w:marLeft w:val="0"/>
          <w:marRight w:val="0"/>
          <w:marTop w:val="0"/>
          <w:marBottom w:val="0"/>
          <w:divBdr>
            <w:top w:val="none" w:sz="0" w:space="0" w:color="auto"/>
            <w:left w:val="none" w:sz="0" w:space="0" w:color="auto"/>
            <w:bottom w:val="none" w:sz="0" w:space="0" w:color="auto"/>
            <w:right w:val="none" w:sz="0" w:space="0" w:color="auto"/>
          </w:divBdr>
        </w:div>
        <w:div w:id="500051450">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8BEE-7129-4EF7-A5F2-2692EDE2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6902</Words>
  <Characters>39343</Characters>
  <Application>Microsoft Office Word</Application>
  <DocSecurity>0</DocSecurity>
  <Lines>327</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46153</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6</cp:revision>
  <cp:lastPrinted>2015-01-22T11:39:00Z</cp:lastPrinted>
  <dcterms:created xsi:type="dcterms:W3CDTF">2016-02-05T11:16:00Z</dcterms:created>
  <dcterms:modified xsi:type="dcterms:W3CDTF">2016-02-08T08:16:00Z</dcterms:modified>
</cp:coreProperties>
</file>