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55623E" w:rsidRDefault="0055623E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14376306" r:id="rId8"/>
        </w:object>
      </w:r>
    </w:p>
    <w:p w:rsidR="0055623E" w:rsidRDefault="0055623E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55623E" w:rsidRDefault="0055623E">
      <w:pPr>
        <w:pStyle w:val="Antrats"/>
        <w:jc w:val="center"/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Default="0055623E">
      <w:pPr>
        <w:pStyle w:val="Antrats"/>
        <w:jc w:val="center"/>
        <w:rPr>
          <w:b/>
          <w:sz w:val="28"/>
        </w:rPr>
      </w:pPr>
    </w:p>
    <w:p w:rsidR="000170E4" w:rsidRDefault="0055623E" w:rsidP="000170E4">
      <w:pPr>
        <w:pStyle w:val="Antrats"/>
        <w:jc w:val="center"/>
      </w:pPr>
      <w:r>
        <w:rPr>
          <w:b/>
          <w:sz w:val="28"/>
        </w:rPr>
        <w:t>SPRENDIMAS</w:t>
      </w:r>
    </w:p>
    <w:p w:rsidR="000170E4" w:rsidRDefault="000170E4" w:rsidP="000170E4">
      <w:pPr>
        <w:autoSpaceDN w:val="0"/>
        <w:jc w:val="center"/>
        <w:textAlignment w:val="baseline"/>
        <w:rPr>
          <w:rFonts w:eastAsia="Arial"/>
          <w:kern w:val="3"/>
          <w:lang w:eastAsia="lt-LT"/>
        </w:rPr>
      </w:pPr>
      <w:r>
        <w:rPr>
          <w:rFonts w:eastAsia="Arial"/>
          <w:b/>
          <w:bCs/>
          <w:kern w:val="3"/>
          <w:sz w:val="24"/>
          <w:szCs w:val="24"/>
          <w:lang w:eastAsia="en-US"/>
        </w:rPr>
        <w:t>DĖL UŽDAROSIOS AKCINĖS BENDROVĖS „LENAUDA“ ŠILUMOS KAINOS DEDAMŲJŲ ANTRIESIEMS BAZINĖS KAINOS GALIOJIMO METAMS NUSTATYMO</w:t>
      </w:r>
    </w:p>
    <w:p w:rsidR="000170E4" w:rsidRDefault="000170E4" w:rsidP="000170E4">
      <w:pPr>
        <w:autoSpaceDN w:val="0"/>
        <w:jc w:val="center"/>
        <w:textAlignment w:val="baseline"/>
        <w:rPr>
          <w:rFonts w:eastAsia="Arial"/>
          <w:kern w:val="3"/>
          <w:sz w:val="24"/>
          <w:szCs w:val="24"/>
          <w:lang w:val="en-US" w:eastAsia="en-US"/>
        </w:rPr>
      </w:pPr>
    </w:p>
    <w:p w:rsidR="000170E4" w:rsidRDefault="000170E4" w:rsidP="000170E4">
      <w:pPr>
        <w:autoSpaceDN w:val="0"/>
        <w:jc w:val="center"/>
        <w:textAlignment w:val="baseline"/>
        <w:rPr>
          <w:kern w:val="3"/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>2016 m. sausio 28 d. Nr. T-</w:t>
      </w:r>
    </w:p>
    <w:p w:rsidR="000170E4" w:rsidRDefault="000170E4" w:rsidP="000170E4">
      <w:pPr>
        <w:keepNext/>
        <w:widowControl w:val="0"/>
        <w:autoSpaceDN w:val="0"/>
        <w:jc w:val="center"/>
        <w:textAlignment w:val="baseline"/>
        <w:outlineLvl w:val="0"/>
        <w:rPr>
          <w:kern w:val="3"/>
          <w:sz w:val="24"/>
          <w:lang w:eastAsia="lt-LT"/>
        </w:rPr>
      </w:pPr>
      <w:r>
        <w:rPr>
          <w:kern w:val="3"/>
          <w:sz w:val="24"/>
          <w:lang w:eastAsia="lt-LT"/>
        </w:rPr>
        <w:t>Panevėžys</w:t>
      </w:r>
    </w:p>
    <w:p w:rsidR="000170E4" w:rsidRDefault="000170E4" w:rsidP="000170E4">
      <w:pPr>
        <w:autoSpaceDN w:val="0"/>
        <w:jc w:val="center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jc w:val="center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tabs>
          <w:tab w:val="left" w:pos="720"/>
        </w:tabs>
        <w:autoSpaceDN w:val="0"/>
        <w:ind w:firstLine="709"/>
        <w:jc w:val="both"/>
        <w:textAlignment w:val="baseline"/>
        <w:rPr>
          <w:rFonts w:eastAsia="Calibri"/>
          <w:kern w:val="3"/>
          <w:sz w:val="24"/>
          <w:lang w:eastAsia="lt-LT"/>
        </w:rPr>
      </w:pPr>
      <w:r>
        <w:rPr>
          <w:rFonts w:eastAsia="Calibri"/>
          <w:kern w:val="3"/>
          <w:sz w:val="24"/>
          <w:lang w:eastAsia="lt-LT"/>
        </w:rPr>
        <w:t xml:space="preserve">Vadovaudamasi Lietuvos Respublikos vietos savivaldos įstatymo 16 straipsnio 2 dalies </w:t>
      </w:r>
      <w:r>
        <w:rPr>
          <w:rFonts w:eastAsia="Calibri"/>
          <w:kern w:val="3"/>
          <w:sz w:val="24"/>
          <w:lang w:eastAsia="lt-LT"/>
        </w:rPr>
        <w:br/>
        <w:t xml:space="preserve">37 punktu, Šilumos ūkio įstatymo 32 straipsnio 7 dalimi, Šilumos kainų nustatymo metodika, patvirtinta Valstybinės kainų ir energetikos kontrolės komisijos 2009 m. liepos 8 d. nutarimu </w:t>
      </w:r>
      <w:r>
        <w:rPr>
          <w:rFonts w:eastAsia="Calibri"/>
          <w:kern w:val="3"/>
          <w:sz w:val="24"/>
          <w:lang w:eastAsia="lt-LT"/>
        </w:rPr>
        <w:br/>
        <w:t xml:space="preserve">Nr. 03-96 „Dėl Šilumos kainų nustatymo metodikos“, atsižvelgdama į uždarosios akcinės bendrovės „Lenauda“ 2015 m. gruodžio 21 d. raštą Nr. 220, </w:t>
      </w:r>
      <w:r>
        <w:rPr>
          <w:rFonts w:eastAsia="Calibri"/>
          <w:kern w:val="3"/>
          <w:sz w:val="24"/>
          <w:lang w:eastAsia="en-US"/>
        </w:rPr>
        <w:t>Savivaldybės taryba n u s p r e n d ž i a:</w:t>
      </w:r>
    </w:p>
    <w:p w:rsidR="000170E4" w:rsidRDefault="000170E4" w:rsidP="000170E4">
      <w:pPr>
        <w:tabs>
          <w:tab w:val="left" w:pos="720"/>
        </w:tabs>
        <w:autoSpaceDN w:val="0"/>
        <w:ind w:firstLine="709"/>
        <w:jc w:val="both"/>
        <w:textAlignment w:val="baseline"/>
        <w:rPr>
          <w:rFonts w:eastAsia="Calibri"/>
          <w:kern w:val="3"/>
          <w:sz w:val="24"/>
          <w:szCs w:val="24"/>
          <w:lang w:eastAsia="en-US"/>
        </w:rPr>
      </w:pPr>
      <w:r>
        <w:rPr>
          <w:rFonts w:eastAsia="Calibri"/>
          <w:kern w:val="3"/>
          <w:sz w:val="24"/>
          <w:lang w:eastAsia="en-US"/>
        </w:rPr>
        <w:t xml:space="preserve">1. </w:t>
      </w:r>
      <w:r>
        <w:rPr>
          <w:rFonts w:eastAsia="Calibri"/>
          <w:kern w:val="3"/>
          <w:sz w:val="24"/>
          <w:szCs w:val="24"/>
          <w:lang w:eastAsia="en-US"/>
        </w:rPr>
        <w:t xml:space="preserve">Nustatyti uždarosios akcinės bendrovės „Lenauda“ šilumos vienanarės kainos, išreiškiamos formule </w:t>
      </w:r>
      <w:r>
        <w:rPr>
          <w:color w:val="000000"/>
          <w:kern w:val="3"/>
          <w:sz w:val="24"/>
          <w:szCs w:val="24"/>
          <w:lang w:eastAsia="en-US"/>
        </w:rPr>
        <w:t xml:space="preserve">2,48 + </w:t>
      </w:r>
      <w:r>
        <w:rPr>
          <w:color w:val="000000"/>
          <w:kern w:val="3"/>
          <w:sz w:val="22"/>
          <w:szCs w:val="22"/>
          <w:lang w:eastAsia="en-US"/>
        </w:rPr>
        <w:t>T</w:t>
      </w:r>
      <w:r>
        <w:rPr>
          <w:color w:val="000000"/>
          <w:kern w:val="3"/>
          <w:sz w:val="14"/>
          <w:szCs w:val="14"/>
          <w:lang w:eastAsia="en-US"/>
        </w:rPr>
        <w:t xml:space="preserve">KD </w:t>
      </w:r>
      <w:r>
        <w:rPr>
          <w:rFonts w:eastAsia="Calibri"/>
          <w:kern w:val="3"/>
          <w:sz w:val="24"/>
          <w:szCs w:val="24"/>
          <w:lang w:eastAsia="en-US"/>
        </w:rPr>
        <w:t>dedamąsias antriesiems šilumos bazinės kainos galiojimo metams (be PVM):</w:t>
      </w:r>
    </w:p>
    <w:p w:rsidR="000170E4" w:rsidRDefault="000170E4" w:rsidP="000170E4">
      <w:pPr>
        <w:autoSpaceDN w:val="0"/>
        <w:ind w:firstLine="709"/>
        <w:textAlignment w:val="baseline"/>
        <w:rPr>
          <w:kern w:val="3"/>
          <w:lang w:eastAsia="lt-LT"/>
        </w:rPr>
      </w:pPr>
      <w:r>
        <w:rPr>
          <w:kern w:val="3"/>
          <w:sz w:val="24"/>
          <w:szCs w:val="24"/>
          <w:lang w:eastAsia="en-US"/>
        </w:rPr>
        <w:t xml:space="preserve">1.1. vienanarės kainos pastoviąją dedamąją </w:t>
      </w:r>
      <w:r>
        <w:rPr>
          <w:color w:val="000000"/>
          <w:kern w:val="3"/>
          <w:sz w:val="24"/>
          <w:szCs w:val="24"/>
          <w:lang w:eastAsia="en-US"/>
        </w:rPr>
        <w:t xml:space="preserve">− </w:t>
      </w:r>
      <w:r>
        <w:rPr>
          <w:kern w:val="3"/>
          <w:sz w:val="24"/>
          <w:szCs w:val="24"/>
          <w:lang w:eastAsia="en-US"/>
        </w:rPr>
        <w:t>2,48 ct/kWh;</w:t>
      </w:r>
    </w:p>
    <w:p w:rsidR="000170E4" w:rsidRDefault="000170E4" w:rsidP="000170E4">
      <w:pPr>
        <w:tabs>
          <w:tab w:val="left" w:pos="720"/>
        </w:tabs>
        <w:autoSpaceDN w:val="0"/>
        <w:jc w:val="both"/>
        <w:textAlignment w:val="baseline"/>
        <w:rPr>
          <w:rFonts w:eastAsia="Calibri"/>
          <w:kern w:val="3"/>
          <w:sz w:val="24"/>
          <w:szCs w:val="24"/>
          <w:lang w:eastAsia="en-US"/>
        </w:rPr>
      </w:pPr>
      <w:r>
        <w:rPr>
          <w:rFonts w:eastAsia="Calibri"/>
          <w:kern w:val="3"/>
          <w:sz w:val="24"/>
          <w:szCs w:val="24"/>
          <w:lang w:eastAsia="en-US"/>
        </w:rPr>
        <w:tab/>
        <w:t>1.2. vienanarės kainos kintamąją dedamąją</w:t>
      </w:r>
      <w:r>
        <w:rPr>
          <w:rFonts w:eastAsia="Calibri"/>
          <w:color w:val="000000"/>
          <w:kern w:val="3"/>
          <w:sz w:val="24"/>
          <w:szCs w:val="24"/>
          <w:lang w:eastAsia="en-US"/>
        </w:rPr>
        <w:t xml:space="preserve"> </w:t>
      </w:r>
      <w:r>
        <w:rPr>
          <w:color w:val="000000"/>
          <w:kern w:val="3"/>
          <w:sz w:val="24"/>
          <w:szCs w:val="24"/>
          <w:lang w:eastAsia="en-US"/>
        </w:rPr>
        <w:t>–</w:t>
      </w:r>
      <w:r>
        <w:rPr>
          <w:rFonts w:eastAsia="Calibri"/>
          <w:kern w:val="3"/>
          <w:sz w:val="24"/>
          <w:szCs w:val="24"/>
          <w:lang w:eastAsia="en-US"/>
        </w:rPr>
        <w:t xml:space="preserve"> </w:t>
      </w:r>
      <w:r>
        <w:rPr>
          <w:color w:val="000000"/>
          <w:kern w:val="3"/>
          <w:sz w:val="22"/>
          <w:szCs w:val="22"/>
          <w:lang w:eastAsia="en-US"/>
        </w:rPr>
        <w:t>T</w:t>
      </w:r>
      <w:r>
        <w:rPr>
          <w:color w:val="000000"/>
          <w:kern w:val="3"/>
          <w:sz w:val="14"/>
          <w:szCs w:val="14"/>
          <w:lang w:eastAsia="en-US"/>
        </w:rPr>
        <w:t>KD</w:t>
      </w:r>
      <w:r>
        <w:rPr>
          <w:color w:val="000000"/>
          <w:kern w:val="3"/>
          <w:sz w:val="24"/>
          <w:szCs w:val="24"/>
          <w:lang w:eastAsia="en-US"/>
        </w:rPr>
        <w:t>:</w:t>
      </w:r>
    </w:p>
    <w:tbl>
      <w:tblPr>
        <w:tblW w:w="9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1275"/>
        <w:gridCol w:w="4975"/>
      </w:tblGrid>
      <w:tr w:rsidR="000170E4" w:rsidTr="000170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0E4" w:rsidRDefault="000170E4">
            <w:pPr>
              <w:autoSpaceDN w:val="0"/>
              <w:snapToGrid w:val="0"/>
              <w:textAlignment w:val="baseline"/>
              <w:rPr>
                <w:kern w:val="3"/>
                <w:sz w:val="24"/>
                <w:szCs w:val="24"/>
                <w:lang w:eastAsia="lt-LT"/>
              </w:rPr>
            </w:pPr>
            <w:r>
              <w:rPr>
                <w:kern w:val="3"/>
                <w:sz w:val="24"/>
                <w:szCs w:val="24"/>
                <w:lang w:eastAsia="lt-LT"/>
              </w:rPr>
              <w:t>Vienanarės šilumos kainos kintamoji dedamoji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0E4" w:rsidRDefault="000170E4">
            <w:pPr>
              <w:autoSpaceDN w:val="0"/>
              <w:snapToGrid w:val="0"/>
              <w:textAlignment w:val="baseline"/>
              <w:rPr>
                <w:kern w:val="3"/>
                <w:lang w:eastAsia="lt-LT"/>
              </w:rPr>
            </w:pPr>
            <w:r>
              <w:rPr>
                <w:color w:val="000000"/>
                <w:kern w:val="3"/>
                <w:sz w:val="22"/>
                <w:szCs w:val="22"/>
                <w:lang w:eastAsia="en-US"/>
              </w:rPr>
              <w:t>T</w:t>
            </w:r>
            <w:r>
              <w:rPr>
                <w:color w:val="000000"/>
                <w:kern w:val="3"/>
                <w:sz w:val="14"/>
                <w:szCs w:val="14"/>
                <w:lang w:eastAsia="en-US"/>
              </w:rPr>
              <w:t>KD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0E4" w:rsidRDefault="000170E4">
            <w:pPr>
              <w:autoSpaceDN w:val="0"/>
              <w:snapToGrid w:val="0"/>
              <w:textAlignment w:val="baseline"/>
              <w:rPr>
                <w:kern w:val="3"/>
                <w:lang w:eastAsia="lt-LT"/>
              </w:rPr>
            </w:pPr>
            <w:r>
              <w:rPr>
                <w:kern w:val="3"/>
                <w:sz w:val="24"/>
                <w:szCs w:val="24"/>
                <w:lang w:eastAsia="lt-LT"/>
              </w:rPr>
              <w:t>0,27+(63,28 x T</w:t>
            </w:r>
            <w:r>
              <w:rPr>
                <w:kern w:val="3"/>
                <w:sz w:val="24"/>
                <w:szCs w:val="24"/>
                <w:vertAlign w:val="subscript"/>
                <w:lang w:eastAsia="lt-LT"/>
              </w:rPr>
              <w:t xml:space="preserve">d </w:t>
            </w:r>
            <w:r>
              <w:rPr>
                <w:kern w:val="3"/>
                <w:sz w:val="24"/>
                <w:szCs w:val="24"/>
                <w:lang w:eastAsia="lt-LT"/>
              </w:rPr>
              <w:t>)/(0,550 x 10 000)</w:t>
            </w:r>
          </w:p>
        </w:tc>
      </w:tr>
    </w:tbl>
    <w:p w:rsidR="000170E4" w:rsidRDefault="000170E4" w:rsidP="000170E4">
      <w:pPr>
        <w:autoSpaceDN w:val="0"/>
        <w:ind w:firstLine="720"/>
        <w:textAlignment w:val="baseline"/>
        <w:rPr>
          <w:kern w:val="3"/>
          <w:sz w:val="24"/>
          <w:szCs w:val="24"/>
          <w:lang w:eastAsia="en-US"/>
        </w:rPr>
      </w:pPr>
      <w:r>
        <w:rPr>
          <w:kern w:val="3"/>
          <w:sz w:val="24"/>
          <w:szCs w:val="24"/>
          <w:lang w:eastAsia="en-US"/>
        </w:rPr>
        <w:t>T</w:t>
      </w:r>
      <w:r>
        <w:rPr>
          <w:kern w:val="3"/>
          <w:sz w:val="24"/>
          <w:szCs w:val="24"/>
          <w:vertAlign w:val="subscript"/>
          <w:lang w:eastAsia="en-US"/>
        </w:rPr>
        <w:t xml:space="preserve">d </w:t>
      </w:r>
      <w:r>
        <w:rPr>
          <w:kern w:val="3"/>
          <w:sz w:val="24"/>
          <w:szCs w:val="24"/>
          <w:lang w:eastAsia="en-US"/>
        </w:rPr>
        <w:t xml:space="preserve"> – gamtinių dujų kaina (eurais / 1 000 m³).</w:t>
      </w: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>2. Paskirstyti 12 mėnesių nepadengtas sąnaudas 403,99 Eur, susidariusias dėl kuro faktinių kainų ir nustatant šilumos kainas įskaičiuotų kainų skirtumo, didinant šilumos kainą 0,07 ct/kWh ir papildomai gautas pajamas 34 Eur, mažinant šilumos kainą 0,01 ct/kWh.</w:t>
      </w: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textAlignment w:val="baseline"/>
        <w:rPr>
          <w:kern w:val="3"/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>Šis sprendimas gali būti skundžiamas Lietuvos Respublikos administracinių bylų teisenos įstatymo nustatyta tvarka.</w:t>
      </w: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jc w:val="both"/>
        <w:textAlignment w:val="baseline"/>
        <w:rPr>
          <w:kern w:val="3"/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lastRenderedPageBreak/>
        <w:tab/>
      </w:r>
      <w:r>
        <w:rPr>
          <w:b/>
          <w:kern w:val="3"/>
          <w:sz w:val="24"/>
          <w:szCs w:val="24"/>
          <w:lang w:eastAsia="lt-LT"/>
        </w:rPr>
        <w:t>PANEVĖŽIO RAJONO SAVIVALDYBĖS ADMINISTRACIJOS</w:t>
      </w:r>
    </w:p>
    <w:p w:rsidR="000170E4" w:rsidRDefault="000170E4" w:rsidP="000170E4">
      <w:pPr>
        <w:autoSpaceDN w:val="0"/>
        <w:jc w:val="center"/>
        <w:textAlignment w:val="baseline"/>
        <w:rPr>
          <w:b/>
          <w:kern w:val="3"/>
          <w:sz w:val="24"/>
          <w:szCs w:val="24"/>
          <w:lang w:eastAsia="lt-LT"/>
        </w:rPr>
      </w:pPr>
      <w:r>
        <w:rPr>
          <w:b/>
          <w:kern w:val="3"/>
          <w:sz w:val="24"/>
          <w:szCs w:val="24"/>
          <w:lang w:eastAsia="lt-LT"/>
        </w:rPr>
        <w:t>EKONOMIKOS IR TURTO VALDYMO SKYRIUS</w:t>
      </w:r>
    </w:p>
    <w:p w:rsidR="000170E4" w:rsidRDefault="000170E4" w:rsidP="000170E4">
      <w:pPr>
        <w:keepNext/>
        <w:widowControl w:val="0"/>
        <w:numPr>
          <w:ilvl w:val="0"/>
          <w:numId w:val="9"/>
        </w:numPr>
        <w:autoSpaceDN w:val="0"/>
        <w:spacing w:before="240" w:after="60"/>
        <w:ind w:left="0" w:firstLine="0"/>
        <w:textAlignment w:val="baseline"/>
        <w:outlineLvl w:val="3"/>
        <w:rPr>
          <w:bCs/>
          <w:kern w:val="3"/>
          <w:sz w:val="24"/>
          <w:szCs w:val="24"/>
          <w:lang w:eastAsia="lt-LT"/>
        </w:rPr>
      </w:pPr>
      <w:r>
        <w:rPr>
          <w:bCs/>
          <w:kern w:val="3"/>
          <w:sz w:val="24"/>
          <w:szCs w:val="24"/>
          <w:lang w:eastAsia="lt-LT"/>
        </w:rPr>
        <w:t>Panevėžio rajono savivaldybės tarybai</w:t>
      </w:r>
    </w:p>
    <w:p w:rsidR="000170E4" w:rsidRDefault="000170E4" w:rsidP="000170E4">
      <w:pPr>
        <w:shd w:val="clear" w:color="auto" w:fill="FFFFFF"/>
        <w:autoSpaceDN w:val="0"/>
        <w:spacing w:line="274" w:lineRule="exact"/>
        <w:ind w:right="38"/>
        <w:jc w:val="center"/>
        <w:textAlignment w:val="baseline"/>
        <w:rPr>
          <w:b/>
          <w:kern w:val="3"/>
          <w:sz w:val="24"/>
          <w:szCs w:val="24"/>
          <w:lang w:eastAsia="lt-LT"/>
        </w:rPr>
      </w:pPr>
    </w:p>
    <w:p w:rsidR="000170E4" w:rsidRDefault="000170E4" w:rsidP="000170E4">
      <w:pPr>
        <w:shd w:val="clear" w:color="auto" w:fill="FFFFFF"/>
        <w:autoSpaceDN w:val="0"/>
        <w:spacing w:line="274" w:lineRule="exact"/>
        <w:ind w:right="38"/>
        <w:jc w:val="center"/>
        <w:textAlignment w:val="baseline"/>
        <w:rPr>
          <w:kern w:val="3"/>
          <w:lang w:eastAsia="lt-LT"/>
        </w:rPr>
      </w:pPr>
      <w:r>
        <w:rPr>
          <w:b/>
          <w:kern w:val="3"/>
          <w:sz w:val="24"/>
          <w:szCs w:val="24"/>
          <w:lang w:eastAsia="lt-LT"/>
        </w:rPr>
        <w:t xml:space="preserve">AIŠKINAMASIS RAŠTAS DĖL SPRENDIMO </w:t>
      </w:r>
      <w:r>
        <w:rPr>
          <w:b/>
          <w:bCs/>
          <w:kern w:val="3"/>
          <w:sz w:val="24"/>
          <w:szCs w:val="24"/>
          <w:lang w:eastAsia="en-US"/>
        </w:rPr>
        <w:t>„</w:t>
      </w:r>
      <w:bookmarkStart w:id="1" w:name="Pavadinimas3"/>
      <w:r>
        <w:rPr>
          <w:b/>
          <w:bCs/>
          <w:kern w:val="3"/>
          <w:sz w:val="24"/>
          <w:szCs w:val="24"/>
          <w:lang w:eastAsia="en-US"/>
        </w:rPr>
        <w:t xml:space="preserve">DĖL </w:t>
      </w:r>
      <w:bookmarkEnd w:id="1"/>
      <w:r>
        <w:rPr>
          <w:b/>
          <w:bCs/>
          <w:kern w:val="3"/>
          <w:sz w:val="24"/>
          <w:szCs w:val="24"/>
          <w:lang w:eastAsia="en-US"/>
        </w:rPr>
        <w:t>UŽDAROSIOS AKCINĖS BENDROVĖS „LENAUDA“ ŠILUMOS KAINOS DEDAMŲJŲ ANTRIESIEMS BAZINĖS KAINOS GALIOJIMO METAMS NUSTATYMO</w:t>
      </w:r>
      <w:bookmarkStart w:id="2" w:name="Pavadinimas2"/>
      <w:bookmarkStart w:id="3" w:name="Pavadinimas1"/>
      <w:r>
        <w:rPr>
          <w:b/>
          <w:bCs/>
          <w:kern w:val="3"/>
          <w:sz w:val="24"/>
          <w:szCs w:val="24"/>
          <w:lang w:eastAsia="en-US"/>
        </w:rPr>
        <w:t xml:space="preserve">“ </w:t>
      </w:r>
      <w:bookmarkEnd w:id="2"/>
      <w:bookmarkEnd w:id="3"/>
      <w:r>
        <w:rPr>
          <w:b/>
          <w:kern w:val="3"/>
          <w:sz w:val="24"/>
          <w:szCs w:val="24"/>
          <w:lang w:eastAsia="lt-LT"/>
        </w:rPr>
        <w:t>PROJEKTO</w:t>
      </w:r>
    </w:p>
    <w:p w:rsidR="000170E4" w:rsidRDefault="000170E4" w:rsidP="000170E4">
      <w:pPr>
        <w:autoSpaceDN w:val="0"/>
        <w:jc w:val="center"/>
        <w:textAlignment w:val="baseline"/>
        <w:rPr>
          <w:b/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jc w:val="center"/>
        <w:textAlignment w:val="baseline"/>
        <w:rPr>
          <w:kern w:val="3"/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>2016-01-15</w:t>
      </w:r>
    </w:p>
    <w:p w:rsidR="000170E4" w:rsidRDefault="000170E4" w:rsidP="000170E4">
      <w:pPr>
        <w:autoSpaceDN w:val="0"/>
        <w:jc w:val="center"/>
        <w:textAlignment w:val="baseline"/>
        <w:rPr>
          <w:kern w:val="3"/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>Panevėžys</w:t>
      </w:r>
    </w:p>
    <w:p w:rsidR="000170E4" w:rsidRDefault="000170E4" w:rsidP="000170E4">
      <w:pPr>
        <w:autoSpaceDN w:val="0"/>
        <w:spacing w:after="120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b/>
          <w:kern w:val="3"/>
          <w:sz w:val="24"/>
          <w:szCs w:val="24"/>
          <w:lang w:eastAsia="lt-LT"/>
        </w:rPr>
      </w:pPr>
      <w:r>
        <w:rPr>
          <w:b/>
          <w:kern w:val="3"/>
          <w:sz w:val="24"/>
          <w:szCs w:val="24"/>
          <w:lang w:eastAsia="lt-LT"/>
        </w:rPr>
        <w:t>Projekto rengimą paskatinusios priežastys</w:t>
      </w:r>
    </w:p>
    <w:p w:rsidR="000170E4" w:rsidRDefault="000170E4" w:rsidP="000170E4">
      <w:pPr>
        <w:autoSpaceDN w:val="0"/>
        <w:ind w:firstLine="720"/>
        <w:jc w:val="both"/>
        <w:textAlignment w:val="baseline"/>
        <w:rPr>
          <w:rFonts w:eastAsia="Calibri"/>
          <w:kern w:val="3"/>
          <w:sz w:val="24"/>
          <w:lang w:eastAsia="lt-LT"/>
        </w:rPr>
      </w:pPr>
      <w:r>
        <w:rPr>
          <w:rFonts w:eastAsia="Calibri"/>
          <w:kern w:val="3"/>
          <w:sz w:val="24"/>
          <w:szCs w:val="24"/>
          <w:lang w:eastAsia="lt-LT"/>
        </w:rPr>
        <w:t xml:space="preserve">Uždarosios akcinės bendrovės „Lenauda“ 2015 m. gruodžio 21 d. raštas Nr. 220.           </w:t>
      </w:r>
    </w:p>
    <w:p w:rsidR="000170E4" w:rsidRDefault="000170E4" w:rsidP="000170E4">
      <w:pPr>
        <w:autoSpaceDN w:val="0"/>
        <w:ind w:firstLine="720"/>
        <w:jc w:val="both"/>
        <w:textAlignment w:val="baseline"/>
        <w:rPr>
          <w:rFonts w:eastAsia="Calibri"/>
          <w:kern w:val="3"/>
          <w:sz w:val="24"/>
          <w:lang w:eastAsia="lt-LT"/>
        </w:rPr>
      </w:pPr>
      <w:r>
        <w:rPr>
          <w:rFonts w:eastAsia="Calibri"/>
          <w:b/>
          <w:kern w:val="3"/>
          <w:sz w:val="24"/>
          <w:szCs w:val="24"/>
          <w:lang w:eastAsia="lt-LT"/>
        </w:rPr>
        <w:t>Sprendimo projekto esmė ir tikslai</w:t>
      </w: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>Sprendimo projekto tikslas – nustatyti šilumos kainos dedamąsias antriesiems šilumos bazinės kainos galiojimo metams, siekiant įgyvendinti Šilumos ūkio įstatymo 32 straipsnio 7 dalies nuostatas.</w:t>
      </w:r>
      <w:r>
        <w:rPr>
          <w:sz w:val="24"/>
          <w:szCs w:val="24"/>
        </w:rPr>
        <w:t xml:space="preserve"> Šilumos ūkio įstatymo 32 straipsnio 7 dalyje įteisinta nuostata, kad savivaldybės taryba</w:t>
      </w:r>
      <w:r>
        <w:rPr>
          <w:sz w:val="24"/>
          <w:szCs w:val="24"/>
          <w:lang w:eastAsia="lt-LT"/>
        </w:rPr>
        <w:t xml:space="preserve"> nustato šilumos kainos dedamąsias, kurios galioja ne ilgiau kaip 12 mėnesių nuo jų įsigaliojimo dienos. </w:t>
      </w:r>
      <w:r>
        <w:rPr>
          <w:sz w:val="24"/>
          <w:szCs w:val="24"/>
        </w:rPr>
        <w:t xml:space="preserve">Pagal nustatytas dedamąsias kas mėnesį nustatomos naujos šilumos kainos. Pastovioji dedamoji nekeičiama visus metus, o kas mėnesį perskaičiuojama tik kintamoji dedamoji, atsižvelgiant į kuro kainas rinkoje. </w:t>
      </w:r>
      <w:r>
        <w:rPr>
          <w:kern w:val="3"/>
          <w:sz w:val="24"/>
          <w:szCs w:val="24"/>
          <w:lang w:eastAsia="lt-LT"/>
        </w:rPr>
        <w:t>Pateikiame 2015 m. kainų pokytį:</w:t>
      </w:r>
    </w:p>
    <w:tbl>
      <w:tblPr>
        <w:tblW w:w="0" w:type="auto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6"/>
        <w:gridCol w:w="850"/>
        <w:gridCol w:w="993"/>
        <w:gridCol w:w="1134"/>
        <w:gridCol w:w="1134"/>
        <w:gridCol w:w="992"/>
        <w:gridCol w:w="992"/>
        <w:gridCol w:w="992"/>
        <w:gridCol w:w="993"/>
      </w:tblGrid>
      <w:tr w:rsidR="000170E4" w:rsidTr="000170E4"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70E4" w:rsidRDefault="000170E4">
            <w:pPr>
              <w:widowControl w:val="0"/>
              <w:suppressLineNumber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0170E4" w:rsidRDefault="000170E4">
            <w:pPr>
              <w:widowControl w:val="0"/>
              <w:suppressLineNumbers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0170E4" w:rsidRDefault="000170E4">
            <w:pPr>
              <w:widowControl w:val="0"/>
              <w:suppressLineNumber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Kaina galiojo nuo</w:t>
            </w:r>
          </w:p>
        </w:tc>
        <w:tc>
          <w:tcPr>
            <w:tcW w:w="80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Šilumos kaina</w:t>
            </w:r>
          </w:p>
        </w:tc>
      </w:tr>
      <w:tr w:rsidR="000170E4" w:rsidTr="000170E4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0E4" w:rsidRDefault="000170E4">
            <w:pPr>
              <w:suppressAutoHyphens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Vienanarė</w:t>
            </w:r>
          </w:p>
          <w:p w:rsidR="000170E4" w:rsidRDefault="000170E4">
            <w:pPr>
              <w:widowControl w:val="0"/>
              <w:suppressLineNumber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Pastovioji</w:t>
            </w:r>
          </w:p>
          <w:p w:rsidR="000170E4" w:rsidRDefault="000170E4">
            <w:pPr>
              <w:widowControl w:val="0"/>
              <w:suppressLineNumber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Kintamoji</w:t>
            </w:r>
          </w:p>
          <w:p w:rsidR="000170E4" w:rsidRDefault="000170E4">
            <w:pPr>
              <w:widowControl w:val="0"/>
              <w:suppressLineNumber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Dėl kuro kainų skirtumo susidariusios nepadengtos kuro sąnaudos</w:t>
            </w:r>
          </w:p>
        </w:tc>
      </w:tr>
      <w:tr w:rsidR="000170E4" w:rsidTr="000170E4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0E4" w:rsidRDefault="000170E4">
            <w:pPr>
              <w:suppressAutoHyphens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ct/kWh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ct/kWh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ct/kWh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ct/kWh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ct/kWh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ct/kWh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ct/kWh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ct/kWh</w:t>
            </w:r>
          </w:p>
        </w:tc>
      </w:tr>
      <w:tr w:rsidR="000170E4" w:rsidTr="000170E4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2015-01-01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7,73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26,69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2,51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8,68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5,04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17,40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0,18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0,61</w:t>
            </w:r>
          </w:p>
        </w:tc>
      </w:tr>
      <w:tr w:rsidR="000170E4" w:rsidTr="000170E4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2015-02-01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7,65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26,41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2,51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8,68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4,96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17,12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0,18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0,61</w:t>
            </w:r>
          </w:p>
        </w:tc>
      </w:tr>
      <w:tr w:rsidR="000170E4" w:rsidTr="000170E4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2015-03-01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7,88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27,20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2,51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8,68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5,19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17,91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0,18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0,61</w:t>
            </w:r>
          </w:p>
        </w:tc>
      </w:tr>
      <w:tr w:rsidR="000170E4" w:rsidTr="000170E4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2015-04-01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7,65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26,41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2,51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8,68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4,96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17,12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0,18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0,61</w:t>
            </w:r>
          </w:p>
        </w:tc>
      </w:tr>
      <w:tr w:rsidR="000170E4" w:rsidTr="000170E4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2015-05-01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8,11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28,00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2,51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8,68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5,42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18,71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0,18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0,61</w:t>
            </w:r>
          </w:p>
        </w:tc>
      </w:tr>
      <w:tr w:rsidR="000170E4" w:rsidTr="000170E4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2015-06-01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7,95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27,45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2,51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8,68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5,26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18,16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0,18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0,61</w:t>
            </w:r>
          </w:p>
        </w:tc>
      </w:tr>
      <w:tr w:rsidR="000170E4" w:rsidTr="000170E4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2015-07-01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8,20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28,31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2,51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8,68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5,51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19,02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0,18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0,61</w:t>
            </w:r>
          </w:p>
        </w:tc>
      </w:tr>
      <w:tr w:rsidR="000170E4" w:rsidTr="000170E4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2015-08-01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7,77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26,83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2,51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8,68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5,08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17,54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0,18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0,61</w:t>
            </w:r>
          </w:p>
        </w:tc>
      </w:tr>
      <w:tr w:rsidR="000170E4" w:rsidTr="000170E4">
        <w:trPr>
          <w:trHeight w:val="250"/>
        </w:trPr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2015-09-01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7,82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27,00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2,51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8,68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5,13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17,71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0,18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0,61</w:t>
            </w:r>
          </w:p>
        </w:tc>
      </w:tr>
      <w:tr w:rsidR="000170E4" w:rsidTr="000170E4"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2015-10-01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7,82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27,00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2,51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8,68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5,13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17,71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0,18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0,61</w:t>
            </w:r>
          </w:p>
        </w:tc>
      </w:tr>
      <w:tr w:rsidR="000170E4" w:rsidTr="000170E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2015-11-01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5,26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0,61</w:t>
            </w:r>
          </w:p>
        </w:tc>
      </w:tr>
      <w:tr w:rsidR="000170E4" w:rsidTr="000170E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2015-12-01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17,08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E4" w:rsidRDefault="000170E4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lang w:eastAsia="lt-LT"/>
        </w:rPr>
      </w:pPr>
    </w:p>
    <w:p w:rsidR="000170E4" w:rsidRDefault="000170E4" w:rsidP="000170E4">
      <w:pPr>
        <w:tabs>
          <w:tab w:val="left" w:pos="720"/>
        </w:tabs>
        <w:autoSpaceDN w:val="0"/>
        <w:jc w:val="both"/>
        <w:textAlignment w:val="baseline"/>
        <w:rPr>
          <w:kern w:val="3"/>
          <w:sz w:val="24"/>
          <w:szCs w:val="24"/>
          <w:lang w:val="en-US" w:eastAsia="lt-LT"/>
        </w:rPr>
      </w:pPr>
      <w:r>
        <w:rPr>
          <w:kern w:val="3"/>
          <w:sz w:val="24"/>
          <w:szCs w:val="24"/>
          <w:lang w:eastAsia="lt-LT"/>
        </w:rPr>
        <w:tab/>
      </w:r>
      <w:r>
        <w:rPr>
          <w:b/>
          <w:kern w:val="3"/>
          <w:sz w:val="24"/>
          <w:szCs w:val="24"/>
          <w:lang w:eastAsia="lt-LT"/>
        </w:rPr>
        <w:t>Kokių pozityvių rezultatų laukiama</w:t>
      </w:r>
    </w:p>
    <w:p w:rsidR="000170E4" w:rsidRDefault="000170E4" w:rsidP="000170E4">
      <w:pPr>
        <w:tabs>
          <w:tab w:val="left" w:pos="720"/>
        </w:tabs>
        <w:autoSpaceDN w:val="0"/>
        <w:jc w:val="both"/>
        <w:textAlignment w:val="baseline"/>
        <w:rPr>
          <w:kern w:val="3"/>
          <w:sz w:val="24"/>
          <w:szCs w:val="24"/>
          <w:lang w:val="en-US" w:eastAsia="lt-LT"/>
        </w:rPr>
      </w:pPr>
      <w:r>
        <w:rPr>
          <w:b/>
          <w:kern w:val="3"/>
          <w:sz w:val="24"/>
          <w:szCs w:val="24"/>
          <w:lang w:eastAsia="lt-LT"/>
        </w:rPr>
        <w:tab/>
      </w:r>
      <w:r>
        <w:rPr>
          <w:kern w:val="3"/>
          <w:sz w:val="24"/>
          <w:szCs w:val="24"/>
          <w:lang w:eastAsia="lt-LT"/>
        </w:rPr>
        <w:t>Tarybos sprendimu bus nustatytos šilumos kainos dedamosios.</w:t>
      </w:r>
    </w:p>
    <w:p w:rsidR="000170E4" w:rsidRDefault="000170E4" w:rsidP="000170E4">
      <w:pPr>
        <w:tabs>
          <w:tab w:val="left" w:pos="720"/>
        </w:tabs>
        <w:autoSpaceDN w:val="0"/>
        <w:jc w:val="both"/>
        <w:textAlignment w:val="baseline"/>
        <w:rPr>
          <w:kern w:val="3"/>
          <w:sz w:val="24"/>
          <w:szCs w:val="24"/>
          <w:lang w:val="en-US" w:eastAsia="lt-LT"/>
        </w:rPr>
      </w:pPr>
    </w:p>
    <w:p w:rsidR="000170E4" w:rsidRDefault="000170E4" w:rsidP="000170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2016 m. sausio mėn. galiojančių ir projekcinių šilumos kainų palyginimas ct/kWh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75"/>
        <w:gridCol w:w="1966"/>
        <w:gridCol w:w="1968"/>
        <w:gridCol w:w="1437"/>
      </w:tblGrid>
      <w:tr w:rsidR="000170E4" w:rsidTr="000170E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</w:t>
            </w:r>
          </w:p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Šilumos kaina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Galiojanti kaina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Apskaičiuota projekcinė kaina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Pasikeitimas (proc.)</w:t>
            </w:r>
          </w:p>
        </w:tc>
      </w:tr>
      <w:tr w:rsidR="000170E4" w:rsidTr="000170E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Šilumos kaina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-2,8</w:t>
            </w:r>
          </w:p>
        </w:tc>
      </w:tr>
      <w:tr w:rsidR="000170E4" w:rsidTr="000170E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Pastovioji dedamoji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E4" w:rsidRDefault="000170E4">
            <w:pPr>
              <w:jc w:val="center"/>
              <w:rPr>
                <w:sz w:val="24"/>
                <w:szCs w:val="24"/>
              </w:rPr>
            </w:pPr>
          </w:p>
        </w:tc>
      </w:tr>
      <w:tr w:rsidR="000170E4" w:rsidTr="000170E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Kintamoji dedamoji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E4" w:rsidRDefault="000170E4">
            <w:pPr>
              <w:jc w:val="center"/>
              <w:rPr>
                <w:sz w:val="24"/>
                <w:szCs w:val="24"/>
              </w:rPr>
            </w:pPr>
          </w:p>
        </w:tc>
      </w:tr>
      <w:tr w:rsidR="000170E4" w:rsidTr="000170E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Nesusigrąžintos kuro sąnaudos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E4" w:rsidRDefault="00017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E4" w:rsidRDefault="000170E4">
            <w:pPr>
              <w:jc w:val="center"/>
              <w:rPr>
                <w:sz w:val="24"/>
                <w:szCs w:val="24"/>
              </w:rPr>
            </w:pPr>
          </w:p>
        </w:tc>
      </w:tr>
      <w:tr w:rsidR="000170E4" w:rsidTr="000170E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Gautos pajamos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E4" w:rsidRDefault="00017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4" w:rsidRDefault="00017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-0,01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E4" w:rsidRDefault="00017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70E4" w:rsidRDefault="000170E4" w:rsidP="000170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Nevertinant dėl kuro kainų skirtumo susidariusių nepadengtų kuro sąnaudų ir gautų pajamų, projekcinė šilumos kaina yra 8,11 ct/kWh arba 0,23 ct/kWh mažesnė nei šiuo metu galiojanti </w:t>
      </w:r>
      <w:r>
        <w:rPr>
          <w:sz w:val="24"/>
          <w:szCs w:val="24"/>
        </w:rPr>
        <w:br/>
        <w:t>(8,34 ct/kWh).</w:t>
      </w:r>
    </w:p>
    <w:p w:rsidR="000170E4" w:rsidRDefault="000170E4" w:rsidP="000170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Pastoviosios dedamosios mažėjimas susidaro dėl efektyvumo koeficiento, kuris nustatomas kaip pusė Lietuvos statistikos departamento skelbiamo šilumos kainos (kainos dedamųjų) perskaičiavimo ataskaitinio laikotarpio infliacijos dydžio, bet ne didesnis kaip 3 procentai (infliacijos dydžiu laikomas vidutinis metinis vartotojų kainų indekso pokytis) -0,01 ct/kWh, dėl realizuoto šilumos kiekio padidėjimo -0,02 ct/kWh.</w:t>
      </w:r>
    </w:p>
    <w:p w:rsidR="000170E4" w:rsidRDefault="000170E4" w:rsidP="000170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Kintamosios dedamosios didėjimas susideda iš elektros sąnaudų padidėjimo, buvo </w:t>
      </w:r>
      <w:r>
        <w:rPr>
          <w:sz w:val="24"/>
          <w:szCs w:val="24"/>
        </w:rPr>
        <w:br/>
        <w:t xml:space="preserve">0,25 ct/kWh, dabar bus 0,27 ct/kWh. </w:t>
      </w:r>
    </w:p>
    <w:p w:rsidR="000170E4" w:rsidRDefault="000170E4" w:rsidP="000170E4">
      <w:pPr>
        <w:autoSpaceDN w:val="0"/>
        <w:ind w:firstLine="720"/>
        <w:jc w:val="both"/>
        <w:textAlignment w:val="baseline"/>
        <w:rPr>
          <w:b/>
          <w:kern w:val="3"/>
          <w:sz w:val="24"/>
          <w:szCs w:val="24"/>
          <w:lang w:eastAsia="lt-LT"/>
        </w:rPr>
      </w:pPr>
      <w:bookmarkStart w:id="4" w:name="part_701d3acd3b5341c8bbecebf74b1e86ea"/>
      <w:bookmarkEnd w:id="4"/>
      <w:r>
        <w:rPr>
          <w:b/>
          <w:kern w:val="3"/>
          <w:sz w:val="24"/>
          <w:szCs w:val="24"/>
          <w:lang w:eastAsia="lt-LT"/>
        </w:rPr>
        <w:t>Galimos neigiamos pasekmės priėmus projektą</w:t>
      </w: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>Nėra.</w:t>
      </w:r>
    </w:p>
    <w:p w:rsidR="000170E4" w:rsidRDefault="000170E4" w:rsidP="000170E4">
      <w:pPr>
        <w:autoSpaceDN w:val="0"/>
        <w:ind w:firstLine="720"/>
        <w:jc w:val="both"/>
        <w:textAlignment w:val="baseline"/>
        <w:rPr>
          <w:b/>
          <w:kern w:val="3"/>
          <w:sz w:val="24"/>
          <w:szCs w:val="24"/>
          <w:lang w:eastAsia="lt-LT"/>
        </w:rPr>
      </w:pPr>
      <w:r>
        <w:rPr>
          <w:b/>
          <w:kern w:val="3"/>
          <w:sz w:val="24"/>
          <w:szCs w:val="24"/>
          <w:lang w:eastAsia="lt-LT"/>
        </w:rPr>
        <w:t>Finansavimo šaltiniai ir lėšų poreikis</w:t>
      </w: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>Savivaldybės lėšų nereikės.</w:t>
      </w:r>
    </w:p>
    <w:p w:rsidR="000170E4" w:rsidRDefault="000170E4" w:rsidP="000170E4">
      <w:pPr>
        <w:autoSpaceDN w:val="0"/>
        <w:ind w:firstLine="720"/>
        <w:textAlignment w:val="baseline"/>
        <w:rPr>
          <w:rFonts w:eastAsia="Arial"/>
          <w:b/>
          <w:kern w:val="3"/>
          <w:sz w:val="24"/>
          <w:szCs w:val="24"/>
          <w:lang w:eastAsia="lt-LT"/>
        </w:rPr>
      </w:pPr>
      <w:r>
        <w:rPr>
          <w:rFonts w:eastAsia="Arial"/>
          <w:b/>
          <w:kern w:val="3"/>
          <w:sz w:val="24"/>
          <w:szCs w:val="24"/>
          <w:lang w:eastAsia="lt-LT"/>
        </w:rPr>
        <w:t>Galiojantys teisės aktai, kuriuos reikės pakeisti priėmus teikiamą projektą</w:t>
      </w:r>
    </w:p>
    <w:p w:rsidR="000170E4" w:rsidRDefault="000170E4" w:rsidP="000170E4">
      <w:pPr>
        <w:autoSpaceDN w:val="0"/>
        <w:ind w:firstLine="720"/>
        <w:textAlignment w:val="baseline"/>
        <w:rPr>
          <w:rFonts w:eastAsia="Arial"/>
          <w:kern w:val="3"/>
          <w:sz w:val="24"/>
          <w:szCs w:val="24"/>
          <w:lang w:eastAsia="lt-LT"/>
        </w:rPr>
      </w:pPr>
      <w:r>
        <w:rPr>
          <w:rFonts w:eastAsia="Arial"/>
          <w:kern w:val="3"/>
          <w:sz w:val="24"/>
          <w:szCs w:val="24"/>
          <w:lang w:eastAsia="lt-LT"/>
        </w:rPr>
        <w:t>Šiam sprendimui įgyvendinti kitų teisės aktų priimti nereikia.</w:t>
      </w:r>
    </w:p>
    <w:p w:rsidR="000170E4" w:rsidRDefault="000170E4" w:rsidP="000170E4">
      <w:pPr>
        <w:autoSpaceDN w:val="0"/>
        <w:ind w:firstLine="720"/>
        <w:textAlignment w:val="baseline"/>
        <w:rPr>
          <w:rFonts w:eastAsia="Arial"/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textAlignment w:val="baseline"/>
        <w:rPr>
          <w:rFonts w:eastAsia="Arial"/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spacing w:after="120"/>
        <w:ind w:right="-1"/>
        <w:jc w:val="both"/>
        <w:textAlignment w:val="baseline"/>
        <w:rPr>
          <w:kern w:val="3"/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>Vyr. specialistė</w:t>
      </w:r>
      <w:r>
        <w:rPr>
          <w:kern w:val="3"/>
          <w:sz w:val="24"/>
          <w:szCs w:val="24"/>
          <w:lang w:eastAsia="lt-LT"/>
        </w:rPr>
        <w:tab/>
      </w:r>
      <w:r>
        <w:rPr>
          <w:kern w:val="3"/>
          <w:sz w:val="24"/>
          <w:szCs w:val="24"/>
          <w:lang w:eastAsia="lt-LT"/>
        </w:rPr>
        <w:tab/>
      </w:r>
      <w:r>
        <w:rPr>
          <w:kern w:val="3"/>
          <w:sz w:val="24"/>
          <w:szCs w:val="24"/>
          <w:lang w:eastAsia="lt-LT"/>
        </w:rPr>
        <w:tab/>
      </w:r>
      <w:r>
        <w:rPr>
          <w:kern w:val="3"/>
          <w:sz w:val="24"/>
          <w:szCs w:val="24"/>
          <w:lang w:eastAsia="lt-LT"/>
        </w:rPr>
        <w:tab/>
      </w:r>
      <w:r w:rsidR="0024013A">
        <w:rPr>
          <w:kern w:val="3"/>
          <w:sz w:val="24"/>
          <w:szCs w:val="24"/>
          <w:lang w:eastAsia="lt-LT"/>
        </w:rPr>
        <w:tab/>
      </w:r>
      <w:r w:rsidR="0024013A">
        <w:rPr>
          <w:kern w:val="3"/>
          <w:sz w:val="24"/>
          <w:szCs w:val="24"/>
          <w:lang w:eastAsia="lt-LT"/>
        </w:rPr>
        <w:tab/>
      </w:r>
      <w:r>
        <w:rPr>
          <w:kern w:val="3"/>
          <w:sz w:val="24"/>
          <w:szCs w:val="24"/>
          <w:lang w:eastAsia="lt-LT"/>
        </w:rPr>
        <w:tab/>
        <w:t>Jadvyga Balčienė</w:t>
      </w: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sectPr w:rsidR="000170E4">
      <w:headerReference w:type="default" r:id="rId9"/>
      <w:footerReference w:type="default" r:id="rId10"/>
      <w:headerReference w:type="first" r:id="rId11"/>
      <w:footerReference w:type="first" r:id="rId12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40" w:rsidRDefault="004A6840">
      <w:r>
        <w:separator/>
      </w:r>
    </w:p>
  </w:endnote>
  <w:endnote w:type="continuationSeparator" w:id="0">
    <w:p w:rsidR="004A6840" w:rsidRDefault="004A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40" w:rsidRDefault="004A6840">
      <w:r>
        <w:separator/>
      </w:r>
    </w:p>
  </w:footnote>
  <w:footnote w:type="continuationSeparator" w:id="0">
    <w:p w:rsidR="004A6840" w:rsidRDefault="004A6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F7878"/>
    <w:multiLevelType w:val="multilevel"/>
    <w:tmpl w:val="091CD1FA"/>
    <w:lvl w:ilvl="0">
      <w:start w:val="13"/>
      <w:numFmt w:val="decimal"/>
      <w:lvlText w:val="%1."/>
      <w:lvlJc w:val="left"/>
      <w:pPr>
        <w:ind w:left="1219" w:hanging="341"/>
      </w:pPr>
      <w:rPr>
        <w:rFonts w:ascii="Arial Unicode MS" w:eastAsia="Arial Unicode MS" w:hAnsi="Arial Unicode MS" w:hint="default"/>
        <w:spacing w:val="-1"/>
        <w:w w:val="85"/>
      </w:rPr>
    </w:lvl>
    <w:lvl w:ilvl="1">
      <w:start w:val="1"/>
      <w:numFmt w:val="decimal"/>
      <w:lvlText w:val="%1.%2."/>
      <w:lvlJc w:val="left"/>
      <w:pPr>
        <w:ind w:left="1204" w:hanging="667"/>
      </w:pPr>
      <w:rPr>
        <w:rFonts w:ascii="Arial Unicode MS" w:eastAsia="Arial Unicode MS" w:hAnsi="Arial Unicode MS" w:hint="default"/>
        <w:spacing w:val="1"/>
        <w:w w:val="84"/>
      </w:rPr>
    </w:lvl>
    <w:lvl w:ilvl="2">
      <w:start w:val="1"/>
      <w:numFmt w:val="bullet"/>
      <w:lvlText w:val="•"/>
      <w:lvlJc w:val="left"/>
      <w:pPr>
        <w:ind w:left="2135" w:hanging="6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3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1" w:hanging="667"/>
      </w:pPr>
      <w:rPr>
        <w:rFonts w:hint="default"/>
      </w:rPr>
    </w:lvl>
  </w:abstractNum>
  <w:abstractNum w:abstractNumId="2" w15:restartNumberingAfterBreak="0">
    <w:nsid w:val="2161392C"/>
    <w:multiLevelType w:val="hybridMultilevel"/>
    <w:tmpl w:val="6C6A8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B03FB"/>
    <w:multiLevelType w:val="hybridMultilevel"/>
    <w:tmpl w:val="E4505A6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E2C35B1"/>
    <w:multiLevelType w:val="multilevel"/>
    <w:tmpl w:val="F5705156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5A360A40"/>
    <w:multiLevelType w:val="hybridMultilevel"/>
    <w:tmpl w:val="C0E23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F20F5"/>
    <w:multiLevelType w:val="hybridMultilevel"/>
    <w:tmpl w:val="FA866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37E7B"/>
    <w:multiLevelType w:val="multilevel"/>
    <w:tmpl w:val="1302AFDC"/>
    <w:lvl w:ilvl="0">
      <w:start w:val="15"/>
      <w:numFmt w:val="decimal"/>
      <w:lvlText w:val="%1"/>
      <w:lvlJc w:val="left"/>
      <w:pPr>
        <w:ind w:left="1198" w:hanging="63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8" w:hanging="634"/>
      </w:pPr>
      <w:rPr>
        <w:rFonts w:ascii="Arial Unicode MS" w:eastAsia="Arial Unicode MS" w:hAnsi="Arial Unicode MS" w:hint="default"/>
        <w:w w:val="79"/>
      </w:rPr>
    </w:lvl>
    <w:lvl w:ilvl="2">
      <w:start w:val="1"/>
      <w:numFmt w:val="bullet"/>
      <w:lvlText w:val="•"/>
      <w:lvlJc w:val="left"/>
      <w:pPr>
        <w:ind w:left="2852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9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634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15147"/>
    <w:rsid w:val="000170E4"/>
    <w:rsid w:val="00094771"/>
    <w:rsid w:val="000B6E36"/>
    <w:rsid w:val="000B7228"/>
    <w:rsid w:val="000C15AA"/>
    <w:rsid w:val="00132050"/>
    <w:rsid w:val="00170C01"/>
    <w:rsid w:val="00197D77"/>
    <w:rsid w:val="001C603F"/>
    <w:rsid w:val="0024013A"/>
    <w:rsid w:val="0030210C"/>
    <w:rsid w:val="0036187B"/>
    <w:rsid w:val="003E5122"/>
    <w:rsid w:val="00407139"/>
    <w:rsid w:val="004A6840"/>
    <w:rsid w:val="005513EC"/>
    <w:rsid w:val="0055623E"/>
    <w:rsid w:val="005C5F94"/>
    <w:rsid w:val="0062653A"/>
    <w:rsid w:val="006B4BDE"/>
    <w:rsid w:val="006E553A"/>
    <w:rsid w:val="006E5AAA"/>
    <w:rsid w:val="00737EF7"/>
    <w:rsid w:val="007455A1"/>
    <w:rsid w:val="0077441D"/>
    <w:rsid w:val="007905DB"/>
    <w:rsid w:val="00795DAD"/>
    <w:rsid w:val="008C3577"/>
    <w:rsid w:val="008F4A25"/>
    <w:rsid w:val="008F6E21"/>
    <w:rsid w:val="00911998"/>
    <w:rsid w:val="00941709"/>
    <w:rsid w:val="00947150"/>
    <w:rsid w:val="00947A79"/>
    <w:rsid w:val="00952F46"/>
    <w:rsid w:val="0096029E"/>
    <w:rsid w:val="009B3F95"/>
    <w:rsid w:val="009C2034"/>
    <w:rsid w:val="009E3A6B"/>
    <w:rsid w:val="00A15350"/>
    <w:rsid w:val="00B345A9"/>
    <w:rsid w:val="00B3600A"/>
    <w:rsid w:val="00B64288"/>
    <w:rsid w:val="00B7539E"/>
    <w:rsid w:val="00B94562"/>
    <w:rsid w:val="00BA5B79"/>
    <w:rsid w:val="00BE59A3"/>
    <w:rsid w:val="00C40365"/>
    <w:rsid w:val="00CB11B5"/>
    <w:rsid w:val="00CC2B88"/>
    <w:rsid w:val="00CE438E"/>
    <w:rsid w:val="00D33FAC"/>
    <w:rsid w:val="00D730EE"/>
    <w:rsid w:val="00E22D84"/>
    <w:rsid w:val="00E40DAD"/>
    <w:rsid w:val="00E77561"/>
    <w:rsid w:val="00E821B3"/>
    <w:rsid w:val="00F06260"/>
    <w:rsid w:val="00F26EBC"/>
    <w:rsid w:val="00FC00A7"/>
    <w:rsid w:val="00FC5D05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A78B818-8394-4078-9FCE-CD8EDFE2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Sraopastraipa">
    <w:name w:val="List Paragraph"/>
    <w:basedOn w:val="prastasis"/>
    <w:uiPriority w:val="1"/>
    <w:qFormat/>
    <w:rsid w:val="00E40DA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ntratsDiagrama">
    <w:name w:val="Antraštės Diagrama"/>
    <w:link w:val="Antrats"/>
    <w:rsid w:val="000170E4"/>
    <w:rPr>
      <w:lang w:eastAsia="ar-SA"/>
    </w:rPr>
  </w:style>
  <w:style w:type="numbering" w:customStyle="1" w:styleId="WW8Num1">
    <w:name w:val="WW8Num1"/>
    <w:rsid w:val="000170E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3156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2016-01-15T12:30:00Z</cp:lastPrinted>
  <dcterms:created xsi:type="dcterms:W3CDTF">2016-01-15T13:19:00Z</dcterms:created>
  <dcterms:modified xsi:type="dcterms:W3CDTF">2016-01-15T13:19:00Z</dcterms:modified>
</cp:coreProperties>
</file>