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ED338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 w:rsidRPr="006174AA">
        <w:rPr>
          <w:b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174AA">
        <w:t>RAJONO SAVIVALDYBĖS TARYBOS 2015 M. RUGPJŪČIO 20</w:t>
      </w:r>
      <w:r w:rsidR="00C83668">
        <w:t xml:space="preserve"> D. SPRENDIMO NR. T-153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174A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gruodžio </w:t>
      </w:r>
      <w:r w:rsidR="00F00F07">
        <w:rPr>
          <w:sz w:val="24"/>
          <w:lang w:val="lt-LT"/>
        </w:rPr>
        <w:t>21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174AA">
        <w:rPr>
          <w:sz w:val="24"/>
        </w:rPr>
        <w:t>rtinto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Savivaldybės</w:t>
      </w:r>
      <w:proofErr w:type="spellEnd"/>
      <w:r w:rsidR="006174AA">
        <w:rPr>
          <w:sz w:val="24"/>
        </w:rPr>
        <w:t xml:space="preserve"> </w:t>
      </w:r>
      <w:proofErr w:type="spellStart"/>
      <w:r w:rsidR="006174AA">
        <w:rPr>
          <w:sz w:val="24"/>
        </w:rPr>
        <w:t>tarybos</w:t>
      </w:r>
      <w:proofErr w:type="spellEnd"/>
      <w:r w:rsidR="006174AA">
        <w:rPr>
          <w:sz w:val="24"/>
        </w:rPr>
        <w:t xml:space="preserve"> 2015 m. </w:t>
      </w:r>
      <w:proofErr w:type="spellStart"/>
      <w:r w:rsidR="006174AA">
        <w:rPr>
          <w:sz w:val="24"/>
        </w:rPr>
        <w:t>rugpjūčio</w:t>
      </w:r>
      <w:proofErr w:type="spellEnd"/>
      <w:r w:rsidR="006174AA">
        <w:rPr>
          <w:sz w:val="24"/>
        </w:rPr>
        <w:t xml:space="preserve"> 20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Nr</w:t>
      </w:r>
      <w:proofErr w:type="spellEnd"/>
      <w:r w:rsidR="00C83668" w:rsidRPr="00475C80">
        <w:rPr>
          <w:sz w:val="24"/>
        </w:rPr>
        <w:t>. T-153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AB2205">
        <w:rPr>
          <w:sz w:val="24"/>
          <w:lang w:val="lt-LT"/>
        </w:rPr>
        <w:t xml:space="preserve">4, </w:t>
      </w:r>
      <w:r w:rsidR="006174AA">
        <w:rPr>
          <w:sz w:val="24"/>
          <w:lang w:val="lt-LT"/>
        </w:rPr>
        <w:t xml:space="preserve">6, 12, </w:t>
      </w:r>
      <w:r w:rsidR="00701317">
        <w:rPr>
          <w:sz w:val="24"/>
          <w:lang w:val="lt-LT"/>
        </w:rPr>
        <w:t xml:space="preserve">13, </w:t>
      </w:r>
      <w:r w:rsidR="002E37C4">
        <w:rPr>
          <w:sz w:val="24"/>
          <w:lang w:val="lt-LT"/>
        </w:rPr>
        <w:t>14</w:t>
      </w:r>
      <w:r w:rsidR="006174AA">
        <w:rPr>
          <w:sz w:val="24"/>
          <w:lang w:val="lt-LT"/>
        </w:rPr>
        <w:t xml:space="preserve"> ir 45</w:t>
      </w:r>
      <w:r w:rsidR="00C83668" w:rsidRPr="00475C8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B2205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AB2205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Ramygalos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5C7AD7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B787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174AA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7870" w:rsidRPr="004A22D5" w:rsidRDefault="006174AA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 w:rsidR="006B7870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6B7870" w:rsidRPr="004A22D5"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7870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28,25</w:t>
            </w:r>
          </w:p>
        </w:tc>
      </w:tr>
      <w:tr w:rsidR="00FB12AD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FB12AD" w:rsidP="006174AA">
            <w:pPr>
              <w:pStyle w:val="Betarp"/>
              <w:jc w:val="center"/>
              <w:rPr>
                <w:sz w:val="24"/>
                <w:szCs w:val="24"/>
              </w:rPr>
            </w:pPr>
            <w:r w:rsidRPr="004A22D5">
              <w:rPr>
                <w:sz w:val="24"/>
                <w:szCs w:val="24"/>
              </w:rPr>
              <w:t>1</w:t>
            </w:r>
            <w:r w:rsidR="006174AA"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B12AD" w:rsidRPr="004A22D5" w:rsidRDefault="006174AA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 w:rsidR="00FB12AD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FB12AD" w:rsidRPr="004A22D5">
              <w:rPr>
                <w:sz w:val="24"/>
                <w:szCs w:val="24"/>
              </w:rPr>
              <w:t>pagrindinė</w:t>
            </w:r>
            <w:proofErr w:type="spellEnd"/>
            <w:r w:rsidR="00FB12AD" w:rsidRPr="004A22D5">
              <w:rPr>
                <w:sz w:val="24"/>
                <w:szCs w:val="24"/>
              </w:rPr>
              <w:t xml:space="preserve"> </w:t>
            </w:r>
            <w:proofErr w:type="spellStart"/>
            <w:r w:rsidR="00FB12AD" w:rsidRPr="004A22D5"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2AD" w:rsidRPr="004A22D5" w:rsidRDefault="00AB2205" w:rsidP="0071101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16,35</w:t>
            </w:r>
            <w:r w:rsidR="00711013">
              <w:rPr>
                <w:sz w:val="24"/>
                <w:szCs w:val="24"/>
              </w:rPr>
              <w:t xml:space="preserve"> </w:t>
            </w:r>
            <w:r w:rsidR="00711013" w:rsidRPr="00C3384C">
              <w:rPr>
                <w:rFonts w:eastAsia="SimSun"/>
                <w:kern w:val="1"/>
                <w:sz w:val="24"/>
                <w:szCs w:val="24"/>
                <w:lang w:val="lt-LT"/>
              </w:rPr>
              <w:t>(1,12*)</w:t>
            </w:r>
            <w:r w:rsidR="00711013">
              <w:rPr>
                <w:sz w:val="24"/>
                <w:szCs w:val="24"/>
              </w:rPr>
              <w:t xml:space="preserve"> </w:t>
            </w:r>
          </w:p>
        </w:tc>
      </w:tr>
      <w:tr w:rsidR="0070131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Pr="004A22D5" w:rsidRDefault="00701317" w:rsidP="006174AA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1317" w:rsidRDefault="00701317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Miežiškių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pagrindinė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1317" w:rsidRDefault="00701317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13,39</w:t>
            </w:r>
          </w:p>
        </w:tc>
      </w:tr>
      <w:tr w:rsidR="00C83668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6174AA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3668" w:rsidRPr="004A22D5" w:rsidRDefault="0086322B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Palūniškio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pagrindinė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3668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15,25</w:t>
            </w:r>
          </w:p>
        </w:tc>
      </w:tr>
      <w:tr w:rsidR="00B07407" w:rsidRPr="004A22D5" w:rsidTr="00E4183E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46AC9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AB2205" w:rsidP="004A22D5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Visuomenės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sveikatos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biuras</w:t>
            </w:r>
            <w:proofErr w:type="spellEnd"/>
          </w:p>
        </w:tc>
        <w:tc>
          <w:tcPr>
            <w:tcW w:w="2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AB2205" w:rsidP="00BD4D4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0458E5" w:rsidRDefault="00F00F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  <w:r w:rsidR="004A22D5">
        <w:rPr>
          <w:sz w:val="24"/>
          <w:lang w:val="lt-LT"/>
        </w:rPr>
        <w:t xml:space="preserve">2. </w:t>
      </w:r>
      <w:r w:rsidR="00963782">
        <w:rPr>
          <w:sz w:val="24"/>
          <w:lang w:val="lt-LT"/>
        </w:rPr>
        <w:t xml:space="preserve">Sprendimas įsigalioja </w:t>
      </w:r>
      <w:r w:rsidR="00AB2205">
        <w:rPr>
          <w:sz w:val="24"/>
          <w:lang w:val="lt-LT"/>
        </w:rPr>
        <w:t>2016</w:t>
      </w:r>
      <w:r w:rsidR="000458E5">
        <w:rPr>
          <w:sz w:val="24"/>
          <w:lang w:val="lt-LT"/>
        </w:rPr>
        <w:t xml:space="preserve"> m. sausio 1 d.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07407" w:rsidRDefault="00AB2205">
      <w:pPr>
        <w:rPr>
          <w:sz w:val="24"/>
          <w:lang w:val="lt-LT"/>
        </w:rPr>
      </w:pPr>
      <w:r>
        <w:rPr>
          <w:sz w:val="24"/>
          <w:lang w:val="lt-LT"/>
        </w:rPr>
        <w:t>2015-12-09</w:t>
      </w:r>
    </w:p>
    <w:p w:rsidR="00B07407" w:rsidRDefault="00B07407"/>
    <w:p w:rsidR="002E37C4" w:rsidRDefault="002E37C4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963782" w:rsidRDefault="00B07407" w:rsidP="0096378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  <w:r w:rsidRPr="00963782">
        <w:rPr>
          <w:b/>
        </w:rPr>
        <w:t xml:space="preserve">„DĖL PANEVĖŽIO </w:t>
      </w:r>
      <w:r w:rsidR="00AB2205">
        <w:rPr>
          <w:b/>
        </w:rPr>
        <w:t>RAJONO SAVIVALDYBĖS TARYBOS 2015</w:t>
      </w:r>
      <w:r w:rsidR="003B374A" w:rsidRPr="00963782">
        <w:rPr>
          <w:b/>
        </w:rPr>
        <w:t xml:space="preserve"> M. RUGPJŪČIO 2</w:t>
      </w:r>
      <w:r w:rsidR="00AB2205">
        <w:rPr>
          <w:b/>
        </w:rPr>
        <w:t>0</w:t>
      </w:r>
      <w:r w:rsidR="003B374A" w:rsidRPr="00963782">
        <w:rPr>
          <w:b/>
        </w:rPr>
        <w:t xml:space="preserve"> D. SPRENDIMO NR. T-153</w:t>
      </w:r>
      <w:r w:rsidRPr="00963782">
        <w:rPr>
          <w:b/>
        </w:rPr>
        <w:t xml:space="preserve"> „DĖL DIDŽIAUSIO LEISTINO PAREIGYBIŲ, FINANSUOJAMŲ IŠ SAVIVALDYBĖS BIUDŽETO, SKAIČIAUS BIUDŽETINĖSE ĮSTAIGOSE NUSTATYMO“ PAKEITIMO“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C026C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2015-12-09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3F392F">
        <w:rPr>
          <w:sz w:val="24"/>
          <w:szCs w:val="24"/>
          <w:lang w:val="lt-LT"/>
        </w:rPr>
        <w:t xml:space="preserve">Panevėžio rajono </w:t>
      </w:r>
      <w:r w:rsidR="006B7870">
        <w:rPr>
          <w:sz w:val="24"/>
          <w:szCs w:val="24"/>
          <w:lang w:val="lt-LT"/>
        </w:rPr>
        <w:t>biudžetinių įstaigų prašymai dėl didžiausio leistino pareigybių skaičiaus pakeitimo</w:t>
      </w:r>
      <w:r w:rsidR="00107A6D">
        <w:rPr>
          <w:sz w:val="24"/>
          <w:szCs w:val="24"/>
          <w:lang w:val="lt-LT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794F81" w:rsidRDefault="00A6616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Šiuo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 xml:space="preserve">sprendimo </w:t>
      </w:r>
      <w:r>
        <w:rPr>
          <w:sz w:val="24"/>
          <w:lang w:val="lt-LT"/>
        </w:rPr>
        <w:t>projektu siūloma</w:t>
      </w:r>
      <w:r w:rsidR="00133229">
        <w:rPr>
          <w:sz w:val="24"/>
          <w:lang w:val="lt-LT"/>
        </w:rPr>
        <w:t xml:space="preserve"> </w:t>
      </w:r>
      <w:r>
        <w:rPr>
          <w:sz w:val="24"/>
          <w:lang w:val="lt-LT"/>
        </w:rPr>
        <w:t>pakeisti</w:t>
      </w:r>
      <w:r w:rsidR="00133229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didžiausią leistiną </w:t>
      </w:r>
      <w:r>
        <w:rPr>
          <w:sz w:val="24"/>
          <w:lang w:val="lt-LT"/>
        </w:rPr>
        <w:t>pareigybių, finansuojamų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iš</w:t>
      </w:r>
      <w:r w:rsidR="00794F81">
        <w:rPr>
          <w:sz w:val="24"/>
          <w:lang w:val="lt-LT"/>
        </w:rPr>
        <w:t xml:space="preserve"> Savivaldybės</w:t>
      </w:r>
      <w:r w:rsidR="00133229">
        <w:rPr>
          <w:sz w:val="24"/>
          <w:lang w:val="lt-LT"/>
        </w:rPr>
        <w:t xml:space="preserve"> </w:t>
      </w:r>
      <w:r w:rsidR="003F392F">
        <w:rPr>
          <w:sz w:val="24"/>
          <w:lang w:val="lt-LT"/>
        </w:rPr>
        <w:t>biudžeto, skaičių</w:t>
      </w:r>
      <w:r w:rsidR="00632C6F">
        <w:rPr>
          <w:sz w:val="24"/>
          <w:lang w:val="lt-LT"/>
        </w:rPr>
        <w:t>,</w:t>
      </w:r>
      <w:r w:rsidR="00133229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 xml:space="preserve">patvirtintą Savivaldybės </w:t>
      </w:r>
      <w:r w:rsidR="00C026CD">
        <w:rPr>
          <w:sz w:val="24"/>
          <w:lang w:val="lt-LT"/>
        </w:rPr>
        <w:t>tarybos 2015</w:t>
      </w:r>
      <w:r w:rsidR="00794F81">
        <w:rPr>
          <w:sz w:val="24"/>
          <w:lang w:val="lt-LT"/>
        </w:rPr>
        <w:t xml:space="preserve"> m. rugpjūčio 2</w:t>
      </w:r>
      <w:r w:rsidR="00C026CD">
        <w:rPr>
          <w:sz w:val="24"/>
          <w:lang w:val="lt-LT"/>
        </w:rPr>
        <w:t>0</w:t>
      </w:r>
      <w:r w:rsidR="00794F81">
        <w:rPr>
          <w:sz w:val="24"/>
          <w:lang w:val="lt-LT"/>
        </w:rPr>
        <w:t xml:space="preserve"> d. sprendimu Nr.</w:t>
      </w:r>
      <w:r w:rsidR="00632C6F">
        <w:rPr>
          <w:sz w:val="24"/>
          <w:lang w:val="lt-LT"/>
        </w:rPr>
        <w:t xml:space="preserve"> </w:t>
      </w:r>
      <w:r w:rsidR="00794F81">
        <w:rPr>
          <w:sz w:val="24"/>
          <w:lang w:val="lt-LT"/>
        </w:rPr>
        <w:t>T</w:t>
      </w:r>
      <w:r w:rsidR="00632C6F">
        <w:rPr>
          <w:sz w:val="24"/>
          <w:lang w:val="lt-LT"/>
        </w:rPr>
        <w:t>-153, šiose biudžetinėse įstaigose:</w:t>
      </w:r>
    </w:p>
    <w:p w:rsidR="00FB12AD" w:rsidRDefault="00C026CD" w:rsidP="00C026CD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C026CD">
        <w:rPr>
          <w:sz w:val="24"/>
          <w:szCs w:val="24"/>
          <w:lang w:val="lt-LT"/>
        </w:rPr>
        <w:t xml:space="preserve">1. </w:t>
      </w:r>
      <w:r w:rsidR="00A66166" w:rsidRPr="00C026CD">
        <w:rPr>
          <w:sz w:val="24"/>
          <w:szCs w:val="24"/>
          <w:lang w:val="lt-LT"/>
        </w:rPr>
        <w:t>Ramygalos</w:t>
      </w:r>
      <w:r w:rsidR="00FB12AD" w:rsidRPr="00C026C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gimnazijoje</w:t>
      </w:r>
      <w:r w:rsidR="007F42B1" w:rsidRPr="00C026CD">
        <w:rPr>
          <w:sz w:val="24"/>
          <w:szCs w:val="24"/>
          <w:lang w:val="lt-LT"/>
        </w:rPr>
        <w:t xml:space="preserve"> naikinti </w:t>
      </w:r>
      <w:r>
        <w:rPr>
          <w:sz w:val="24"/>
          <w:szCs w:val="24"/>
          <w:lang w:val="lt-LT"/>
        </w:rPr>
        <w:t>Ėriškių skyriaus</w:t>
      </w:r>
      <w:r w:rsidR="00416AE4" w:rsidRPr="00C026CD">
        <w:rPr>
          <w:sz w:val="24"/>
          <w:szCs w:val="24"/>
          <w:lang w:val="lt-LT"/>
        </w:rPr>
        <w:t xml:space="preserve"> pastatų bei katilų priežiūros darbininko </w:t>
      </w:r>
      <w:r w:rsidR="007F42B1" w:rsidRPr="00C026CD">
        <w:rPr>
          <w:sz w:val="24"/>
          <w:szCs w:val="24"/>
          <w:lang w:val="lt-LT"/>
        </w:rPr>
        <w:t xml:space="preserve">pareigybės 1 </w:t>
      </w:r>
      <w:r>
        <w:rPr>
          <w:sz w:val="24"/>
          <w:szCs w:val="24"/>
          <w:lang w:val="lt-LT"/>
        </w:rPr>
        <w:t>etatą</w:t>
      </w:r>
      <w:r w:rsidR="005C7AD7">
        <w:rPr>
          <w:sz w:val="24"/>
          <w:szCs w:val="24"/>
          <w:lang w:val="lt-LT"/>
        </w:rPr>
        <w:t xml:space="preserve">, Jotainių skyriuje – 0,5 etato, </w:t>
      </w:r>
      <w:proofErr w:type="spellStart"/>
      <w:r w:rsidR="005C7AD7">
        <w:rPr>
          <w:sz w:val="24"/>
          <w:szCs w:val="24"/>
          <w:lang w:val="lt-LT"/>
        </w:rPr>
        <w:t>Uliūnų</w:t>
      </w:r>
      <w:proofErr w:type="spellEnd"/>
      <w:r w:rsidR="005C7AD7">
        <w:rPr>
          <w:sz w:val="24"/>
          <w:szCs w:val="24"/>
          <w:lang w:val="lt-LT"/>
        </w:rPr>
        <w:t xml:space="preserve"> UDC naikinti bendruomenės veiklos koordinatoriaus pareigybės 0,5 etato (centro vei</w:t>
      </w:r>
      <w:r w:rsidR="007C36BB">
        <w:rPr>
          <w:sz w:val="24"/>
          <w:szCs w:val="24"/>
          <w:lang w:val="lt-LT"/>
        </w:rPr>
        <w:t>kloje ši etato dalis nebuvo  pa</w:t>
      </w:r>
      <w:r w:rsidR="005C7AD7">
        <w:rPr>
          <w:sz w:val="24"/>
          <w:szCs w:val="24"/>
          <w:lang w:val="lt-LT"/>
        </w:rPr>
        <w:t>naudota).</w:t>
      </w:r>
    </w:p>
    <w:p w:rsidR="00C026CD" w:rsidRPr="00C026CD" w:rsidRDefault="00C026CD" w:rsidP="00C026CD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 w:rsidRPr="00C026CD">
        <w:rPr>
          <w:sz w:val="24"/>
          <w:szCs w:val="24"/>
          <w:lang w:val="lt-LT"/>
        </w:rPr>
        <w:t xml:space="preserve"> gimnazijoje  naikinti </w:t>
      </w:r>
      <w:r>
        <w:rPr>
          <w:sz w:val="24"/>
          <w:szCs w:val="24"/>
          <w:lang w:val="lt-LT"/>
        </w:rPr>
        <w:t>sargo pareigybės</w:t>
      </w:r>
      <w:r w:rsidRPr="00C026C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2</w:t>
      </w:r>
      <w:r w:rsidRPr="00C026C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etatus. Gimnazija atsisako sargų paslaugų ir sudaro sutartį su saugos tarnyba „Argus“.</w:t>
      </w:r>
    </w:p>
    <w:p w:rsidR="00C026CD" w:rsidRDefault="00C026CD" w:rsidP="00C026CD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proofErr w:type="spellStart"/>
      <w:r>
        <w:rPr>
          <w:sz w:val="24"/>
          <w:szCs w:val="24"/>
          <w:lang w:val="lt-LT"/>
        </w:rPr>
        <w:t>Linkaučių</w:t>
      </w:r>
      <w:proofErr w:type="spellEnd"/>
      <w:r>
        <w:rPr>
          <w:sz w:val="24"/>
          <w:szCs w:val="24"/>
          <w:lang w:val="lt-LT"/>
        </w:rPr>
        <w:t xml:space="preserve"> pagrindinėje mokykloje</w:t>
      </w:r>
      <w:r w:rsidR="00A66166" w:rsidRPr="00C026C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naikinti  direktoriaus pavaduotojo ikimokykliniam ugdymui pareigybės  0,5 etato, auklėtojo padėjėjo ikimokyklinio ugdymo grupėje pareigybės 0,5 etato ir kiemsargio pareigybės 0,25 etato</w:t>
      </w:r>
      <w:r w:rsidR="00BC30A1">
        <w:rPr>
          <w:sz w:val="24"/>
          <w:szCs w:val="24"/>
          <w:lang w:val="lt-LT"/>
        </w:rPr>
        <w:t>.  Ikimokyklinio ugdymo grupėje yra 8 vaikai</w:t>
      </w:r>
      <w:r w:rsidR="00097069">
        <w:rPr>
          <w:sz w:val="24"/>
          <w:szCs w:val="24"/>
          <w:lang w:val="lt-LT"/>
        </w:rPr>
        <w:t xml:space="preserve"> (nuo 2016 metų planuojamas padidėjimas iki 10 vaikų)</w:t>
      </w:r>
      <w:r w:rsidR="00BC30A1">
        <w:rPr>
          <w:sz w:val="24"/>
          <w:szCs w:val="24"/>
          <w:lang w:val="lt-LT"/>
        </w:rPr>
        <w:t>, su jais lieka dirbt</w:t>
      </w:r>
      <w:r w:rsidR="00146AC9">
        <w:rPr>
          <w:sz w:val="24"/>
          <w:szCs w:val="24"/>
          <w:lang w:val="lt-LT"/>
        </w:rPr>
        <w:t>i ikimokyklinio ugdymo auklėtojos</w:t>
      </w:r>
      <w:r w:rsidR="00BC30A1">
        <w:rPr>
          <w:sz w:val="24"/>
          <w:szCs w:val="24"/>
          <w:lang w:val="lt-LT"/>
        </w:rPr>
        <w:t xml:space="preserve"> </w:t>
      </w:r>
      <w:r w:rsidR="00146AC9">
        <w:rPr>
          <w:sz w:val="24"/>
          <w:szCs w:val="24"/>
          <w:lang w:val="lt-LT"/>
        </w:rPr>
        <w:t xml:space="preserve">              </w:t>
      </w:r>
      <w:r w:rsidR="00BC30A1">
        <w:rPr>
          <w:sz w:val="24"/>
          <w:szCs w:val="24"/>
          <w:lang w:val="lt-LT"/>
        </w:rPr>
        <w:t>(1,5</w:t>
      </w:r>
      <w:r w:rsidR="00097069">
        <w:rPr>
          <w:sz w:val="24"/>
          <w:szCs w:val="24"/>
          <w:lang w:val="lt-LT"/>
        </w:rPr>
        <w:t xml:space="preserve"> etato</w:t>
      </w:r>
      <w:r w:rsidR="00BC30A1">
        <w:rPr>
          <w:sz w:val="24"/>
          <w:szCs w:val="24"/>
          <w:lang w:val="lt-LT"/>
        </w:rPr>
        <w:t>), auklėtojos padėjėja (0,5 etato), valytoja (0,25 etato) ir skalbėja (0,25 etato).</w:t>
      </w:r>
    </w:p>
    <w:p w:rsidR="00701317" w:rsidRDefault="00701317" w:rsidP="00C026CD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 </w:t>
      </w:r>
      <w:r>
        <w:rPr>
          <w:sz w:val="24"/>
          <w:lang w:val="lt-LT"/>
        </w:rPr>
        <w:t xml:space="preserve">Miežiškių pagrindinėje mokykloje padidinti </w:t>
      </w:r>
      <w:proofErr w:type="spellStart"/>
      <w:r>
        <w:rPr>
          <w:sz w:val="24"/>
          <w:lang w:val="lt-LT"/>
        </w:rPr>
        <w:t>Kurganavos</w:t>
      </w:r>
      <w:proofErr w:type="spellEnd"/>
      <w:r>
        <w:rPr>
          <w:sz w:val="24"/>
          <w:lang w:val="lt-LT"/>
        </w:rPr>
        <w:t xml:space="preserve"> skyriuje priešmokyklinio ugdymo pedagogo pareigybės 0,44 etato – ištaisoma skaičiavimo klaida (lėšos šiai etato daliai yra skirtos nuo mokslo metų pradžios, o kita dalis 0,56 etato finansuojama iš mokinio krepšelio lėšų). Grupė dirba 10,5 val. per dieną.</w:t>
      </w:r>
    </w:p>
    <w:p w:rsidR="006B7870" w:rsidRPr="00C026CD" w:rsidRDefault="00BC30A1" w:rsidP="00C026CD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01317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Paliūnišk</w:t>
      </w:r>
      <w:r w:rsidR="00C026CD">
        <w:rPr>
          <w:sz w:val="24"/>
          <w:szCs w:val="24"/>
          <w:lang w:val="lt-LT"/>
        </w:rPr>
        <w:t>io</w:t>
      </w:r>
      <w:proofErr w:type="spellEnd"/>
      <w:r w:rsidR="00C026CD">
        <w:rPr>
          <w:sz w:val="24"/>
          <w:szCs w:val="24"/>
          <w:lang w:val="lt-LT"/>
        </w:rPr>
        <w:t xml:space="preserve"> </w:t>
      </w:r>
      <w:r w:rsidR="00A66166" w:rsidRPr="00C026CD">
        <w:rPr>
          <w:sz w:val="24"/>
          <w:szCs w:val="24"/>
          <w:lang w:val="lt-LT"/>
        </w:rPr>
        <w:t xml:space="preserve">pagrindinėje mokykloje </w:t>
      </w:r>
      <w:r w:rsidR="00097069">
        <w:rPr>
          <w:sz w:val="24"/>
          <w:szCs w:val="24"/>
          <w:lang w:val="lt-LT"/>
        </w:rPr>
        <w:t>įsteigti</w:t>
      </w:r>
      <w:r w:rsidR="00FB12AD" w:rsidRPr="00C026CD">
        <w:rPr>
          <w:sz w:val="24"/>
          <w:szCs w:val="24"/>
          <w:lang w:val="lt-LT"/>
        </w:rPr>
        <w:t xml:space="preserve"> priešmokyklinio ugdymo </w:t>
      </w:r>
      <w:r w:rsidR="00097069">
        <w:rPr>
          <w:sz w:val="24"/>
          <w:szCs w:val="24"/>
          <w:lang w:val="lt-LT"/>
        </w:rPr>
        <w:t xml:space="preserve">jungtinės </w:t>
      </w:r>
      <w:r w:rsidR="00FB12AD" w:rsidRPr="00C026CD">
        <w:rPr>
          <w:sz w:val="24"/>
          <w:szCs w:val="24"/>
          <w:lang w:val="lt-LT"/>
        </w:rPr>
        <w:t xml:space="preserve">grupės </w:t>
      </w:r>
      <w:r w:rsidR="00097069">
        <w:rPr>
          <w:sz w:val="24"/>
          <w:szCs w:val="24"/>
          <w:lang w:val="lt-LT"/>
        </w:rPr>
        <w:t>auklėtojo padėjėjo pareigybės 0,5 etato. Priešmokyklinio ugdymo jungtinėje grupėje ugdoma 20 vaikų, dirba vienas priešmokyklinio ugdy</w:t>
      </w:r>
      <w:r w:rsidR="00536BAA">
        <w:rPr>
          <w:sz w:val="24"/>
          <w:szCs w:val="24"/>
          <w:lang w:val="lt-LT"/>
        </w:rPr>
        <w:t>mo pedagogas. Pagal</w:t>
      </w:r>
      <w:r w:rsidR="00097069">
        <w:rPr>
          <w:sz w:val="24"/>
          <w:szCs w:val="24"/>
          <w:lang w:val="lt-LT"/>
        </w:rPr>
        <w:t xml:space="preserve"> higienos normas su vaikais nuo   1 iki 7 metų amžiaus turi dirbti ne mažiau kaip 2 darbuotojai.</w:t>
      </w:r>
    </w:p>
    <w:p w:rsidR="00B43A20" w:rsidRPr="009E7588" w:rsidRDefault="006B7870" w:rsidP="00A6616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2E37C4">
        <w:rPr>
          <w:sz w:val="24"/>
          <w:szCs w:val="24"/>
          <w:lang w:val="lt-LT"/>
        </w:rPr>
        <w:t>6</w:t>
      </w:r>
      <w:r w:rsidR="00794F81">
        <w:rPr>
          <w:sz w:val="24"/>
          <w:szCs w:val="24"/>
          <w:lang w:val="lt-LT"/>
        </w:rPr>
        <w:t xml:space="preserve">. </w:t>
      </w:r>
      <w:r w:rsidR="009601EB">
        <w:rPr>
          <w:sz w:val="24"/>
          <w:szCs w:val="24"/>
          <w:lang w:val="lt-LT"/>
        </w:rPr>
        <w:t xml:space="preserve">Visuomenės sveikatos centre padidinti visuomenės sveikatos stiprinimo specialistų pareigybių skaičių 1 etatu. Šiuo metu </w:t>
      </w:r>
      <w:r w:rsidR="00B43A20">
        <w:rPr>
          <w:sz w:val="24"/>
          <w:szCs w:val="24"/>
          <w:lang w:val="lt-LT"/>
        </w:rPr>
        <w:t xml:space="preserve">dirba 2 visuomenės sveikatos stiprinimo specialistai po 0,5 etato. Šis padidinimas bus skirtas dirbančių specialistų </w:t>
      </w:r>
      <w:r w:rsidR="00536BAA">
        <w:rPr>
          <w:sz w:val="24"/>
          <w:szCs w:val="24"/>
          <w:lang w:val="lt-LT"/>
        </w:rPr>
        <w:t>darbo krūvio didinimui iki viso</w:t>
      </w:r>
      <w:r w:rsidR="00B43A20">
        <w:rPr>
          <w:sz w:val="24"/>
          <w:szCs w:val="24"/>
          <w:lang w:val="lt-LT"/>
        </w:rPr>
        <w:t xml:space="preserve"> etato.</w:t>
      </w:r>
    </w:p>
    <w:p w:rsidR="00B07407" w:rsidRDefault="00B07407" w:rsidP="00A66166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>
        <w:rPr>
          <w:sz w:val="24"/>
        </w:rPr>
        <w:t>P</w:t>
      </w:r>
      <w:proofErr w:type="spellStart"/>
      <w:r w:rsidR="007B6765">
        <w:rPr>
          <w:sz w:val="24"/>
          <w:szCs w:val="24"/>
          <w:lang w:val="lt-LT"/>
        </w:rPr>
        <w:t>are</w:t>
      </w:r>
      <w:r w:rsidR="008F4158">
        <w:rPr>
          <w:sz w:val="24"/>
          <w:szCs w:val="24"/>
          <w:lang w:val="lt-LT"/>
        </w:rPr>
        <w:t>igybių</w:t>
      </w:r>
      <w:proofErr w:type="spellEnd"/>
      <w:r w:rsidR="009E7588">
        <w:rPr>
          <w:sz w:val="24"/>
          <w:szCs w:val="24"/>
          <w:lang w:val="lt-LT"/>
        </w:rPr>
        <w:t xml:space="preserve"> įsteigimas padės įstaigoms</w:t>
      </w:r>
      <w:r>
        <w:rPr>
          <w:sz w:val="24"/>
          <w:szCs w:val="24"/>
          <w:lang w:val="lt-LT"/>
        </w:rPr>
        <w:t xml:space="preserve"> </w:t>
      </w:r>
      <w:r w:rsidR="001C2743">
        <w:rPr>
          <w:sz w:val="24"/>
          <w:szCs w:val="24"/>
          <w:lang w:val="lt-LT"/>
        </w:rPr>
        <w:t xml:space="preserve">efektyviau </w:t>
      </w:r>
      <w:r>
        <w:rPr>
          <w:sz w:val="24"/>
          <w:szCs w:val="24"/>
          <w:lang w:val="lt-LT"/>
        </w:rPr>
        <w:t>atlikti numatytas</w:t>
      </w:r>
      <w:r w:rsidR="008F4158">
        <w:rPr>
          <w:sz w:val="24"/>
          <w:szCs w:val="24"/>
          <w:lang w:val="lt-LT"/>
        </w:rPr>
        <w:t xml:space="preserve"> veiklos bei ūkines</w:t>
      </w:r>
      <w:r>
        <w:rPr>
          <w:sz w:val="24"/>
          <w:szCs w:val="24"/>
          <w:lang w:val="lt-LT"/>
        </w:rPr>
        <w:t xml:space="preserve"> funkcijas.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3819D6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Atleidžiami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darbuotojai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išmokamos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išeitinės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išmokos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nustatyta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tvarka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C626E5" w:rsidRDefault="00B07407" w:rsidP="00C626E5">
      <w:pPr>
        <w:jc w:val="both"/>
        <w:rPr>
          <w:b/>
          <w:sz w:val="24"/>
        </w:rPr>
      </w:pPr>
      <w:r>
        <w:rPr>
          <w:sz w:val="24"/>
        </w:rPr>
        <w:lastRenderedPageBreak/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</w:t>
      </w:r>
      <w:r w:rsidR="00C626E5">
        <w:rPr>
          <w:b/>
          <w:sz w:val="24"/>
        </w:rPr>
        <w:t>alingi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sprendimo</w:t>
      </w:r>
      <w:proofErr w:type="spellEnd"/>
      <w:r w:rsidR="00C626E5">
        <w:rPr>
          <w:b/>
          <w:sz w:val="24"/>
        </w:rPr>
        <w:t xml:space="preserve"> </w:t>
      </w:r>
      <w:proofErr w:type="spellStart"/>
      <w:r w:rsidR="00C626E5">
        <w:rPr>
          <w:b/>
          <w:sz w:val="24"/>
        </w:rPr>
        <w:t>įgyvendinimui</w:t>
      </w:r>
      <w:proofErr w:type="spellEnd"/>
      <w:r w:rsidR="00C626E5">
        <w:rPr>
          <w:b/>
          <w:sz w:val="24"/>
        </w:rPr>
        <w:t>.</w:t>
      </w:r>
    </w:p>
    <w:p w:rsidR="00536BAA" w:rsidRDefault="00536BAA" w:rsidP="00536BAA">
      <w:pPr>
        <w:ind w:firstLine="720"/>
        <w:jc w:val="center"/>
        <w:rPr>
          <w:sz w:val="24"/>
          <w:lang w:val="lt-LT"/>
        </w:rPr>
      </w:pPr>
      <w:r>
        <w:rPr>
          <w:sz w:val="24"/>
          <w:lang w:val="lt-LT"/>
        </w:rPr>
        <w:t>2</w:t>
      </w:r>
    </w:p>
    <w:p w:rsidR="00C626E5" w:rsidRPr="00C626E5" w:rsidRDefault="004156C0" w:rsidP="00C626E5">
      <w:pPr>
        <w:ind w:firstLine="720"/>
        <w:jc w:val="both"/>
        <w:rPr>
          <w:b/>
          <w:sz w:val="24"/>
        </w:rPr>
      </w:pPr>
      <w:r>
        <w:rPr>
          <w:sz w:val="24"/>
          <w:lang w:val="lt-LT"/>
        </w:rPr>
        <w:t>Steigiamų pareigybių finansavimui</w:t>
      </w:r>
      <w:r w:rsidR="00241D89">
        <w:rPr>
          <w:sz w:val="24"/>
          <w:lang w:val="lt-LT"/>
        </w:rPr>
        <w:t xml:space="preserve"> per metus</w:t>
      </w:r>
      <w:r w:rsidR="00B43A20">
        <w:rPr>
          <w:sz w:val="24"/>
          <w:lang w:val="lt-LT"/>
        </w:rPr>
        <w:t xml:space="preserve"> reikės:</w:t>
      </w:r>
    </w:p>
    <w:p w:rsidR="00C626E5" w:rsidRDefault="00C626E5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66166">
        <w:rPr>
          <w:sz w:val="24"/>
          <w:lang w:val="lt-LT"/>
        </w:rPr>
        <w:t xml:space="preserve">- </w:t>
      </w:r>
      <w:proofErr w:type="spellStart"/>
      <w:r w:rsidR="008F63BF">
        <w:rPr>
          <w:sz w:val="24"/>
          <w:lang w:val="lt-LT"/>
        </w:rPr>
        <w:t>Paliūniškio</w:t>
      </w:r>
      <w:proofErr w:type="spellEnd"/>
      <w:r w:rsidR="008F63BF">
        <w:rPr>
          <w:sz w:val="24"/>
          <w:lang w:val="lt-LT"/>
        </w:rPr>
        <w:t xml:space="preserve"> pagrindinės mokyklos </w:t>
      </w:r>
      <w:r w:rsidR="008F63BF" w:rsidRPr="00C026CD">
        <w:rPr>
          <w:sz w:val="24"/>
          <w:szCs w:val="24"/>
          <w:lang w:val="lt-LT"/>
        </w:rPr>
        <w:t xml:space="preserve">priešmokyklinio ugdymo </w:t>
      </w:r>
      <w:r w:rsidR="008F63BF">
        <w:rPr>
          <w:sz w:val="24"/>
          <w:szCs w:val="24"/>
          <w:lang w:val="lt-LT"/>
        </w:rPr>
        <w:t xml:space="preserve">jungtinės </w:t>
      </w:r>
      <w:r w:rsidR="008F63BF" w:rsidRPr="00C026CD">
        <w:rPr>
          <w:sz w:val="24"/>
          <w:szCs w:val="24"/>
          <w:lang w:val="lt-LT"/>
        </w:rPr>
        <w:t xml:space="preserve">grupės </w:t>
      </w:r>
      <w:r w:rsidR="008F63BF">
        <w:rPr>
          <w:sz w:val="24"/>
          <w:szCs w:val="24"/>
          <w:lang w:val="lt-LT"/>
        </w:rPr>
        <w:t xml:space="preserve">auklėtojo padėjėjo (0,5) pareigybei finansuoti reikės </w:t>
      </w:r>
      <w:r w:rsidR="002E37C4">
        <w:rPr>
          <w:sz w:val="24"/>
          <w:szCs w:val="24"/>
          <w:lang w:val="lt-LT"/>
        </w:rPr>
        <w:t>2</w:t>
      </w:r>
      <w:r w:rsidR="008F63BF">
        <w:rPr>
          <w:sz w:val="24"/>
          <w:szCs w:val="24"/>
          <w:lang w:val="lt-LT"/>
        </w:rPr>
        <w:t xml:space="preserve"> </w:t>
      </w:r>
      <w:r w:rsidR="002E37C4">
        <w:rPr>
          <w:sz w:val="24"/>
          <w:szCs w:val="24"/>
          <w:lang w:val="lt-LT"/>
        </w:rPr>
        <w:t>1</w:t>
      </w:r>
      <w:r w:rsidR="008F63BF">
        <w:rPr>
          <w:sz w:val="24"/>
          <w:szCs w:val="24"/>
          <w:lang w:val="lt-LT"/>
        </w:rPr>
        <w:t xml:space="preserve">00 eurų darbo užmokesčiui ir </w:t>
      </w:r>
      <w:r w:rsidR="002E37C4">
        <w:rPr>
          <w:sz w:val="24"/>
          <w:szCs w:val="24"/>
          <w:lang w:val="lt-LT"/>
        </w:rPr>
        <w:t>650,58</w:t>
      </w:r>
      <w:r w:rsidR="008F63BF">
        <w:rPr>
          <w:sz w:val="24"/>
          <w:szCs w:val="24"/>
          <w:lang w:val="lt-LT"/>
        </w:rPr>
        <w:t xml:space="preserve"> euro įmoko</w:t>
      </w:r>
      <w:r w:rsidR="00821C18">
        <w:rPr>
          <w:sz w:val="24"/>
          <w:szCs w:val="24"/>
          <w:lang w:val="lt-LT"/>
        </w:rPr>
        <w:t>m</w:t>
      </w:r>
      <w:r w:rsidR="008F63BF">
        <w:rPr>
          <w:sz w:val="24"/>
          <w:szCs w:val="24"/>
          <w:lang w:val="lt-LT"/>
        </w:rPr>
        <w:t>s Sodrai (mokama minimali mėnesinė alga);</w:t>
      </w:r>
    </w:p>
    <w:p w:rsidR="00C626E5" w:rsidRDefault="00C626E5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-</w:t>
      </w:r>
      <w:r w:rsidR="00821C18" w:rsidRPr="00821C18">
        <w:rPr>
          <w:sz w:val="24"/>
          <w:szCs w:val="24"/>
          <w:lang w:val="lt-LT"/>
        </w:rPr>
        <w:t xml:space="preserve"> </w:t>
      </w:r>
      <w:r w:rsidR="00821C18">
        <w:rPr>
          <w:sz w:val="24"/>
          <w:szCs w:val="24"/>
          <w:lang w:val="lt-LT"/>
        </w:rPr>
        <w:t>Visuomenės sveikatos centro visuomenės sveikatos stiprinimo specialisto pareigybei</w:t>
      </w:r>
      <w:r>
        <w:rPr>
          <w:sz w:val="24"/>
          <w:lang w:val="lt-LT"/>
        </w:rPr>
        <w:t xml:space="preserve"> </w:t>
      </w:r>
      <w:r w:rsidR="00A66166">
        <w:rPr>
          <w:sz w:val="24"/>
          <w:lang w:val="lt-LT"/>
        </w:rPr>
        <w:t xml:space="preserve"> finansuoti reikės</w:t>
      </w:r>
      <w:r>
        <w:rPr>
          <w:sz w:val="24"/>
          <w:lang w:val="lt-LT"/>
        </w:rPr>
        <w:t xml:space="preserve"> </w:t>
      </w:r>
      <w:r w:rsidR="00821C18">
        <w:rPr>
          <w:sz w:val="24"/>
          <w:lang w:val="lt-LT"/>
        </w:rPr>
        <w:t xml:space="preserve">6 390 eurų </w:t>
      </w:r>
      <w:r w:rsidR="00241D89">
        <w:rPr>
          <w:sz w:val="24"/>
          <w:lang w:val="lt-LT"/>
        </w:rPr>
        <w:t>darbo</w:t>
      </w:r>
      <w:r>
        <w:rPr>
          <w:sz w:val="24"/>
          <w:lang w:val="lt-LT"/>
        </w:rPr>
        <w:t xml:space="preserve"> užmokesčiui ir 1 </w:t>
      </w:r>
      <w:r w:rsidR="00E95902">
        <w:rPr>
          <w:sz w:val="24"/>
          <w:lang w:val="lt-LT"/>
        </w:rPr>
        <w:t>9</w:t>
      </w:r>
      <w:r w:rsidR="00821C18">
        <w:rPr>
          <w:sz w:val="24"/>
          <w:lang w:val="lt-LT"/>
        </w:rPr>
        <w:t>79,62</w:t>
      </w:r>
      <w:r>
        <w:rPr>
          <w:sz w:val="24"/>
          <w:lang w:val="lt-LT"/>
        </w:rPr>
        <w:t xml:space="preserve"> </w:t>
      </w:r>
      <w:r w:rsidR="00821C18">
        <w:rPr>
          <w:sz w:val="24"/>
          <w:lang w:val="lt-LT"/>
        </w:rPr>
        <w:t>euro</w:t>
      </w:r>
      <w:r>
        <w:rPr>
          <w:sz w:val="24"/>
          <w:lang w:val="lt-LT"/>
        </w:rPr>
        <w:t xml:space="preserve"> įmokoms Sodrai (mokama</w:t>
      </w:r>
      <w:r w:rsidR="00821C18">
        <w:rPr>
          <w:sz w:val="24"/>
          <w:lang w:val="lt-LT"/>
        </w:rPr>
        <w:t>s koeficientas 15 bazinės mėnesinės algos dydžiais</w:t>
      </w:r>
      <w:r>
        <w:rPr>
          <w:sz w:val="24"/>
          <w:lang w:val="lt-LT"/>
        </w:rPr>
        <w:t>)</w:t>
      </w:r>
      <w:r w:rsidR="00821C18">
        <w:rPr>
          <w:sz w:val="24"/>
          <w:lang w:val="lt-LT"/>
        </w:rPr>
        <w:t>. Pareigybė finansuojama iš Sveikatos apsaugos ministerijos specialiosios tikslinės dotacijos.</w:t>
      </w:r>
    </w:p>
    <w:p w:rsidR="00C626E5" w:rsidRDefault="000C3191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- </w:t>
      </w:r>
      <w:r w:rsidR="00C179A1">
        <w:rPr>
          <w:sz w:val="24"/>
          <w:lang w:val="lt-LT"/>
        </w:rPr>
        <w:t xml:space="preserve">Ramygalos gimnazijoje panaikinus 1 pareigybę ir </w:t>
      </w:r>
      <w:proofErr w:type="spellStart"/>
      <w:r w:rsidR="00C179A1">
        <w:rPr>
          <w:sz w:val="24"/>
          <w:lang w:val="lt-LT"/>
        </w:rPr>
        <w:t>Velžio</w:t>
      </w:r>
      <w:proofErr w:type="spellEnd"/>
      <w:r w:rsidR="00C179A1">
        <w:rPr>
          <w:sz w:val="24"/>
          <w:lang w:val="lt-LT"/>
        </w:rPr>
        <w:t xml:space="preserve"> gimnazijoje panaikinus 2 pareigybes darbuotojams, su kuriais nutraukiamos darbo sutartys, išeitinių išmokų mokėjimui </w:t>
      </w:r>
      <w:r w:rsidR="002E37C4">
        <w:rPr>
          <w:sz w:val="24"/>
          <w:lang w:val="lt-LT"/>
        </w:rPr>
        <w:t xml:space="preserve">ir įmokoms Sodrai </w:t>
      </w:r>
      <w:r w:rsidR="00C179A1">
        <w:rPr>
          <w:sz w:val="24"/>
          <w:lang w:val="lt-LT"/>
        </w:rPr>
        <w:t>reikės 5 664 eurų.</w:t>
      </w:r>
    </w:p>
    <w:p w:rsidR="00C179A1" w:rsidRDefault="00C179A1" w:rsidP="00C626E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proofErr w:type="spellStart"/>
      <w:r>
        <w:rPr>
          <w:sz w:val="24"/>
          <w:lang w:val="lt-LT"/>
        </w:rPr>
        <w:t>Linkaučių</w:t>
      </w:r>
      <w:proofErr w:type="spellEnd"/>
      <w:r>
        <w:rPr>
          <w:sz w:val="24"/>
          <w:lang w:val="lt-LT"/>
        </w:rPr>
        <w:t xml:space="preserve"> pagrindinėje mokykloje naikinant 1,25  pareigybės</w:t>
      </w:r>
      <w:r w:rsidR="005C7AD7">
        <w:rPr>
          <w:sz w:val="24"/>
          <w:lang w:val="lt-LT"/>
        </w:rPr>
        <w:t xml:space="preserve"> ir Ramygalos gimnazijos </w:t>
      </w:r>
      <w:r w:rsidR="00FD766C">
        <w:rPr>
          <w:sz w:val="24"/>
          <w:lang w:val="lt-LT"/>
        </w:rPr>
        <w:t xml:space="preserve">Jotainių skyriuje </w:t>
      </w:r>
      <w:bookmarkStart w:id="0" w:name="_GoBack"/>
      <w:bookmarkEnd w:id="0"/>
      <w:r w:rsidR="005C7AD7">
        <w:rPr>
          <w:sz w:val="24"/>
          <w:lang w:val="lt-LT"/>
        </w:rPr>
        <w:t>naikina</w:t>
      </w:r>
      <w:r w:rsidR="00F32BB4">
        <w:rPr>
          <w:sz w:val="24"/>
          <w:lang w:val="lt-LT"/>
        </w:rPr>
        <w:t>n</w:t>
      </w:r>
      <w:r w:rsidR="005C7AD7">
        <w:rPr>
          <w:sz w:val="24"/>
          <w:lang w:val="lt-LT"/>
        </w:rPr>
        <w:t>t</w:t>
      </w:r>
      <w:r w:rsidR="00F32BB4">
        <w:rPr>
          <w:sz w:val="24"/>
          <w:lang w:val="lt-LT"/>
        </w:rPr>
        <w:t xml:space="preserve"> katilų priežiūros darbininko 0,5 pareigybės </w:t>
      </w:r>
      <w:r w:rsidR="005C7AD7">
        <w:rPr>
          <w:sz w:val="24"/>
          <w:lang w:val="lt-LT"/>
        </w:rPr>
        <w:t xml:space="preserve"> </w:t>
      </w:r>
      <w:r>
        <w:rPr>
          <w:sz w:val="24"/>
          <w:lang w:val="lt-LT"/>
        </w:rPr>
        <w:t>mažinamas darbuotojams darbo krūvis, siūlant keisti darbo sutarties sąlygas</w:t>
      </w:r>
      <w:r w:rsidR="003819D6">
        <w:rPr>
          <w:sz w:val="24"/>
          <w:lang w:val="lt-LT"/>
        </w:rPr>
        <w:t>.</w:t>
      </w:r>
    </w:p>
    <w:p w:rsidR="00E95902" w:rsidRDefault="0007096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Sprendimo projektui nereikalingas antikorupcinis vertinimas.</w:t>
      </w:r>
    </w:p>
    <w:p w:rsidR="007729B7" w:rsidRPr="00A428D6" w:rsidRDefault="007729B7">
      <w:pPr>
        <w:jc w:val="both"/>
        <w:rPr>
          <w:sz w:val="24"/>
          <w:lang w:val="lt-LT"/>
        </w:rPr>
      </w:pPr>
    </w:p>
    <w:p w:rsidR="00B07407" w:rsidRPr="00A428D6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sectPr w:rsidR="00B07407" w:rsidRPr="00A428D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97069"/>
    <w:rsid w:val="000C3191"/>
    <w:rsid w:val="00107A6D"/>
    <w:rsid w:val="00133229"/>
    <w:rsid w:val="00146AC9"/>
    <w:rsid w:val="001C2743"/>
    <w:rsid w:val="002035BF"/>
    <w:rsid w:val="00241D89"/>
    <w:rsid w:val="002E37C4"/>
    <w:rsid w:val="003819D6"/>
    <w:rsid w:val="003913F2"/>
    <w:rsid w:val="003A79BB"/>
    <w:rsid w:val="003B2355"/>
    <w:rsid w:val="003B374A"/>
    <w:rsid w:val="003F392F"/>
    <w:rsid w:val="004156C0"/>
    <w:rsid w:val="00416AE4"/>
    <w:rsid w:val="00462F79"/>
    <w:rsid w:val="00475C80"/>
    <w:rsid w:val="004A22D5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94F81"/>
    <w:rsid w:val="007B6765"/>
    <w:rsid w:val="007C36BB"/>
    <w:rsid w:val="007F27CE"/>
    <w:rsid w:val="007F42B1"/>
    <w:rsid w:val="008142EE"/>
    <w:rsid w:val="00821C18"/>
    <w:rsid w:val="0086322B"/>
    <w:rsid w:val="008F4158"/>
    <w:rsid w:val="008F63BF"/>
    <w:rsid w:val="00944836"/>
    <w:rsid w:val="009601EB"/>
    <w:rsid w:val="00963782"/>
    <w:rsid w:val="009E7588"/>
    <w:rsid w:val="00A428D6"/>
    <w:rsid w:val="00A66166"/>
    <w:rsid w:val="00A74DDE"/>
    <w:rsid w:val="00AB2205"/>
    <w:rsid w:val="00B07407"/>
    <w:rsid w:val="00B43A20"/>
    <w:rsid w:val="00B552DF"/>
    <w:rsid w:val="00BB631A"/>
    <w:rsid w:val="00BB77F5"/>
    <w:rsid w:val="00BC30A1"/>
    <w:rsid w:val="00BD4D43"/>
    <w:rsid w:val="00C026CD"/>
    <w:rsid w:val="00C179A1"/>
    <w:rsid w:val="00C626E5"/>
    <w:rsid w:val="00C72940"/>
    <w:rsid w:val="00C83668"/>
    <w:rsid w:val="00C94752"/>
    <w:rsid w:val="00CE7BD6"/>
    <w:rsid w:val="00E4183E"/>
    <w:rsid w:val="00E95902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3611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18</cp:revision>
  <cp:lastPrinted>2015-12-15T06:29:00Z</cp:lastPrinted>
  <dcterms:created xsi:type="dcterms:W3CDTF">2015-12-08T11:10:00Z</dcterms:created>
  <dcterms:modified xsi:type="dcterms:W3CDTF">2015-12-15T06:49:00Z</dcterms:modified>
</cp:coreProperties>
</file>