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2D6" w:rsidRPr="002522D6" w:rsidRDefault="002522D6" w:rsidP="002522D6">
      <w:pPr>
        <w:shd w:val="clear" w:color="auto" w:fill="FFFFFF"/>
        <w:spacing w:line="274" w:lineRule="exact"/>
        <w:jc w:val="center"/>
        <w:rPr>
          <w:sz w:val="24"/>
          <w:szCs w:val="24"/>
        </w:rPr>
      </w:pPr>
      <w:bookmarkStart w:id="0" w:name="_GoBack"/>
      <w:bookmarkEnd w:id="0"/>
      <w:r w:rsidRPr="002522D6">
        <w:rPr>
          <w:b/>
          <w:spacing w:val="-12"/>
          <w:sz w:val="24"/>
          <w:szCs w:val="24"/>
        </w:rPr>
        <w:t>DĖL SUTIKIMO  REORGANIZUOTI PANEVĖŽIO R. KATINŲ PAGRINDINĘ MOKYKLĄ IR PANEVĖŽIO R. VELŽIO GIMNAZIJĄ</w:t>
      </w:r>
    </w:p>
    <w:p w:rsidR="00D16BAE" w:rsidRPr="002522D6" w:rsidRDefault="00D16BAE" w:rsidP="002522D6">
      <w:pPr>
        <w:shd w:val="clear" w:color="auto" w:fill="FFFFFF"/>
        <w:spacing w:line="274" w:lineRule="exact"/>
        <w:jc w:val="center"/>
        <w:rPr>
          <w:sz w:val="24"/>
          <w:szCs w:val="24"/>
        </w:rPr>
      </w:pPr>
    </w:p>
    <w:p w:rsidR="002522D6" w:rsidRPr="002522D6" w:rsidRDefault="002522D6" w:rsidP="002522D6">
      <w:pPr>
        <w:shd w:val="clear" w:color="auto" w:fill="FFFFFF"/>
        <w:spacing w:line="274" w:lineRule="exact"/>
        <w:jc w:val="center"/>
        <w:rPr>
          <w:sz w:val="24"/>
          <w:szCs w:val="24"/>
          <w:lang w:val="en-US"/>
        </w:rPr>
      </w:pPr>
      <w:r w:rsidRPr="002522D6">
        <w:rPr>
          <w:spacing w:val="-1"/>
          <w:sz w:val="24"/>
          <w:szCs w:val="24"/>
        </w:rPr>
        <w:t>2015 m. kovo 27 d. Nr. T2-</w:t>
      </w:r>
      <w:r w:rsidR="00BC4C99">
        <w:rPr>
          <w:spacing w:val="-1"/>
          <w:sz w:val="24"/>
          <w:szCs w:val="24"/>
        </w:rPr>
        <w:t>44</w:t>
      </w:r>
      <w:r w:rsidRPr="002522D6">
        <w:rPr>
          <w:spacing w:val="-1"/>
          <w:sz w:val="24"/>
          <w:szCs w:val="24"/>
        </w:rPr>
        <w:t xml:space="preserve"> </w:t>
      </w:r>
    </w:p>
    <w:p w:rsidR="00015334" w:rsidRDefault="002522D6" w:rsidP="00D16BAE">
      <w:pPr>
        <w:shd w:val="clear" w:color="auto" w:fill="FFFFFF"/>
        <w:spacing w:line="360" w:lineRule="auto"/>
        <w:jc w:val="center"/>
        <w:rPr>
          <w:sz w:val="24"/>
          <w:szCs w:val="24"/>
        </w:rPr>
      </w:pPr>
      <w:r w:rsidRPr="002522D6">
        <w:rPr>
          <w:sz w:val="24"/>
          <w:szCs w:val="24"/>
        </w:rPr>
        <w:t>Panevėžys</w:t>
      </w:r>
    </w:p>
    <w:p w:rsidR="00D16BAE" w:rsidRDefault="00D16BAE" w:rsidP="00015334">
      <w:pPr>
        <w:tabs>
          <w:tab w:val="left" w:pos="0"/>
          <w:tab w:val="left" w:pos="900"/>
        </w:tabs>
        <w:jc w:val="both"/>
        <w:rPr>
          <w:sz w:val="24"/>
          <w:szCs w:val="24"/>
        </w:rPr>
      </w:pPr>
    </w:p>
    <w:p w:rsidR="00E5650D" w:rsidRDefault="00015334" w:rsidP="00E5650D">
      <w:pPr>
        <w:tabs>
          <w:tab w:val="left" w:pos="0"/>
          <w:tab w:val="left" w:pos="900"/>
        </w:tabs>
        <w:jc w:val="both"/>
        <w:rPr>
          <w:sz w:val="24"/>
          <w:lang w:eastAsia="en-US"/>
        </w:rPr>
      </w:pPr>
      <w:r>
        <w:rPr>
          <w:sz w:val="24"/>
        </w:rPr>
        <w:tab/>
      </w:r>
      <w:r w:rsidR="00E5650D" w:rsidRPr="00E5650D">
        <w:rPr>
          <w:sz w:val="24"/>
          <w:lang w:eastAsia="en-US"/>
        </w:rPr>
        <w:t>Vadovaudamasi Lietuvos Respublikos civ</w:t>
      </w:r>
      <w:r w:rsidR="00CF52BB">
        <w:rPr>
          <w:sz w:val="24"/>
          <w:lang w:eastAsia="en-US"/>
        </w:rPr>
        <w:t xml:space="preserve">ilinio kodekso </w:t>
      </w:r>
      <w:r w:rsidR="00E5650D" w:rsidRPr="00E5650D">
        <w:rPr>
          <w:sz w:val="24"/>
          <w:lang w:eastAsia="en-US"/>
        </w:rPr>
        <w:t>2.97 straipsnio</w:t>
      </w:r>
      <w:r w:rsidR="00CF52BB">
        <w:rPr>
          <w:sz w:val="24"/>
          <w:lang w:eastAsia="en-US"/>
        </w:rPr>
        <w:t xml:space="preserve"> </w:t>
      </w:r>
      <w:r w:rsidR="00E5650D" w:rsidRPr="00E5650D">
        <w:rPr>
          <w:sz w:val="24"/>
          <w:lang w:eastAsia="en-US"/>
        </w:rPr>
        <w:t>3 dalimi,</w:t>
      </w:r>
      <w:r w:rsidR="00CF52BB">
        <w:rPr>
          <w:sz w:val="24"/>
          <w:lang w:eastAsia="en-US"/>
        </w:rPr>
        <w:t xml:space="preserve">         </w:t>
      </w:r>
      <w:r w:rsidR="00E5650D" w:rsidRPr="00E5650D">
        <w:rPr>
          <w:sz w:val="24"/>
          <w:lang w:eastAsia="en-US"/>
        </w:rPr>
        <w:t xml:space="preserve"> 2.99 straipsniu, Lietuvos Respublikos vietos savivaldos įstatymo </w:t>
      </w:r>
      <w:r w:rsidR="00CF52BB">
        <w:rPr>
          <w:sz w:val="24"/>
          <w:lang w:eastAsia="en-US"/>
        </w:rPr>
        <w:t xml:space="preserve">16 straipsnio 2 dalies </w:t>
      </w:r>
      <w:r w:rsidR="00E5650D" w:rsidRPr="00E5650D">
        <w:rPr>
          <w:sz w:val="24"/>
          <w:lang w:eastAsia="en-US"/>
        </w:rPr>
        <w:t>21 punktu, Lietuvos Respublikos biudžetinių įstaigų įstatymo 14 straipsniu, Mokyklų, vykdančių formaliojo švietimo programas, tinklo kūrimo taisyklėmis, patvirtintomis Lietuvos Respublikos Vyriausybės 2011 m. birželio 29 d. nutarimu Nr. 768 „Dėl Mokyklų, vykdančių formaliojo švietimo programas, tinklo kūrimo taisyklių patvirtinimo“, ir atsižvelgdama į Panevėžio rajono savivaldybės bendrojo ugdymo mokyklų tinklo pertvarkos 2012–2015 metais bendrojo plano, patvirtinto Panevėžio rajono savivaldybės tarybos 2012 m. gegužės 17 d. sprendimu Nr. T-103 „Dėl Panevėžio rajono savivaldybės bendrojo ugdymo mokyklų tinklo pertvarkos 2012–2015 metais bendrojo plano patvirtinimo“, 1 priedo 1</w:t>
      </w:r>
      <w:r w:rsidR="00E5650D">
        <w:rPr>
          <w:sz w:val="24"/>
          <w:lang w:eastAsia="en-US"/>
        </w:rPr>
        <w:t>4</w:t>
      </w:r>
      <w:r w:rsidR="00E5650D" w:rsidRPr="00E5650D">
        <w:rPr>
          <w:sz w:val="24"/>
          <w:lang w:eastAsia="en-US"/>
        </w:rPr>
        <w:t xml:space="preserve"> eilutę, Panevėžio rajono savivaldybės taryba n u s p r e n d ž i a:</w:t>
      </w:r>
    </w:p>
    <w:p w:rsidR="002522D6" w:rsidRPr="00E5650D" w:rsidRDefault="00E5650D" w:rsidP="00E5650D">
      <w:pPr>
        <w:numPr>
          <w:ilvl w:val="0"/>
          <w:numId w:val="5"/>
        </w:numPr>
        <w:tabs>
          <w:tab w:val="left" w:pos="0"/>
          <w:tab w:val="left" w:pos="900"/>
        </w:tabs>
        <w:ind w:left="0" w:firstLine="1080"/>
        <w:jc w:val="both"/>
        <w:rPr>
          <w:sz w:val="24"/>
          <w:lang w:eastAsia="en-US"/>
        </w:rPr>
      </w:pPr>
      <w:r>
        <w:rPr>
          <w:sz w:val="24"/>
          <w:szCs w:val="24"/>
        </w:rPr>
        <w:t xml:space="preserve"> </w:t>
      </w:r>
      <w:r w:rsidR="002522D6" w:rsidRPr="002522D6">
        <w:rPr>
          <w:sz w:val="24"/>
          <w:szCs w:val="24"/>
        </w:rPr>
        <w:t>Sutikti, kad biudžetinė įstaiga Panevėžio r. Katinų pagrindinė mokykla iki 2015 m. rugpjūčio 31 d. būtų reorganizuojama prijungimo būdu prijungiant</w:t>
      </w:r>
      <w:r w:rsidR="00294203">
        <w:rPr>
          <w:sz w:val="24"/>
          <w:szCs w:val="24"/>
        </w:rPr>
        <w:t xml:space="preserve"> ją prie Panevėžio r. Velžio gi</w:t>
      </w:r>
      <w:r w:rsidR="002522D6" w:rsidRPr="002522D6">
        <w:rPr>
          <w:sz w:val="24"/>
          <w:szCs w:val="24"/>
        </w:rPr>
        <w:t>mnazijos.</w:t>
      </w:r>
    </w:p>
    <w:p w:rsidR="002522D6" w:rsidRPr="002522D6" w:rsidRDefault="00E5650D" w:rsidP="00E5650D">
      <w:pPr>
        <w:widowControl w:val="0"/>
        <w:numPr>
          <w:ilvl w:val="0"/>
          <w:numId w:val="5"/>
        </w:numPr>
        <w:tabs>
          <w:tab w:val="left" w:pos="0"/>
          <w:tab w:val="left" w:pos="900"/>
          <w:tab w:val="left" w:pos="1276"/>
        </w:tabs>
        <w:autoSpaceDE w:val="0"/>
        <w:autoSpaceDN w:val="0"/>
        <w:jc w:val="both"/>
        <w:rPr>
          <w:sz w:val="24"/>
          <w:szCs w:val="24"/>
        </w:rPr>
      </w:pPr>
      <w:r>
        <w:rPr>
          <w:sz w:val="24"/>
          <w:szCs w:val="24"/>
        </w:rPr>
        <w:t xml:space="preserve"> </w:t>
      </w:r>
      <w:r w:rsidR="002522D6" w:rsidRPr="002522D6">
        <w:rPr>
          <w:sz w:val="24"/>
          <w:szCs w:val="24"/>
        </w:rPr>
        <w:t>Nustatyti, kad:</w:t>
      </w:r>
    </w:p>
    <w:p w:rsidR="002522D6" w:rsidRPr="002522D6" w:rsidRDefault="00E5650D" w:rsidP="00E5650D">
      <w:pPr>
        <w:pStyle w:val="Sraopastraipa"/>
        <w:widowControl w:val="0"/>
        <w:numPr>
          <w:ilvl w:val="0"/>
          <w:numId w:val="5"/>
        </w:numPr>
        <w:tabs>
          <w:tab w:val="left" w:pos="-360"/>
          <w:tab w:val="left" w:pos="90"/>
        </w:tabs>
        <w:suppressAutoHyphens/>
        <w:autoSpaceDE w:val="0"/>
        <w:autoSpaceDN w:val="0"/>
        <w:spacing w:after="0" w:line="240" w:lineRule="auto"/>
        <w:ind w:left="0" w:firstLine="1080"/>
        <w:contextualSpacing w:val="0"/>
        <w:jc w:val="both"/>
        <w:rPr>
          <w:rFonts w:ascii="Times New Roman" w:hAnsi="Times New Roman"/>
          <w:sz w:val="24"/>
          <w:szCs w:val="24"/>
          <w:lang w:val="en-US"/>
        </w:rPr>
      </w:pPr>
      <w:r>
        <w:rPr>
          <w:rFonts w:ascii="Times New Roman" w:hAnsi="Times New Roman"/>
          <w:sz w:val="24"/>
          <w:szCs w:val="24"/>
        </w:rPr>
        <w:t xml:space="preserve"> </w:t>
      </w:r>
      <w:r w:rsidR="002522D6" w:rsidRPr="002522D6">
        <w:rPr>
          <w:rFonts w:ascii="Times New Roman" w:hAnsi="Times New Roman"/>
          <w:sz w:val="24"/>
          <w:szCs w:val="24"/>
        </w:rPr>
        <w:t>reorganizavimo tikslas</w:t>
      </w:r>
      <w:r w:rsidR="0014512A">
        <w:rPr>
          <w:rFonts w:ascii="Times New Roman" w:hAnsi="Times New Roman"/>
          <w:sz w:val="24"/>
          <w:szCs w:val="24"/>
        </w:rPr>
        <w:t xml:space="preserve"> –</w:t>
      </w:r>
      <w:r w:rsidR="002522D6" w:rsidRPr="002522D6">
        <w:rPr>
          <w:rFonts w:ascii="Times New Roman" w:hAnsi="Times New Roman"/>
          <w:sz w:val="24"/>
          <w:szCs w:val="24"/>
        </w:rPr>
        <w:t xml:space="preserve"> </w:t>
      </w:r>
      <w:r w:rsidR="002522D6" w:rsidRPr="002522D6">
        <w:rPr>
          <w:rFonts w:ascii="Times New Roman" w:hAnsi="Times New Roman"/>
          <w:color w:val="000000"/>
          <w:sz w:val="24"/>
          <w:szCs w:val="24"/>
          <w:lang w:eastAsia="lt-LT"/>
        </w:rPr>
        <w:t xml:space="preserve">sudaryti sąlygas plėtoti geros kokybės privalomąjį ir visuotinį švietimą, didinti jo prieinamumą už valstybei </w:t>
      </w:r>
      <w:r w:rsidR="002522D6" w:rsidRPr="002522D6">
        <w:rPr>
          <w:rFonts w:ascii="Times New Roman" w:hAnsi="Times New Roman"/>
          <w:sz w:val="24"/>
          <w:szCs w:val="24"/>
          <w:lang w:eastAsia="lt-LT"/>
        </w:rPr>
        <w:t>ir savivaldybei</w:t>
      </w:r>
      <w:r w:rsidR="002522D6" w:rsidRPr="002522D6">
        <w:rPr>
          <w:rFonts w:ascii="Times New Roman" w:hAnsi="Times New Roman"/>
          <w:color w:val="000000"/>
          <w:sz w:val="24"/>
          <w:szCs w:val="24"/>
          <w:lang w:eastAsia="lt-LT"/>
        </w:rPr>
        <w:t xml:space="preserve"> pakeliamą kainą,</w:t>
      </w:r>
      <w:r w:rsidR="00015334">
        <w:rPr>
          <w:rFonts w:ascii="Times New Roman" w:hAnsi="Times New Roman"/>
          <w:sz w:val="24"/>
          <w:szCs w:val="24"/>
          <w:lang w:eastAsia="lt-LT"/>
        </w:rPr>
        <w:t xml:space="preserve"> nes dėl mažo mokinių skaičiaus</w:t>
      </w:r>
      <w:r w:rsidR="002522D6" w:rsidRPr="002522D6">
        <w:rPr>
          <w:rFonts w:ascii="Times New Roman" w:hAnsi="Times New Roman"/>
          <w:sz w:val="24"/>
          <w:szCs w:val="24"/>
          <w:lang w:eastAsia="lt-LT"/>
        </w:rPr>
        <w:t xml:space="preserve"> nepakanka lėšų išlaikyti mokyklą;</w:t>
      </w:r>
    </w:p>
    <w:p w:rsidR="002522D6" w:rsidRPr="002522D6" w:rsidRDefault="00E5650D" w:rsidP="00E5650D">
      <w:pPr>
        <w:widowControl w:val="0"/>
        <w:numPr>
          <w:ilvl w:val="0"/>
          <w:numId w:val="5"/>
        </w:numPr>
        <w:tabs>
          <w:tab w:val="left" w:pos="-1800"/>
          <w:tab w:val="left" w:pos="-1350"/>
          <w:tab w:val="left" w:pos="-1170"/>
        </w:tabs>
        <w:autoSpaceDE w:val="0"/>
        <w:autoSpaceDN w:val="0"/>
        <w:jc w:val="both"/>
        <w:rPr>
          <w:sz w:val="24"/>
          <w:szCs w:val="24"/>
        </w:rPr>
      </w:pPr>
      <w:r>
        <w:rPr>
          <w:sz w:val="24"/>
          <w:szCs w:val="24"/>
        </w:rPr>
        <w:t xml:space="preserve"> </w:t>
      </w:r>
      <w:r w:rsidR="007B62A0">
        <w:rPr>
          <w:sz w:val="24"/>
          <w:szCs w:val="24"/>
        </w:rPr>
        <w:t xml:space="preserve">reorganizavimo būdas – </w:t>
      </w:r>
      <w:r w:rsidR="002522D6" w:rsidRPr="002522D6">
        <w:rPr>
          <w:sz w:val="24"/>
          <w:szCs w:val="24"/>
        </w:rPr>
        <w:t>prijungimas;</w:t>
      </w:r>
    </w:p>
    <w:p w:rsidR="002522D6" w:rsidRPr="002522D6" w:rsidRDefault="00E5650D" w:rsidP="00E5650D">
      <w:pPr>
        <w:widowControl w:val="0"/>
        <w:numPr>
          <w:ilvl w:val="0"/>
          <w:numId w:val="5"/>
        </w:numPr>
        <w:tabs>
          <w:tab w:val="left" w:pos="-1800"/>
          <w:tab w:val="left" w:pos="-1350"/>
          <w:tab w:val="left" w:pos="-1170"/>
        </w:tabs>
        <w:autoSpaceDE w:val="0"/>
        <w:autoSpaceDN w:val="0"/>
        <w:jc w:val="both"/>
        <w:rPr>
          <w:sz w:val="24"/>
          <w:szCs w:val="24"/>
        </w:rPr>
      </w:pPr>
      <w:r>
        <w:rPr>
          <w:sz w:val="24"/>
          <w:szCs w:val="24"/>
        </w:rPr>
        <w:t xml:space="preserve"> </w:t>
      </w:r>
      <w:r w:rsidR="002522D6" w:rsidRPr="002522D6">
        <w:rPr>
          <w:sz w:val="24"/>
          <w:szCs w:val="24"/>
        </w:rPr>
        <w:t>reor</w:t>
      </w:r>
      <w:r w:rsidR="007B62A0">
        <w:rPr>
          <w:sz w:val="24"/>
          <w:szCs w:val="24"/>
        </w:rPr>
        <w:t>ganizuojama biudžetinė įstaiga –</w:t>
      </w:r>
      <w:r w:rsidR="002522D6" w:rsidRPr="002522D6">
        <w:rPr>
          <w:sz w:val="24"/>
          <w:szCs w:val="24"/>
        </w:rPr>
        <w:t xml:space="preserve"> Panevėžio r. Katinų pagrindinė mokykla;</w:t>
      </w:r>
    </w:p>
    <w:p w:rsidR="002522D6" w:rsidRPr="002522D6" w:rsidRDefault="00E5650D" w:rsidP="00E5650D">
      <w:pPr>
        <w:widowControl w:val="0"/>
        <w:numPr>
          <w:ilvl w:val="0"/>
          <w:numId w:val="5"/>
        </w:numPr>
        <w:tabs>
          <w:tab w:val="left" w:pos="-1800"/>
          <w:tab w:val="left" w:pos="-1350"/>
          <w:tab w:val="left" w:pos="-1170"/>
        </w:tabs>
        <w:autoSpaceDE w:val="0"/>
        <w:autoSpaceDN w:val="0"/>
        <w:jc w:val="both"/>
        <w:rPr>
          <w:sz w:val="24"/>
          <w:szCs w:val="24"/>
        </w:rPr>
      </w:pPr>
      <w:r>
        <w:rPr>
          <w:sz w:val="24"/>
          <w:szCs w:val="24"/>
        </w:rPr>
        <w:t xml:space="preserve"> </w:t>
      </w:r>
      <w:r w:rsidR="002522D6" w:rsidRPr="002522D6">
        <w:rPr>
          <w:sz w:val="24"/>
          <w:szCs w:val="24"/>
        </w:rPr>
        <w:t>dalyvaujanti reorganizavime biudžetinė įstaiga – Panevėžio r. Velžio gimnazija;</w:t>
      </w:r>
    </w:p>
    <w:p w:rsidR="002522D6" w:rsidRPr="002522D6" w:rsidRDefault="00E5650D" w:rsidP="00E5650D">
      <w:pPr>
        <w:widowControl w:val="0"/>
        <w:numPr>
          <w:ilvl w:val="0"/>
          <w:numId w:val="5"/>
        </w:numPr>
        <w:tabs>
          <w:tab w:val="left" w:pos="-1800"/>
          <w:tab w:val="left" w:pos="-1350"/>
          <w:tab w:val="left" w:pos="-1170"/>
        </w:tabs>
        <w:autoSpaceDE w:val="0"/>
        <w:autoSpaceDN w:val="0"/>
        <w:jc w:val="both"/>
        <w:rPr>
          <w:sz w:val="24"/>
          <w:szCs w:val="24"/>
        </w:rPr>
      </w:pPr>
      <w:r>
        <w:rPr>
          <w:sz w:val="24"/>
          <w:szCs w:val="24"/>
        </w:rPr>
        <w:t xml:space="preserve"> </w:t>
      </w:r>
      <w:r w:rsidR="002522D6" w:rsidRPr="002522D6">
        <w:rPr>
          <w:sz w:val="24"/>
          <w:szCs w:val="24"/>
        </w:rPr>
        <w:t>po reorganizavimo</w:t>
      </w:r>
      <w:r w:rsidR="007B62A0">
        <w:rPr>
          <w:sz w:val="24"/>
          <w:szCs w:val="24"/>
        </w:rPr>
        <w:t xml:space="preserve"> veiksianti biudžetinė įstaiga –</w:t>
      </w:r>
      <w:r w:rsidR="002522D6" w:rsidRPr="002522D6">
        <w:rPr>
          <w:sz w:val="24"/>
          <w:szCs w:val="24"/>
        </w:rPr>
        <w:t xml:space="preserve"> Panevėžio r. Velžio gimnazija;</w:t>
      </w:r>
    </w:p>
    <w:p w:rsidR="002522D6" w:rsidRPr="002522D6" w:rsidRDefault="00E5650D" w:rsidP="00E5650D">
      <w:pPr>
        <w:widowControl w:val="0"/>
        <w:numPr>
          <w:ilvl w:val="0"/>
          <w:numId w:val="5"/>
        </w:numPr>
        <w:tabs>
          <w:tab w:val="left" w:pos="-1800"/>
          <w:tab w:val="left" w:pos="-1350"/>
          <w:tab w:val="left" w:pos="-1170"/>
        </w:tabs>
        <w:autoSpaceDE w:val="0"/>
        <w:autoSpaceDN w:val="0"/>
        <w:ind w:left="0" w:firstLine="1080"/>
        <w:jc w:val="both"/>
        <w:rPr>
          <w:sz w:val="24"/>
          <w:szCs w:val="24"/>
        </w:rPr>
      </w:pPr>
      <w:r>
        <w:rPr>
          <w:sz w:val="24"/>
          <w:szCs w:val="24"/>
        </w:rPr>
        <w:t xml:space="preserve"> </w:t>
      </w:r>
      <w:r w:rsidR="002522D6" w:rsidRPr="002522D6">
        <w:rPr>
          <w:sz w:val="24"/>
          <w:szCs w:val="24"/>
        </w:rPr>
        <w:t>po reorganizavimo veiksiančios biudžetinės įstaigos savininko teises ir pareigas įgyvendinanti institucija – Panev</w:t>
      </w:r>
      <w:r w:rsidR="00015334">
        <w:rPr>
          <w:sz w:val="24"/>
          <w:szCs w:val="24"/>
        </w:rPr>
        <w:t>ėžio rajono savivaldybės taryba;</w:t>
      </w:r>
    </w:p>
    <w:p w:rsidR="002522D6" w:rsidRPr="002522D6" w:rsidRDefault="00E5650D" w:rsidP="00E5650D">
      <w:pPr>
        <w:widowControl w:val="0"/>
        <w:numPr>
          <w:ilvl w:val="0"/>
          <w:numId w:val="5"/>
        </w:numPr>
        <w:tabs>
          <w:tab w:val="left" w:pos="-1800"/>
          <w:tab w:val="left" w:pos="-1350"/>
          <w:tab w:val="left" w:pos="-1170"/>
        </w:tabs>
        <w:autoSpaceDE w:val="0"/>
        <w:autoSpaceDN w:val="0"/>
        <w:ind w:left="0" w:firstLine="1080"/>
        <w:jc w:val="both"/>
        <w:rPr>
          <w:sz w:val="24"/>
          <w:szCs w:val="24"/>
        </w:rPr>
      </w:pPr>
      <w:r>
        <w:rPr>
          <w:sz w:val="24"/>
          <w:szCs w:val="24"/>
        </w:rPr>
        <w:t xml:space="preserve"> po </w:t>
      </w:r>
      <w:r w:rsidR="002522D6" w:rsidRPr="002522D6">
        <w:rPr>
          <w:sz w:val="24"/>
          <w:szCs w:val="24"/>
        </w:rPr>
        <w:t>reorganizavimo veiksianti biudžetinė įstaiga Panevėžio r. Velžio gimnazija įgyvendins Lietuvos Respublikos švietimo įstatyme ir kituose teisės aktuose nustatytas funkcijas.</w:t>
      </w:r>
    </w:p>
    <w:p w:rsidR="002522D6" w:rsidRPr="002522D6" w:rsidRDefault="00E5650D" w:rsidP="00E5650D">
      <w:pPr>
        <w:widowControl w:val="0"/>
        <w:numPr>
          <w:ilvl w:val="0"/>
          <w:numId w:val="5"/>
        </w:numPr>
        <w:tabs>
          <w:tab w:val="left" w:pos="0"/>
          <w:tab w:val="left" w:pos="900"/>
          <w:tab w:val="left" w:pos="1276"/>
          <w:tab w:val="left" w:pos="1418"/>
        </w:tabs>
        <w:autoSpaceDE w:val="0"/>
        <w:autoSpaceDN w:val="0"/>
        <w:ind w:left="0" w:firstLine="1080"/>
        <w:jc w:val="both"/>
        <w:rPr>
          <w:sz w:val="24"/>
          <w:szCs w:val="24"/>
        </w:rPr>
      </w:pPr>
      <w:r>
        <w:rPr>
          <w:sz w:val="24"/>
          <w:szCs w:val="24"/>
        </w:rPr>
        <w:t xml:space="preserve"> </w:t>
      </w:r>
      <w:r w:rsidR="002522D6" w:rsidRPr="002522D6">
        <w:rPr>
          <w:sz w:val="24"/>
          <w:szCs w:val="24"/>
        </w:rPr>
        <w:t>Įpareigoti Panevėžio r. Katinų pagrindinės mokyklos ir Panevė</w:t>
      </w:r>
      <w:r w:rsidR="00015334">
        <w:rPr>
          <w:sz w:val="24"/>
          <w:szCs w:val="24"/>
        </w:rPr>
        <w:t>žio r. Velžio gimnazijos direktorius</w:t>
      </w:r>
      <w:r w:rsidR="002522D6" w:rsidRPr="002522D6">
        <w:rPr>
          <w:sz w:val="24"/>
          <w:szCs w:val="24"/>
        </w:rPr>
        <w:t>:</w:t>
      </w:r>
    </w:p>
    <w:p w:rsidR="002522D6" w:rsidRPr="002522D6" w:rsidRDefault="008D0602" w:rsidP="008D0602">
      <w:pPr>
        <w:numPr>
          <w:ilvl w:val="1"/>
          <w:numId w:val="5"/>
        </w:numPr>
        <w:tabs>
          <w:tab w:val="left" w:pos="900"/>
          <w:tab w:val="left" w:pos="1418"/>
          <w:tab w:val="left" w:pos="1701"/>
        </w:tabs>
        <w:ind w:left="0" w:firstLine="1134"/>
        <w:jc w:val="both"/>
        <w:rPr>
          <w:sz w:val="24"/>
          <w:szCs w:val="24"/>
        </w:rPr>
      </w:pPr>
      <w:r>
        <w:rPr>
          <w:sz w:val="24"/>
          <w:szCs w:val="24"/>
        </w:rPr>
        <w:t xml:space="preserve"> </w:t>
      </w:r>
      <w:r w:rsidR="00D16BAE">
        <w:rPr>
          <w:sz w:val="24"/>
          <w:szCs w:val="24"/>
        </w:rPr>
        <w:t>parengti</w:t>
      </w:r>
      <w:r w:rsidR="002522D6" w:rsidRPr="002522D6">
        <w:rPr>
          <w:sz w:val="24"/>
          <w:szCs w:val="24"/>
        </w:rPr>
        <w:t xml:space="preserve"> Panevėžio r. Katinų pagrindinės mokyklos ir  P</w:t>
      </w:r>
      <w:r w:rsidR="00E5650D">
        <w:rPr>
          <w:sz w:val="24"/>
          <w:szCs w:val="24"/>
        </w:rPr>
        <w:t xml:space="preserve">anevėžio r. Velžio gimnazijos </w:t>
      </w:r>
      <w:r w:rsidR="002522D6" w:rsidRPr="002522D6">
        <w:rPr>
          <w:sz w:val="24"/>
          <w:szCs w:val="24"/>
        </w:rPr>
        <w:t>reorganizavimo sąlygų aprašą ir iki 2015 m. balandžio 3 d. apie aprašo parengimą paskelbti viešai vieną kartą visų reorganizavime dalyvaujančių biudžetinių įstaigų nu</w:t>
      </w:r>
      <w:r w:rsidR="00294203">
        <w:rPr>
          <w:sz w:val="24"/>
          <w:szCs w:val="24"/>
        </w:rPr>
        <w:t>o</w:t>
      </w:r>
      <w:r w:rsidR="002522D6" w:rsidRPr="002522D6">
        <w:rPr>
          <w:sz w:val="24"/>
          <w:szCs w:val="24"/>
        </w:rPr>
        <w:t>statuose nurodytame šaltinyje ir Lietuvos Respublikos biudžetinių įstaigų įstatymo nustatyta tvarka pranešti raštu visiems šių įstaigų kreditoriams;</w:t>
      </w:r>
    </w:p>
    <w:p w:rsidR="006060FC" w:rsidRDefault="008D0602" w:rsidP="008D0602">
      <w:pPr>
        <w:pStyle w:val="Pagrindiniotekstotrauka"/>
        <w:numPr>
          <w:ilvl w:val="1"/>
          <w:numId w:val="5"/>
        </w:numPr>
        <w:tabs>
          <w:tab w:val="left" w:pos="0"/>
          <w:tab w:val="left" w:pos="900"/>
          <w:tab w:val="left" w:pos="1560"/>
          <w:tab w:val="left" w:pos="1701"/>
        </w:tabs>
        <w:spacing w:after="0"/>
        <w:ind w:left="0" w:firstLine="1134"/>
        <w:jc w:val="both"/>
        <w:rPr>
          <w:sz w:val="24"/>
          <w:szCs w:val="24"/>
        </w:rPr>
      </w:pPr>
      <w:r>
        <w:rPr>
          <w:sz w:val="24"/>
          <w:szCs w:val="24"/>
        </w:rPr>
        <w:t xml:space="preserve"> </w:t>
      </w:r>
      <w:r w:rsidR="002522D6" w:rsidRPr="002522D6">
        <w:rPr>
          <w:sz w:val="24"/>
          <w:szCs w:val="24"/>
        </w:rPr>
        <w:t>ne vėliau kaip pirmą viešo paskelbimo a</w:t>
      </w:r>
      <w:r w:rsidR="00015334">
        <w:rPr>
          <w:sz w:val="24"/>
          <w:szCs w:val="24"/>
        </w:rPr>
        <w:t>pie reorganizavimo sąlygų aprašo</w:t>
      </w:r>
      <w:r w:rsidR="002522D6" w:rsidRPr="002522D6">
        <w:rPr>
          <w:sz w:val="24"/>
          <w:szCs w:val="24"/>
        </w:rPr>
        <w:t xml:space="preserve"> parengimą dieną reorganizavimo sąlygų aprašą pateikti Juridinių asmenų regist</w:t>
      </w:r>
      <w:r w:rsidR="006060FC">
        <w:rPr>
          <w:sz w:val="24"/>
          <w:szCs w:val="24"/>
        </w:rPr>
        <w:t xml:space="preserve">rui. </w:t>
      </w:r>
    </w:p>
    <w:p w:rsidR="002522D6" w:rsidRPr="002522D6" w:rsidRDefault="00E5650D" w:rsidP="008D0602">
      <w:pPr>
        <w:pStyle w:val="Pagrindiniotekstotrauka"/>
        <w:numPr>
          <w:ilvl w:val="0"/>
          <w:numId w:val="5"/>
        </w:numPr>
        <w:tabs>
          <w:tab w:val="left" w:pos="0"/>
          <w:tab w:val="left" w:pos="709"/>
          <w:tab w:val="left" w:pos="1418"/>
          <w:tab w:val="left" w:pos="1560"/>
        </w:tabs>
        <w:spacing w:after="0"/>
        <w:ind w:left="0" w:firstLine="1134"/>
        <w:jc w:val="both"/>
        <w:rPr>
          <w:sz w:val="24"/>
          <w:szCs w:val="24"/>
        </w:rPr>
      </w:pPr>
      <w:r>
        <w:rPr>
          <w:sz w:val="24"/>
          <w:szCs w:val="24"/>
        </w:rPr>
        <w:t xml:space="preserve"> </w:t>
      </w:r>
      <w:r w:rsidR="002522D6" w:rsidRPr="002522D6">
        <w:rPr>
          <w:sz w:val="24"/>
          <w:szCs w:val="24"/>
        </w:rPr>
        <w:t>Pavesti</w:t>
      </w:r>
      <w:r w:rsidR="00015334">
        <w:rPr>
          <w:sz w:val="24"/>
          <w:szCs w:val="24"/>
        </w:rPr>
        <w:t xml:space="preserve"> Š</w:t>
      </w:r>
      <w:r w:rsidR="002522D6" w:rsidRPr="002522D6">
        <w:rPr>
          <w:sz w:val="24"/>
          <w:szCs w:val="24"/>
        </w:rPr>
        <w:t>vietimo, kultūros ir sporto skyriaus vedėjui šio sprendimo vykdymo kontrolę.</w:t>
      </w:r>
    </w:p>
    <w:p w:rsidR="00D16BAE" w:rsidRDefault="006060FC" w:rsidP="00E5650D">
      <w:pPr>
        <w:tabs>
          <w:tab w:val="left" w:pos="0"/>
          <w:tab w:val="left" w:pos="709"/>
          <w:tab w:val="left" w:pos="1134"/>
        </w:tabs>
        <w:jc w:val="both"/>
        <w:rPr>
          <w:sz w:val="24"/>
          <w:szCs w:val="24"/>
          <w:lang w:val="en-US"/>
        </w:rPr>
      </w:pPr>
      <w:r>
        <w:rPr>
          <w:sz w:val="24"/>
          <w:szCs w:val="24"/>
        </w:rPr>
        <w:tab/>
      </w:r>
      <w:r w:rsidR="00E5650D">
        <w:rPr>
          <w:sz w:val="24"/>
          <w:szCs w:val="24"/>
        </w:rPr>
        <w:tab/>
      </w:r>
      <w:r w:rsidR="002522D6" w:rsidRPr="002522D6">
        <w:rPr>
          <w:sz w:val="24"/>
          <w:szCs w:val="24"/>
        </w:rPr>
        <w:t>Sprendimas gali būti skundžiamas Lietuvos Respublikos administracinių bylų teisenos įstatymo nustatyta tvarka.</w:t>
      </w:r>
    </w:p>
    <w:p w:rsidR="00E5650D" w:rsidRPr="00D16BAE" w:rsidRDefault="00E5650D" w:rsidP="00E5650D">
      <w:pPr>
        <w:tabs>
          <w:tab w:val="left" w:pos="0"/>
          <w:tab w:val="left" w:pos="709"/>
          <w:tab w:val="left" w:pos="1134"/>
        </w:tabs>
        <w:jc w:val="both"/>
        <w:rPr>
          <w:sz w:val="24"/>
          <w:szCs w:val="24"/>
          <w:lang w:val="en-US"/>
        </w:rPr>
      </w:pPr>
    </w:p>
    <w:p w:rsidR="0014512A" w:rsidRDefault="0014512A" w:rsidP="00015334">
      <w:pPr>
        <w:suppressAutoHyphens w:val="0"/>
        <w:autoSpaceDE w:val="0"/>
        <w:autoSpaceDN w:val="0"/>
        <w:adjustRightInd w:val="0"/>
        <w:jc w:val="both"/>
        <w:rPr>
          <w:sz w:val="24"/>
          <w:szCs w:val="24"/>
        </w:rPr>
      </w:pPr>
      <w:r>
        <w:rPr>
          <w:sz w:val="24"/>
          <w:szCs w:val="24"/>
        </w:rPr>
        <w:t>Diana Žukauskienė</w:t>
      </w:r>
    </w:p>
    <w:p w:rsidR="0014512A" w:rsidRDefault="0014512A" w:rsidP="00015334">
      <w:pPr>
        <w:suppressAutoHyphens w:val="0"/>
        <w:autoSpaceDE w:val="0"/>
        <w:autoSpaceDN w:val="0"/>
        <w:adjustRightInd w:val="0"/>
        <w:jc w:val="both"/>
        <w:rPr>
          <w:sz w:val="24"/>
          <w:szCs w:val="24"/>
        </w:rPr>
      </w:pPr>
      <w:r>
        <w:rPr>
          <w:sz w:val="24"/>
          <w:szCs w:val="24"/>
        </w:rPr>
        <w:t>2015-03-09</w:t>
      </w:r>
    </w:p>
    <w:p w:rsidR="00026FE7" w:rsidRDefault="00026FE7" w:rsidP="00015334">
      <w:pPr>
        <w:suppressAutoHyphens w:val="0"/>
        <w:autoSpaceDE w:val="0"/>
        <w:autoSpaceDN w:val="0"/>
        <w:adjustRightInd w:val="0"/>
        <w:jc w:val="both"/>
        <w:rPr>
          <w:sz w:val="24"/>
          <w:szCs w:val="24"/>
        </w:rPr>
      </w:pPr>
    </w:p>
    <w:p w:rsidR="00026FE7" w:rsidRPr="00026FE7" w:rsidRDefault="00026FE7" w:rsidP="00026FE7">
      <w:pPr>
        <w:suppressAutoHyphens w:val="0"/>
        <w:spacing w:line="259" w:lineRule="auto"/>
        <w:jc w:val="center"/>
        <w:rPr>
          <w:rFonts w:eastAsia="Calibri"/>
          <w:sz w:val="24"/>
          <w:szCs w:val="24"/>
          <w:lang w:eastAsia="en-US"/>
        </w:rPr>
      </w:pPr>
      <w:r w:rsidRPr="00026FE7">
        <w:rPr>
          <w:rFonts w:eastAsia="Calibri"/>
          <w:b/>
          <w:sz w:val="24"/>
          <w:szCs w:val="24"/>
          <w:lang w:eastAsia="en-US"/>
        </w:rPr>
        <w:lastRenderedPageBreak/>
        <w:t>PANEVĖŽIO RAJONO SAVIVALDYBĖS ADMINISTRACIJOS</w:t>
      </w:r>
    </w:p>
    <w:p w:rsidR="00026FE7" w:rsidRPr="00026FE7" w:rsidRDefault="00026FE7" w:rsidP="00026FE7">
      <w:pPr>
        <w:suppressAutoHyphens w:val="0"/>
        <w:spacing w:line="259" w:lineRule="auto"/>
        <w:jc w:val="center"/>
        <w:outlineLvl w:val="0"/>
        <w:rPr>
          <w:rFonts w:eastAsia="Calibri"/>
          <w:b/>
          <w:sz w:val="24"/>
          <w:szCs w:val="24"/>
          <w:lang w:eastAsia="en-US"/>
        </w:rPr>
      </w:pPr>
      <w:r w:rsidRPr="00026FE7">
        <w:rPr>
          <w:rFonts w:eastAsia="Calibri"/>
          <w:b/>
          <w:sz w:val="24"/>
          <w:szCs w:val="24"/>
          <w:lang w:eastAsia="en-US"/>
        </w:rPr>
        <w:t>ŠVIETIMO, KULTŪROS IR SPORTO SKYRIUS</w:t>
      </w:r>
    </w:p>
    <w:p w:rsidR="00026FE7" w:rsidRPr="00026FE7" w:rsidRDefault="00026FE7" w:rsidP="00026FE7">
      <w:pPr>
        <w:suppressAutoHyphens w:val="0"/>
        <w:spacing w:after="160" w:line="259" w:lineRule="auto"/>
        <w:jc w:val="center"/>
        <w:rPr>
          <w:rFonts w:eastAsia="Calibri"/>
          <w:b/>
          <w:sz w:val="24"/>
          <w:szCs w:val="24"/>
          <w:lang w:eastAsia="en-US"/>
        </w:rPr>
      </w:pPr>
    </w:p>
    <w:p w:rsidR="00026FE7" w:rsidRPr="00026FE7" w:rsidRDefault="00026FE7" w:rsidP="00026FE7">
      <w:pPr>
        <w:suppressAutoHyphens w:val="0"/>
        <w:spacing w:after="160" w:line="259" w:lineRule="auto"/>
        <w:outlineLvl w:val="0"/>
        <w:rPr>
          <w:rFonts w:eastAsia="Calibri"/>
          <w:sz w:val="24"/>
          <w:szCs w:val="24"/>
          <w:lang w:eastAsia="en-US"/>
        </w:rPr>
      </w:pPr>
      <w:r w:rsidRPr="00026FE7">
        <w:rPr>
          <w:rFonts w:eastAsia="Calibri"/>
          <w:sz w:val="24"/>
          <w:szCs w:val="24"/>
          <w:lang w:eastAsia="en-US"/>
        </w:rPr>
        <w:t>Panevėžio rajono savivaldybės tarybai</w:t>
      </w:r>
    </w:p>
    <w:p w:rsidR="00026FE7" w:rsidRPr="00026FE7" w:rsidRDefault="00026FE7" w:rsidP="00026FE7">
      <w:pPr>
        <w:suppressAutoHyphens w:val="0"/>
        <w:spacing w:after="160" w:line="259" w:lineRule="auto"/>
        <w:rPr>
          <w:rFonts w:eastAsia="Calibri"/>
          <w:sz w:val="24"/>
          <w:szCs w:val="24"/>
          <w:lang w:eastAsia="en-US"/>
        </w:rPr>
      </w:pPr>
    </w:p>
    <w:p w:rsidR="00026FE7" w:rsidRPr="00026FE7" w:rsidRDefault="00026FE7" w:rsidP="00026FE7">
      <w:pPr>
        <w:suppressAutoHyphens w:val="0"/>
        <w:spacing w:after="160" w:line="259" w:lineRule="auto"/>
        <w:jc w:val="center"/>
        <w:rPr>
          <w:rFonts w:eastAsia="Calibri"/>
          <w:b/>
          <w:sz w:val="24"/>
          <w:szCs w:val="24"/>
          <w:lang w:eastAsia="en-US"/>
        </w:rPr>
      </w:pPr>
      <w:r w:rsidRPr="00026FE7">
        <w:rPr>
          <w:rFonts w:eastAsia="Calibri"/>
          <w:b/>
          <w:sz w:val="24"/>
          <w:szCs w:val="24"/>
          <w:lang w:eastAsia="en-US"/>
        </w:rPr>
        <w:t>AIŠKINAMASIS RAŠTAS DĖL SPRENDIMO „DĖL SUTIKIMO REORGANIZUOTI PANEVĖŽIO R. KATINŲ PAGRINDINĘ MOKYKLĄ IR PANEVĖŽIO R. VELŽIO GIMNAZIJĄ“ PROJEKTO</w:t>
      </w:r>
    </w:p>
    <w:p w:rsidR="00026FE7" w:rsidRPr="00026FE7" w:rsidRDefault="00026FE7" w:rsidP="00026FE7">
      <w:pPr>
        <w:suppressAutoHyphens w:val="0"/>
        <w:spacing w:line="259" w:lineRule="auto"/>
        <w:jc w:val="center"/>
        <w:rPr>
          <w:rFonts w:eastAsia="Calibri"/>
          <w:sz w:val="24"/>
          <w:szCs w:val="24"/>
          <w:lang w:eastAsia="en-US"/>
        </w:rPr>
      </w:pPr>
      <w:r w:rsidRPr="00026FE7">
        <w:rPr>
          <w:rFonts w:eastAsia="Calibri"/>
          <w:sz w:val="24"/>
          <w:szCs w:val="24"/>
          <w:lang w:eastAsia="en-US"/>
        </w:rPr>
        <w:t>2015 m. kovo 5 d.</w:t>
      </w:r>
    </w:p>
    <w:p w:rsidR="00026FE7" w:rsidRPr="00026FE7" w:rsidRDefault="00026FE7" w:rsidP="00026FE7">
      <w:pPr>
        <w:suppressAutoHyphens w:val="0"/>
        <w:spacing w:line="259" w:lineRule="auto"/>
        <w:jc w:val="center"/>
        <w:rPr>
          <w:rFonts w:eastAsia="Calibri"/>
          <w:sz w:val="24"/>
          <w:szCs w:val="24"/>
          <w:lang w:eastAsia="en-US"/>
        </w:rPr>
      </w:pPr>
      <w:r w:rsidRPr="00026FE7">
        <w:rPr>
          <w:rFonts w:eastAsia="Calibri"/>
          <w:sz w:val="24"/>
          <w:szCs w:val="24"/>
          <w:lang w:eastAsia="en-US"/>
        </w:rPr>
        <w:t>Panevėžys</w:t>
      </w:r>
    </w:p>
    <w:p w:rsidR="00026FE7" w:rsidRPr="00026FE7" w:rsidRDefault="00026FE7" w:rsidP="00026FE7">
      <w:pPr>
        <w:suppressAutoHyphens w:val="0"/>
        <w:spacing w:line="259" w:lineRule="auto"/>
        <w:jc w:val="center"/>
        <w:rPr>
          <w:rFonts w:eastAsia="Calibri"/>
          <w:sz w:val="24"/>
          <w:szCs w:val="24"/>
          <w:lang w:eastAsia="en-US"/>
        </w:rPr>
      </w:pPr>
    </w:p>
    <w:p w:rsidR="00026FE7" w:rsidRPr="00026FE7" w:rsidRDefault="00026FE7" w:rsidP="00026FE7">
      <w:pPr>
        <w:tabs>
          <w:tab w:val="left" w:pos="709"/>
        </w:tabs>
        <w:suppressAutoHyphens w:val="0"/>
        <w:spacing w:after="160" w:line="259" w:lineRule="auto"/>
        <w:jc w:val="both"/>
        <w:rPr>
          <w:rFonts w:eastAsia="Calibri"/>
          <w:b/>
          <w:sz w:val="24"/>
          <w:szCs w:val="24"/>
          <w:lang w:eastAsia="en-US"/>
        </w:rPr>
      </w:pPr>
      <w:r w:rsidRPr="00026FE7">
        <w:rPr>
          <w:rFonts w:eastAsia="Calibri"/>
          <w:b/>
          <w:sz w:val="24"/>
          <w:szCs w:val="24"/>
          <w:lang w:eastAsia="en-US"/>
        </w:rPr>
        <w:tab/>
        <w:t>Projekto rengimą paskatinusios priežastys.</w:t>
      </w:r>
    </w:p>
    <w:p w:rsidR="00026FE7" w:rsidRPr="00026FE7" w:rsidRDefault="00026FE7" w:rsidP="00026FE7">
      <w:pPr>
        <w:tabs>
          <w:tab w:val="left" w:pos="709"/>
        </w:tabs>
        <w:suppressAutoHyphens w:val="0"/>
        <w:spacing w:after="160" w:line="259" w:lineRule="auto"/>
        <w:jc w:val="both"/>
        <w:rPr>
          <w:rFonts w:eastAsia="Calibri"/>
          <w:sz w:val="24"/>
          <w:szCs w:val="24"/>
          <w:lang w:eastAsia="en-US"/>
        </w:rPr>
      </w:pPr>
      <w:r w:rsidRPr="00026FE7">
        <w:rPr>
          <w:rFonts w:eastAsia="Calibri"/>
          <w:b/>
          <w:sz w:val="24"/>
          <w:szCs w:val="24"/>
          <w:lang w:eastAsia="en-US"/>
        </w:rPr>
        <w:tab/>
      </w:r>
      <w:r w:rsidRPr="00026FE7">
        <w:rPr>
          <w:rFonts w:eastAsia="Calibri"/>
          <w:sz w:val="24"/>
          <w:szCs w:val="24"/>
          <w:lang w:eastAsia="en-US"/>
        </w:rPr>
        <w:t xml:space="preserve">Panevėžio rajono savivaldybės bendrojo ugdymo mokyklų tinklo pertvarkos 2012–2015 metais bendrojo plano, patvirtinto Panevėžio rajono savivaldybės tarybos 2012 m. gegužės 17 d. sprendimu Nr. T-103, 1 priedo „Panevėžio rajono savivaldybės bendrojo ugdymo mokyklų steigimo, reorganizavimo, likvidavimo, pertvarkymo ir struktūrinių pertvarkymų 2012–2015 metais planas“ 14 eilutėje nurodyta, kad nuo 2015 m. rugsėjo 1 d. Katinų pagrindinė mokykla reorganizuojama į Velžio gimnazijos skyrių. 2015–2016 mokslo metais Katinų pagrindinėje mokykloje būtų 24 mokiniai, 3 jungtinės klasės ir priešmokyklinio ugdymo grupė. 2014 m. vieno mokinio išlaikymui Panevėžio r. Katinų pagrindinėje mokykloje reikėjo 4 924 Eur (17 000 Lt) , kai tuo tarpu Panevėžio r. Velžio gimnazijoje vieno vaiko išlaikymas (mokinio krepšelio ir aplinkos lėšos) kainavo 1 970 Eur (6 803 Lt). </w:t>
      </w:r>
    </w:p>
    <w:p w:rsidR="00026FE7" w:rsidRPr="00026FE7" w:rsidRDefault="00026FE7" w:rsidP="00026FE7">
      <w:pPr>
        <w:tabs>
          <w:tab w:val="left" w:pos="709"/>
        </w:tabs>
        <w:suppressAutoHyphens w:val="0"/>
        <w:spacing w:after="160" w:line="259" w:lineRule="auto"/>
        <w:jc w:val="both"/>
        <w:rPr>
          <w:rFonts w:eastAsia="Calibri"/>
          <w:b/>
          <w:sz w:val="24"/>
          <w:szCs w:val="24"/>
          <w:lang w:eastAsia="en-US"/>
        </w:rPr>
      </w:pPr>
      <w:r w:rsidRPr="00026FE7">
        <w:rPr>
          <w:rFonts w:eastAsia="Calibri"/>
          <w:b/>
          <w:sz w:val="24"/>
          <w:szCs w:val="24"/>
          <w:lang w:eastAsia="en-US"/>
        </w:rPr>
        <w:tab/>
        <w:t>Sprendimo projekto esmė ir tikslai.</w:t>
      </w:r>
    </w:p>
    <w:p w:rsidR="00026FE7" w:rsidRPr="00026FE7" w:rsidRDefault="00026FE7" w:rsidP="00026FE7">
      <w:pPr>
        <w:suppressAutoHyphens w:val="0"/>
        <w:ind w:firstLine="720"/>
        <w:jc w:val="both"/>
        <w:rPr>
          <w:rFonts w:eastAsia="Calibri"/>
          <w:color w:val="000000"/>
          <w:sz w:val="24"/>
          <w:szCs w:val="24"/>
          <w:lang w:eastAsia="en-US"/>
        </w:rPr>
      </w:pPr>
      <w:r w:rsidRPr="00026FE7">
        <w:rPr>
          <w:rFonts w:eastAsia="Calibri"/>
          <w:color w:val="000000"/>
          <w:sz w:val="24"/>
          <w:szCs w:val="24"/>
          <w:lang w:eastAsia="en-US"/>
        </w:rPr>
        <w:t>Šiuo sprendimo projektu siūloma reorganizuoti Katinų pagrindinę mokyklą ir Velžio gimnaziją, prie Velžio gimnazijos prijungiant Katinų pagrindinę mokyklą, kuri taptų Velžio gimnazijos skyriumi.</w:t>
      </w:r>
    </w:p>
    <w:p w:rsidR="00026FE7" w:rsidRPr="00026FE7" w:rsidRDefault="00026FE7" w:rsidP="00026FE7">
      <w:pPr>
        <w:suppressAutoHyphens w:val="0"/>
        <w:ind w:firstLine="720"/>
        <w:jc w:val="both"/>
        <w:rPr>
          <w:rFonts w:eastAsia="Calibri"/>
          <w:color w:val="000000"/>
          <w:sz w:val="24"/>
          <w:szCs w:val="24"/>
          <w:lang w:eastAsia="en-US"/>
        </w:rPr>
      </w:pPr>
      <w:r w:rsidRPr="00026FE7">
        <w:rPr>
          <w:rFonts w:eastAsia="Calibri"/>
          <w:color w:val="000000"/>
          <w:sz w:val="24"/>
          <w:szCs w:val="24"/>
          <w:lang w:eastAsia="en-US"/>
        </w:rPr>
        <w:t>Šiuo metu Katinų pagrindinėje mokykloje yra 10,25 darbuotojų etato.</w:t>
      </w:r>
    </w:p>
    <w:p w:rsidR="00026FE7" w:rsidRPr="00026FE7" w:rsidRDefault="00026FE7" w:rsidP="00026FE7">
      <w:pPr>
        <w:suppressAutoHyphens w:val="0"/>
        <w:ind w:firstLine="720"/>
        <w:jc w:val="both"/>
        <w:rPr>
          <w:rFonts w:eastAsia="Calibri"/>
          <w:sz w:val="24"/>
          <w:szCs w:val="24"/>
          <w:lang w:eastAsia="en-US"/>
        </w:rPr>
      </w:pPr>
      <w:r w:rsidRPr="00026FE7">
        <w:rPr>
          <w:rFonts w:eastAsia="Calibri"/>
          <w:sz w:val="24"/>
          <w:szCs w:val="24"/>
          <w:lang w:eastAsia="en-US"/>
        </w:rPr>
        <w:t>Atlikus reorgani</w:t>
      </w:r>
      <w:r w:rsidR="00177D97">
        <w:rPr>
          <w:rFonts w:eastAsia="Calibri"/>
          <w:sz w:val="24"/>
          <w:szCs w:val="24"/>
          <w:lang w:eastAsia="en-US"/>
        </w:rPr>
        <w:t>zaciją nebereikėtų 0,5 etato (mokinio krepšelio) ir 2 etatų (savivaldybės biudžeto</w:t>
      </w:r>
      <w:r w:rsidRPr="00026FE7">
        <w:rPr>
          <w:rFonts w:eastAsia="Calibri"/>
          <w:sz w:val="24"/>
          <w:szCs w:val="24"/>
          <w:lang w:eastAsia="en-US"/>
        </w:rPr>
        <w:t>). Iš viso liktų 7,75 etato.</w:t>
      </w:r>
    </w:p>
    <w:p w:rsidR="00026FE7" w:rsidRPr="00026FE7" w:rsidRDefault="00026FE7" w:rsidP="00026FE7">
      <w:pPr>
        <w:suppressAutoHyphens w:val="0"/>
        <w:ind w:firstLine="720"/>
        <w:jc w:val="both"/>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1559"/>
        <w:gridCol w:w="1701"/>
        <w:gridCol w:w="1418"/>
        <w:gridCol w:w="1524"/>
      </w:tblGrid>
      <w:tr w:rsidR="00026FE7" w:rsidRPr="00026FE7" w:rsidTr="008565D1">
        <w:tc>
          <w:tcPr>
            <w:tcW w:w="1384"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Lėšos</w:t>
            </w:r>
          </w:p>
        </w:tc>
        <w:tc>
          <w:tcPr>
            <w:tcW w:w="226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Pareigybės pavadinimas</w:t>
            </w:r>
          </w:p>
        </w:tc>
        <w:tc>
          <w:tcPr>
            <w:tcW w:w="1559"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Etatų skaičius Katinų pagr. m-kloje</w:t>
            </w:r>
          </w:p>
        </w:tc>
        <w:tc>
          <w:tcPr>
            <w:tcW w:w="1701"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Lieka po reorganizacijos Velžio sk.</w:t>
            </w:r>
          </w:p>
        </w:tc>
        <w:tc>
          <w:tcPr>
            <w:tcW w:w="141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Sutaupoma Eur per mėn.</w:t>
            </w:r>
          </w:p>
        </w:tc>
        <w:tc>
          <w:tcPr>
            <w:tcW w:w="1524"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Išmokama išeitinių</w:t>
            </w:r>
          </w:p>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išmokų</w:t>
            </w:r>
          </w:p>
        </w:tc>
      </w:tr>
      <w:tr w:rsidR="00026FE7" w:rsidRPr="00026FE7" w:rsidTr="008565D1">
        <w:tc>
          <w:tcPr>
            <w:tcW w:w="1384" w:type="dxa"/>
            <w:vMerge w:val="restart"/>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Mokinio krepšelis</w:t>
            </w:r>
          </w:p>
        </w:tc>
        <w:tc>
          <w:tcPr>
            <w:tcW w:w="2268" w:type="dxa"/>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Direktorius/skyriaus vedėjas</w:t>
            </w:r>
          </w:p>
        </w:tc>
        <w:tc>
          <w:tcPr>
            <w:tcW w:w="1559"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1</w:t>
            </w:r>
          </w:p>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koef.25,6</w:t>
            </w:r>
          </w:p>
        </w:tc>
        <w:tc>
          <w:tcPr>
            <w:tcW w:w="1701"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1</w:t>
            </w:r>
          </w:p>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koef. 19,25 (vidurkis)</w:t>
            </w:r>
          </w:p>
        </w:tc>
        <w:tc>
          <w:tcPr>
            <w:tcW w:w="141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295,25</w:t>
            </w:r>
          </w:p>
        </w:tc>
        <w:tc>
          <w:tcPr>
            <w:tcW w:w="1524" w:type="dxa"/>
          </w:tcPr>
          <w:p w:rsidR="00026FE7" w:rsidRPr="00026FE7" w:rsidRDefault="00026FE7" w:rsidP="00026FE7">
            <w:pPr>
              <w:suppressAutoHyphens w:val="0"/>
              <w:jc w:val="center"/>
              <w:rPr>
                <w:rFonts w:eastAsia="Calibri"/>
                <w:sz w:val="24"/>
                <w:szCs w:val="24"/>
                <w:lang w:eastAsia="en-US"/>
              </w:rPr>
            </w:pPr>
          </w:p>
        </w:tc>
      </w:tr>
      <w:tr w:rsidR="00026FE7" w:rsidRPr="00026FE7" w:rsidTr="008565D1">
        <w:tc>
          <w:tcPr>
            <w:tcW w:w="1384" w:type="dxa"/>
            <w:vMerge/>
          </w:tcPr>
          <w:p w:rsidR="00026FE7" w:rsidRPr="00026FE7" w:rsidRDefault="00026FE7" w:rsidP="00026FE7">
            <w:pPr>
              <w:suppressAutoHyphens w:val="0"/>
              <w:jc w:val="both"/>
              <w:rPr>
                <w:rFonts w:eastAsia="Calibri"/>
                <w:sz w:val="24"/>
                <w:szCs w:val="24"/>
                <w:lang w:eastAsia="en-US"/>
              </w:rPr>
            </w:pPr>
          </w:p>
        </w:tc>
        <w:tc>
          <w:tcPr>
            <w:tcW w:w="2268" w:type="dxa"/>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Bibliotekininkas</w:t>
            </w:r>
          </w:p>
        </w:tc>
        <w:tc>
          <w:tcPr>
            <w:tcW w:w="1559"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0,5</w:t>
            </w:r>
          </w:p>
        </w:tc>
        <w:tc>
          <w:tcPr>
            <w:tcW w:w="1701"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0,25</w:t>
            </w:r>
          </w:p>
        </w:tc>
        <w:tc>
          <w:tcPr>
            <w:tcW w:w="141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168,5</w:t>
            </w:r>
          </w:p>
        </w:tc>
        <w:tc>
          <w:tcPr>
            <w:tcW w:w="1524" w:type="dxa"/>
          </w:tcPr>
          <w:p w:rsidR="00026FE7" w:rsidRPr="00026FE7" w:rsidRDefault="00026FE7" w:rsidP="00026FE7">
            <w:pPr>
              <w:suppressAutoHyphens w:val="0"/>
              <w:jc w:val="center"/>
              <w:rPr>
                <w:rFonts w:eastAsia="Calibri"/>
                <w:sz w:val="24"/>
                <w:szCs w:val="24"/>
                <w:lang w:eastAsia="en-US"/>
              </w:rPr>
            </w:pPr>
          </w:p>
        </w:tc>
      </w:tr>
      <w:tr w:rsidR="00026FE7" w:rsidRPr="00026FE7" w:rsidTr="008565D1">
        <w:tc>
          <w:tcPr>
            <w:tcW w:w="1384" w:type="dxa"/>
            <w:vMerge w:val="restart"/>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Savivaldybės lėšos</w:t>
            </w:r>
          </w:p>
        </w:tc>
        <w:tc>
          <w:tcPr>
            <w:tcW w:w="2268" w:type="dxa"/>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Ūkvedys</w:t>
            </w:r>
          </w:p>
        </w:tc>
        <w:tc>
          <w:tcPr>
            <w:tcW w:w="1559"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0,5</w:t>
            </w:r>
          </w:p>
        </w:tc>
        <w:tc>
          <w:tcPr>
            <w:tcW w:w="1701"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w:t>
            </w:r>
          </w:p>
        </w:tc>
        <w:tc>
          <w:tcPr>
            <w:tcW w:w="141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302,00</w:t>
            </w:r>
          </w:p>
        </w:tc>
        <w:tc>
          <w:tcPr>
            <w:tcW w:w="1524"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906,00</w:t>
            </w:r>
          </w:p>
        </w:tc>
      </w:tr>
      <w:tr w:rsidR="00026FE7" w:rsidRPr="00026FE7" w:rsidTr="008565D1">
        <w:tc>
          <w:tcPr>
            <w:tcW w:w="1384" w:type="dxa"/>
            <w:vMerge/>
          </w:tcPr>
          <w:p w:rsidR="00026FE7" w:rsidRPr="00026FE7" w:rsidRDefault="00026FE7" w:rsidP="00026FE7">
            <w:pPr>
              <w:suppressAutoHyphens w:val="0"/>
              <w:jc w:val="both"/>
              <w:rPr>
                <w:rFonts w:eastAsia="Calibri"/>
                <w:sz w:val="24"/>
                <w:szCs w:val="24"/>
                <w:lang w:eastAsia="en-US"/>
              </w:rPr>
            </w:pPr>
          </w:p>
        </w:tc>
        <w:tc>
          <w:tcPr>
            <w:tcW w:w="2268" w:type="dxa"/>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Sekretorius</w:t>
            </w:r>
          </w:p>
        </w:tc>
        <w:tc>
          <w:tcPr>
            <w:tcW w:w="1559"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0,5</w:t>
            </w:r>
          </w:p>
        </w:tc>
        <w:tc>
          <w:tcPr>
            <w:tcW w:w="1701"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w:t>
            </w:r>
          </w:p>
        </w:tc>
        <w:tc>
          <w:tcPr>
            <w:tcW w:w="141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248,00</w:t>
            </w:r>
          </w:p>
        </w:tc>
        <w:tc>
          <w:tcPr>
            <w:tcW w:w="1524"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992,00</w:t>
            </w:r>
          </w:p>
        </w:tc>
      </w:tr>
      <w:tr w:rsidR="00026FE7" w:rsidRPr="00026FE7" w:rsidTr="008565D1">
        <w:tc>
          <w:tcPr>
            <w:tcW w:w="1384" w:type="dxa"/>
            <w:vMerge/>
          </w:tcPr>
          <w:p w:rsidR="00026FE7" w:rsidRPr="00026FE7" w:rsidRDefault="00026FE7" w:rsidP="00026FE7">
            <w:pPr>
              <w:suppressAutoHyphens w:val="0"/>
              <w:jc w:val="both"/>
              <w:rPr>
                <w:rFonts w:eastAsia="Calibri"/>
                <w:sz w:val="24"/>
                <w:szCs w:val="24"/>
                <w:lang w:eastAsia="en-US"/>
              </w:rPr>
            </w:pPr>
          </w:p>
        </w:tc>
        <w:tc>
          <w:tcPr>
            <w:tcW w:w="2268" w:type="dxa"/>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Vyr. buhalteris</w:t>
            </w:r>
          </w:p>
        </w:tc>
        <w:tc>
          <w:tcPr>
            <w:tcW w:w="1559"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0,75</w:t>
            </w:r>
          </w:p>
        </w:tc>
        <w:tc>
          <w:tcPr>
            <w:tcW w:w="1701"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w:t>
            </w:r>
          </w:p>
        </w:tc>
        <w:tc>
          <w:tcPr>
            <w:tcW w:w="141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771,00</w:t>
            </w:r>
          </w:p>
        </w:tc>
        <w:tc>
          <w:tcPr>
            <w:tcW w:w="1524"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4626,00</w:t>
            </w:r>
          </w:p>
        </w:tc>
      </w:tr>
      <w:tr w:rsidR="00026FE7" w:rsidRPr="00026FE7" w:rsidTr="008565D1">
        <w:tc>
          <w:tcPr>
            <w:tcW w:w="1384" w:type="dxa"/>
            <w:vMerge/>
          </w:tcPr>
          <w:p w:rsidR="00026FE7" w:rsidRPr="00026FE7" w:rsidRDefault="00026FE7" w:rsidP="00026FE7">
            <w:pPr>
              <w:suppressAutoHyphens w:val="0"/>
              <w:jc w:val="both"/>
              <w:rPr>
                <w:rFonts w:eastAsia="Calibri"/>
                <w:sz w:val="24"/>
                <w:szCs w:val="24"/>
                <w:lang w:eastAsia="en-US"/>
              </w:rPr>
            </w:pPr>
          </w:p>
        </w:tc>
        <w:tc>
          <w:tcPr>
            <w:tcW w:w="2268" w:type="dxa"/>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Virėjas</w:t>
            </w:r>
          </w:p>
        </w:tc>
        <w:tc>
          <w:tcPr>
            <w:tcW w:w="1559"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0,75</w:t>
            </w:r>
          </w:p>
        </w:tc>
        <w:tc>
          <w:tcPr>
            <w:tcW w:w="1701"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0,5</w:t>
            </w:r>
          </w:p>
        </w:tc>
        <w:tc>
          <w:tcPr>
            <w:tcW w:w="141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147,50</w:t>
            </w:r>
          </w:p>
        </w:tc>
        <w:tc>
          <w:tcPr>
            <w:tcW w:w="1524" w:type="dxa"/>
          </w:tcPr>
          <w:p w:rsidR="00026FE7" w:rsidRPr="00026FE7" w:rsidRDefault="00026FE7" w:rsidP="00026FE7">
            <w:pPr>
              <w:suppressAutoHyphens w:val="0"/>
              <w:jc w:val="center"/>
              <w:rPr>
                <w:rFonts w:eastAsia="Calibri"/>
                <w:sz w:val="24"/>
                <w:szCs w:val="24"/>
                <w:lang w:eastAsia="en-US"/>
              </w:rPr>
            </w:pPr>
          </w:p>
        </w:tc>
      </w:tr>
      <w:tr w:rsidR="00026FE7" w:rsidRPr="00026FE7" w:rsidTr="008565D1">
        <w:tc>
          <w:tcPr>
            <w:tcW w:w="1384" w:type="dxa"/>
          </w:tcPr>
          <w:p w:rsidR="00026FE7" w:rsidRPr="00026FE7" w:rsidRDefault="00026FE7" w:rsidP="00026FE7">
            <w:pPr>
              <w:suppressAutoHyphens w:val="0"/>
              <w:jc w:val="both"/>
              <w:rPr>
                <w:rFonts w:eastAsia="Calibri"/>
                <w:sz w:val="24"/>
                <w:szCs w:val="24"/>
                <w:lang w:eastAsia="en-US"/>
              </w:rPr>
            </w:pPr>
            <w:r w:rsidRPr="00026FE7">
              <w:rPr>
                <w:rFonts w:eastAsia="Calibri"/>
                <w:sz w:val="24"/>
                <w:szCs w:val="24"/>
                <w:lang w:eastAsia="en-US"/>
              </w:rPr>
              <w:t>Iš viso</w:t>
            </w:r>
          </w:p>
        </w:tc>
        <w:tc>
          <w:tcPr>
            <w:tcW w:w="2268" w:type="dxa"/>
          </w:tcPr>
          <w:p w:rsidR="00026FE7" w:rsidRPr="00026FE7" w:rsidRDefault="00026FE7" w:rsidP="00026FE7">
            <w:pPr>
              <w:suppressAutoHyphens w:val="0"/>
              <w:jc w:val="both"/>
              <w:rPr>
                <w:rFonts w:eastAsia="Calibri"/>
                <w:sz w:val="24"/>
                <w:szCs w:val="24"/>
                <w:lang w:eastAsia="en-US"/>
              </w:rPr>
            </w:pPr>
          </w:p>
        </w:tc>
        <w:tc>
          <w:tcPr>
            <w:tcW w:w="1559" w:type="dxa"/>
          </w:tcPr>
          <w:p w:rsidR="00026FE7" w:rsidRPr="00026FE7" w:rsidRDefault="00026FE7" w:rsidP="00026FE7">
            <w:pPr>
              <w:suppressAutoHyphens w:val="0"/>
              <w:jc w:val="center"/>
              <w:rPr>
                <w:rFonts w:eastAsia="Calibri"/>
                <w:sz w:val="24"/>
                <w:szCs w:val="24"/>
                <w:lang w:eastAsia="en-US"/>
              </w:rPr>
            </w:pPr>
          </w:p>
        </w:tc>
        <w:tc>
          <w:tcPr>
            <w:tcW w:w="1701" w:type="dxa"/>
          </w:tcPr>
          <w:p w:rsidR="00026FE7" w:rsidRPr="00026FE7" w:rsidRDefault="00026FE7" w:rsidP="00026FE7">
            <w:pPr>
              <w:suppressAutoHyphens w:val="0"/>
              <w:jc w:val="center"/>
              <w:rPr>
                <w:rFonts w:eastAsia="Calibri"/>
                <w:sz w:val="24"/>
                <w:szCs w:val="24"/>
                <w:lang w:eastAsia="en-US"/>
              </w:rPr>
            </w:pPr>
          </w:p>
        </w:tc>
        <w:tc>
          <w:tcPr>
            <w:tcW w:w="1418"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1 932,25</w:t>
            </w:r>
          </w:p>
        </w:tc>
        <w:tc>
          <w:tcPr>
            <w:tcW w:w="1524" w:type="dxa"/>
          </w:tcPr>
          <w:p w:rsidR="00026FE7" w:rsidRPr="00026FE7" w:rsidRDefault="00026FE7" w:rsidP="00026FE7">
            <w:pPr>
              <w:suppressAutoHyphens w:val="0"/>
              <w:jc w:val="center"/>
              <w:rPr>
                <w:rFonts w:eastAsia="Calibri"/>
                <w:sz w:val="24"/>
                <w:szCs w:val="24"/>
                <w:lang w:eastAsia="en-US"/>
              </w:rPr>
            </w:pPr>
            <w:r w:rsidRPr="00026FE7">
              <w:rPr>
                <w:rFonts w:eastAsia="Calibri"/>
                <w:sz w:val="24"/>
                <w:szCs w:val="24"/>
                <w:lang w:eastAsia="en-US"/>
              </w:rPr>
              <w:t>6 524,00</w:t>
            </w:r>
          </w:p>
        </w:tc>
      </w:tr>
    </w:tbl>
    <w:p w:rsidR="00026FE7" w:rsidRPr="00026FE7" w:rsidRDefault="00026FE7" w:rsidP="00026FE7">
      <w:pPr>
        <w:suppressAutoHyphens w:val="0"/>
        <w:ind w:firstLine="720"/>
        <w:jc w:val="both"/>
        <w:rPr>
          <w:rFonts w:eastAsia="Calibri"/>
          <w:sz w:val="24"/>
          <w:szCs w:val="24"/>
          <w:lang w:eastAsia="en-US"/>
        </w:rPr>
      </w:pPr>
      <w:r w:rsidRPr="00026FE7">
        <w:rPr>
          <w:rFonts w:eastAsia="Calibri"/>
          <w:sz w:val="24"/>
          <w:szCs w:val="24"/>
          <w:lang w:eastAsia="en-US"/>
        </w:rPr>
        <w:t>Kaip numatyta Lietuvos Respublikos biudžetinių įstaigų įstatymo 14 straipsnyje, reikalingas Tarybos sutikimas dėl reorganizavimo bei pavedimas reorganizuojamų įstaigų vadovams parengti reorganizavimo sąlygų aprašą bei apie jį viešai paskelbti jų nuostatuose nurodytuose šaltiniuose, raštu pranešti visiems kreditoriams.</w:t>
      </w:r>
    </w:p>
    <w:p w:rsidR="00026FE7" w:rsidRPr="00026FE7" w:rsidRDefault="00026FE7" w:rsidP="00026FE7">
      <w:pPr>
        <w:suppressAutoHyphens w:val="0"/>
        <w:ind w:firstLine="720"/>
        <w:jc w:val="both"/>
        <w:rPr>
          <w:rFonts w:eastAsia="Calibri"/>
          <w:sz w:val="24"/>
          <w:szCs w:val="24"/>
          <w:lang w:eastAsia="en-US"/>
        </w:rPr>
      </w:pPr>
    </w:p>
    <w:p w:rsidR="00026FE7" w:rsidRPr="00026FE7" w:rsidRDefault="00026FE7" w:rsidP="00026FE7">
      <w:pPr>
        <w:suppressAutoHyphens w:val="0"/>
        <w:ind w:firstLine="720"/>
        <w:jc w:val="both"/>
        <w:rPr>
          <w:rFonts w:eastAsia="Calibri"/>
          <w:sz w:val="24"/>
          <w:szCs w:val="24"/>
          <w:lang w:eastAsia="en-US"/>
        </w:rPr>
      </w:pPr>
    </w:p>
    <w:p w:rsidR="00026FE7" w:rsidRPr="00026FE7" w:rsidRDefault="00026FE7" w:rsidP="00026FE7">
      <w:pPr>
        <w:tabs>
          <w:tab w:val="left" w:pos="709"/>
        </w:tabs>
        <w:suppressAutoHyphens w:val="0"/>
        <w:spacing w:line="259" w:lineRule="auto"/>
        <w:jc w:val="both"/>
        <w:rPr>
          <w:rFonts w:eastAsia="Calibri"/>
          <w:b/>
          <w:sz w:val="24"/>
          <w:szCs w:val="24"/>
          <w:lang w:eastAsia="en-US"/>
        </w:rPr>
      </w:pPr>
      <w:r w:rsidRPr="00026FE7">
        <w:rPr>
          <w:rFonts w:eastAsia="Calibri"/>
          <w:b/>
          <w:sz w:val="24"/>
          <w:szCs w:val="24"/>
          <w:lang w:eastAsia="en-US"/>
        </w:rPr>
        <w:tab/>
        <w:t>Kokių pozityvių rezultatų laukiama.</w:t>
      </w:r>
    </w:p>
    <w:p w:rsidR="00026FE7" w:rsidRPr="00026FE7" w:rsidRDefault="00026FE7" w:rsidP="00026FE7">
      <w:pPr>
        <w:tabs>
          <w:tab w:val="left" w:pos="709"/>
        </w:tabs>
        <w:suppressAutoHyphens w:val="0"/>
        <w:spacing w:line="259" w:lineRule="auto"/>
        <w:jc w:val="both"/>
        <w:rPr>
          <w:rFonts w:eastAsia="Calibri"/>
          <w:b/>
          <w:sz w:val="24"/>
          <w:szCs w:val="24"/>
          <w:lang w:eastAsia="en-US"/>
        </w:rPr>
      </w:pPr>
    </w:p>
    <w:p w:rsidR="00026FE7" w:rsidRPr="00026FE7" w:rsidRDefault="00026FE7" w:rsidP="00026FE7">
      <w:pPr>
        <w:tabs>
          <w:tab w:val="left" w:pos="709"/>
        </w:tabs>
        <w:suppressAutoHyphens w:val="0"/>
        <w:spacing w:line="259" w:lineRule="auto"/>
        <w:jc w:val="both"/>
        <w:rPr>
          <w:rFonts w:eastAsia="Calibri"/>
          <w:sz w:val="24"/>
          <w:szCs w:val="24"/>
          <w:lang w:eastAsia="en-US"/>
        </w:rPr>
      </w:pPr>
      <w:r w:rsidRPr="00026FE7">
        <w:rPr>
          <w:rFonts w:eastAsia="Calibri"/>
          <w:sz w:val="24"/>
          <w:szCs w:val="24"/>
          <w:lang w:eastAsia="en-US"/>
        </w:rPr>
        <w:tab/>
        <w:t>Atsisakius 2,5 etato, sumažės preliminariai 23 187 Eur per metus.</w:t>
      </w:r>
    </w:p>
    <w:p w:rsidR="00026FE7" w:rsidRPr="00026FE7" w:rsidRDefault="00026FE7" w:rsidP="00026FE7">
      <w:pPr>
        <w:tabs>
          <w:tab w:val="left" w:pos="709"/>
        </w:tabs>
        <w:suppressAutoHyphens w:val="0"/>
        <w:spacing w:line="259" w:lineRule="auto"/>
        <w:jc w:val="both"/>
        <w:rPr>
          <w:rFonts w:eastAsia="Calibri"/>
          <w:sz w:val="24"/>
          <w:szCs w:val="24"/>
          <w:lang w:eastAsia="en-US"/>
        </w:rPr>
      </w:pPr>
    </w:p>
    <w:p w:rsidR="00026FE7" w:rsidRPr="00026FE7" w:rsidRDefault="00026FE7" w:rsidP="00026FE7">
      <w:pPr>
        <w:tabs>
          <w:tab w:val="left" w:pos="709"/>
        </w:tabs>
        <w:suppressAutoHyphens w:val="0"/>
        <w:spacing w:line="259" w:lineRule="auto"/>
        <w:jc w:val="both"/>
        <w:rPr>
          <w:rFonts w:eastAsia="Calibri"/>
          <w:b/>
          <w:sz w:val="24"/>
          <w:szCs w:val="24"/>
          <w:lang w:eastAsia="en-US"/>
        </w:rPr>
      </w:pPr>
      <w:r w:rsidRPr="00026FE7">
        <w:rPr>
          <w:rFonts w:eastAsia="Calibri"/>
          <w:sz w:val="24"/>
          <w:szCs w:val="24"/>
          <w:lang w:eastAsia="en-US"/>
        </w:rPr>
        <w:lastRenderedPageBreak/>
        <w:tab/>
      </w:r>
      <w:r w:rsidRPr="00026FE7">
        <w:rPr>
          <w:rFonts w:eastAsia="Calibri"/>
          <w:b/>
          <w:sz w:val="24"/>
          <w:szCs w:val="24"/>
          <w:lang w:eastAsia="en-US"/>
        </w:rPr>
        <w:t>Galimos neigiamos pasekmės priėmus projektą, kokių priemonių reikia imtis, kad tokių pasekmių būtų išvengta.</w:t>
      </w:r>
    </w:p>
    <w:p w:rsidR="00026FE7" w:rsidRPr="00026FE7" w:rsidRDefault="00026FE7" w:rsidP="00026FE7">
      <w:pPr>
        <w:tabs>
          <w:tab w:val="left" w:pos="709"/>
        </w:tabs>
        <w:suppressAutoHyphens w:val="0"/>
        <w:spacing w:line="259" w:lineRule="auto"/>
        <w:jc w:val="both"/>
        <w:rPr>
          <w:rFonts w:eastAsia="Calibri"/>
          <w:b/>
          <w:sz w:val="24"/>
          <w:szCs w:val="24"/>
          <w:lang w:eastAsia="en-US"/>
        </w:rPr>
      </w:pPr>
    </w:p>
    <w:p w:rsidR="00026FE7" w:rsidRPr="00026FE7" w:rsidRDefault="00026FE7" w:rsidP="00026FE7">
      <w:pPr>
        <w:tabs>
          <w:tab w:val="left" w:pos="709"/>
        </w:tabs>
        <w:suppressAutoHyphens w:val="0"/>
        <w:spacing w:line="259" w:lineRule="auto"/>
        <w:jc w:val="both"/>
        <w:rPr>
          <w:rFonts w:eastAsia="Calibri"/>
          <w:sz w:val="24"/>
          <w:szCs w:val="24"/>
          <w:lang w:eastAsia="en-US"/>
        </w:rPr>
      </w:pPr>
      <w:r w:rsidRPr="00026FE7">
        <w:rPr>
          <w:rFonts w:eastAsia="Calibri"/>
          <w:b/>
          <w:sz w:val="24"/>
          <w:szCs w:val="24"/>
          <w:lang w:eastAsia="en-US"/>
        </w:rPr>
        <w:tab/>
      </w:r>
      <w:r w:rsidRPr="00026FE7">
        <w:rPr>
          <w:rFonts w:eastAsia="Calibri"/>
          <w:sz w:val="24"/>
          <w:szCs w:val="24"/>
          <w:lang w:eastAsia="en-US"/>
        </w:rPr>
        <w:t xml:space="preserve">Nepasiūlius darbo ar atsisakius darbo išeitinėms išmokoms bus reikalinga: </w:t>
      </w:r>
    </w:p>
    <w:p w:rsidR="00026FE7" w:rsidRPr="00026FE7" w:rsidRDefault="00026FE7" w:rsidP="00026FE7">
      <w:pPr>
        <w:tabs>
          <w:tab w:val="left" w:pos="709"/>
        </w:tabs>
        <w:suppressAutoHyphens w:val="0"/>
        <w:spacing w:line="259" w:lineRule="auto"/>
        <w:jc w:val="both"/>
        <w:rPr>
          <w:rFonts w:eastAsia="Calibri"/>
          <w:sz w:val="24"/>
          <w:szCs w:val="24"/>
          <w:lang w:eastAsia="en-US"/>
        </w:rPr>
      </w:pPr>
      <w:r w:rsidRPr="00026FE7">
        <w:rPr>
          <w:rFonts w:eastAsia="Calibri"/>
          <w:sz w:val="24"/>
          <w:szCs w:val="24"/>
          <w:lang w:eastAsia="en-US"/>
        </w:rPr>
        <w:tab/>
        <w:t xml:space="preserve">6524 Eur (su SODRA) savivaldybės biudžeto lėšų. </w:t>
      </w:r>
    </w:p>
    <w:p w:rsidR="00026FE7" w:rsidRPr="00026FE7" w:rsidRDefault="00026FE7" w:rsidP="00026FE7">
      <w:pPr>
        <w:tabs>
          <w:tab w:val="left" w:pos="709"/>
        </w:tabs>
        <w:suppressAutoHyphens w:val="0"/>
        <w:spacing w:line="259" w:lineRule="auto"/>
        <w:jc w:val="both"/>
        <w:rPr>
          <w:rFonts w:eastAsia="Calibri"/>
          <w:sz w:val="24"/>
          <w:szCs w:val="24"/>
          <w:lang w:eastAsia="en-US"/>
        </w:rPr>
      </w:pPr>
      <w:r w:rsidRPr="00026FE7">
        <w:rPr>
          <w:rFonts w:eastAsia="Calibri"/>
          <w:sz w:val="24"/>
          <w:szCs w:val="24"/>
          <w:lang w:eastAsia="en-US"/>
        </w:rPr>
        <w:tab/>
        <w:t>2015 m. rugsėjo 1 d. preliminariai trūks 28 000 Eur mokinio krepšelio lėšų.</w:t>
      </w:r>
    </w:p>
    <w:p w:rsidR="00026FE7" w:rsidRPr="00026FE7" w:rsidRDefault="00026FE7" w:rsidP="00026FE7">
      <w:pPr>
        <w:tabs>
          <w:tab w:val="left" w:pos="709"/>
        </w:tabs>
        <w:suppressAutoHyphens w:val="0"/>
        <w:spacing w:line="259" w:lineRule="auto"/>
        <w:jc w:val="both"/>
        <w:rPr>
          <w:rFonts w:eastAsia="Calibri"/>
          <w:sz w:val="24"/>
          <w:szCs w:val="24"/>
          <w:lang w:eastAsia="en-US"/>
        </w:rPr>
      </w:pPr>
    </w:p>
    <w:p w:rsidR="00026FE7" w:rsidRPr="00026FE7" w:rsidRDefault="00026FE7" w:rsidP="00026FE7">
      <w:pPr>
        <w:tabs>
          <w:tab w:val="left" w:pos="709"/>
        </w:tabs>
        <w:suppressAutoHyphens w:val="0"/>
        <w:spacing w:line="259" w:lineRule="auto"/>
        <w:jc w:val="both"/>
        <w:rPr>
          <w:rFonts w:eastAsia="Calibri"/>
          <w:b/>
          <w:sz w:val="24"/>
          <w:szCs w:val="24"/>
          <w:lang w:eastAsia="en-US"/>
        </w:rPr>
      </w:pPr>
      <w:r w:rsidRPr="00026FE7">
        <w:rPr>
          <w:rFonts w:eastAsia="Calibri"/>
          <w:sz w:val="24"/>
          <w:szCs w:val="24"/>
          <w:lang w:eastAsia="en-US"/>
        </w:rPr>
        <w:tab/>
      </w:r>
      <w:r w:rsidRPr="00026FE7">
        <w:rPr>
          <w:rFonts w:eastAsia="Calibri"/>
          <w:b/>
          <w:sz w:val="24"/>
          <w:szCs w:val="24"/>
          <w:lang w:eastAsia="en-US"/>
        </w:rPr>
        <w:t>Kokius galiojančius teisės aktus būtina pakeisti ar panaikinti, priėmus teikiamą projektą.</w:t>
      </w:r>
    </w:p>
    <w:p w:rsidR="00026FE7" w:rsidRPr="00026FE7" w:rsidRDefault="00026FE7" w:rsidP="00026FE7">
      <w:pPr>
        <w:tabs>
          <w:tab w:val="left" w:pos="709"/>
        </w:tabs>
        <w:suppressAutoHyphens w:val="0"/>
        <w:spacing w:line="259" w:lineRule="auto"/>
        <w:jc w:val="both"/>
        <w:rPr>
          <w:rFonts w:eastAsia="Calibri"/>
          <w:b/>
          <w:sz w:val="24"/>
          <w:szCs w:val="24"/>
          <w:lang w:eastAsia="en-US"/>
        </w:rPr>
      </w:pPr>
    </w:p>
    <w:p w:rsidR="00026FE7" w:rsidRPr="00026FE7" w:rsidRDefault="00026FE7" w:rsidP="00026FE7">
      <w:pPr>
        <w:tabs>
          <w:tab w:val="left" w:pos="709"/>
        </w:tabs>
        <w:suppressAutoHyphens w:val="0"/>
        <w:jc w:val="both"/>
        <w:rPr>
          <w:sz w:val="24"/>
          <w:szCs w:val="24"/>
          <w:lang w:val="x-none" w:eastAsia="ru-RU"/>
        </w:rPr>
      </w:pPr>
      <w:r w:rsidRPr="00026FE7">
        <w:rPr>
          <w:b/>
          <w:sz w:val="24"/>
          <w:szCs w:val="24"/>
          <w:lang w:val="x-none" w:eastAsia="ru-RU"/>
        </w:rPr>
        <w:tab/>
      </w:r>
      <w:r w:rsidRPr="00026FE7">
        <w:rPr>
          <w:sz w:val="24"/>
          <w:szCs w:val="24"/>
          <w:lang w:val="x-none" w:eastAsia="ru-RU"/>
        </w:rPr>
        <w:t>Pritarus sprendimo projektui,</w:t>
      </w:r>
      <w:r w:rsidRPr="00026FE7">
        <w:rPr>
          <w:b/>
          <w:sz w:val="24"/>
          <w:szCs w:val="24"/>
          <w:lang w:val="x-none" w:eastAsia="ru-RU"/>
        </w:rPr>
        <w:t xml:space="preserve"> </w:t>
      </w:r>
      <w:r w:rsidRPr="00026FE7">
        <w:rPr>
          <w:sz w:val="24"/>
          <w:szCs w:val="24"/>
          <w:lang w:val="x-none" w:eastAsia="ru-RU"/>
        </w:rPr>
        <w:t xml:space="preserve">reikės pripažinti netekusiu galios Panevėžio rajono savivaldybės tarybos 2014 </w:t>
      </w:r>
      <w:r w:rsidRPr="00026FE7">
        <w:rPr>
          <w:sz w:val="24"/>
          <w:szCs w:val="24"/>
          <w:lang w:eastAsia="ru-RU"/>
        </w:rPr>
        <w:t xml:space="preserve">m. lapkričio </w:t>
      </w:r>
      <w:r w:rsidRPr="00026FE7">
        <w:rPr>
          <w:sz w:val="24"/>
          <w:szCs w:val="24"/>
          <w:lang w:val="x-none" w:eastAsia="ru-RU"/>
        </w:rPr>
        <w:t xml:space="preserve">20 </w:t>
      </w:r>
      <w:r w:rsidRPr="00026FE7">
        <w:rPr>
          <w:sz w:val="24"/>
          <w:szCs w:val="24"/>
          <w:lang w:eastAsia="ru-RU"/>
        </w:rPr>
        <w:t xml:space="preserve">d. </w:t>
      </w:r>
      <w:r w:rsidRPr="00026FE7">
        <w:rPr>
          <w:sz w:val="24"/>
          <w:szCs w:val="24"/>
          <w:lang w:val="x-none" w:eastAsia="ru-RU"/>
        </w:rPr>
        <w:t>sprendimo Nr. T-207 „Dėl Panevėžio rajono mokyklų pavadinimų pakeitimo ir nuostatų patvirtinimo“ 2.4 punktą ir pakeisti Panevėžio rajono savivaldybės tarybos</w:t>
      </w:r>
      <w:r w:rsidRPr="00026FE7">
        <w:rPr>
          <w:sz w:val="24"/>
          <w:szCs w:val="24"/>
          <w:lang w:eastAsia="ru-RU"/>
        </w:rPr>
        <w:t xml:space="preserve"> </w:t>
      </w:r>
      <w:r w:rsidRPr="00026FE7">
        <w:rPr>
          <w:sz w:val="24"/>
          <w:szCs w:val="24"/>
          <w:lang w:val="x-none" w:eastAsia="ru-RU"/>
        </w:rPr>
        <w:t>2014 m. spalio 2</w:t>
      </w:r>
      <w:r w:rsidRPr="00026FE7">
        <w:rPr>
          <w:sz w:val="24"/>
          <w:szCs w:val="24"/>
          <w:lang w:eastAsia="ru-RU"/>
        </w:rPr>
        <w:t xml:space="preserve"> d.</w:t>
      </w:r>
      <w:r w:rsidRPr="00026FE7">
        <w:rPr>
          <w:sz w:val="24"/>
          <w:szCs w:val="24"/>
          <w:lang w:val="x-none" w:eastAsia="ru-RU"/>
        </w:rPr>
        <w:t xml:space="preserve"> sprendimo Nr. T-171 „Dėl Panevėžio rajono mokyklų pavadinimų pakeitimo ir nuostatų patvirtinimo“ 2.7 punktu patvirtintus Velžio gimnazijos nuostatus po 30 dienų viešai paskelbus apie reorganizavimo sąlygų aprašą.</w:t>
      </w:r>
    </w:p>
    <w:p w:rsidR="00026FE7" w:rsidRPr="00026FE7" w:rsidRDefault="00026FE7" w:rsidP="00026FE7">
      <w:pPr>
        <w:tabs>
          <w:tab w:val="left" w:pos="709"/>
        </w:tabs>
        <w:suppressAutoHyphens w:val="0"/>
        <w:jc w:val="both"/>
        <w:rPr>
          <w:sz w:val="24"/>
          <w:szCs w:val="24"/>
          <w:lang w:val="x-none" w:eastAsia="ru-RU"/>
        </w:rPr>
      </w:pPr>
      <w:r w:rsidRPr="00026FE7">
        <w:rPr>
          <w:sz w:val="24"/>
          <w:szCs w:val="24"/>
          <w:lang w:val="x-none" w:eastAsia="ru-RU"/>
        </w:rPr>
        <w:tab/>
        <w:t>Bus keičiamas Panevėžio rajono savivaldybės tarybos 2014 m. rugpjūčio 28 d. sprendimas T-153 „Dėl didžiausio leistino pareigybių, finansuojamų iš savivaldybės biudžeto, skaičiaus biudžetinėse įstaigose nustatymo“.</w:t>
      </w:r>
    </w:p>
    <w:p w:rsidR="00026FE7" w:rsidRPr="00026FE7" w:rsidRDefault="00026FE7" w:rsidP="00026FE7">
      <w:pPr>
        <w:tabs>
          <w:tab w:val="left" w:pos="709"/>
        </w:tabs>
        <w:suppressAutoHyphens w:val="0"/>
        <w:jc w:val="both"/>
        <w:rPr>
          <w:sz w:val="24"/>
          <w:szCs w:val="24"/>
          <w:lang w:val="x-none" w:eastAsia="ru-RU"/>
        </w:rPr>
      </w:pPr>
    </w:p>
    <w:p w:rsidR="00026FE7" w:rsidRPr="00026FE7" w:rsidRDefault="00026FE7" w:rsidP="00026FE7">
      <w:pPr>
        <w:tabs>
          <w:tab w:val="left" w:pos="709"/>
        </w:tabs>
        <w:suppressAutoHyphens w:val="0"/>
        <w:jc w:val="both"/>
        <w:rPr>
          <w:b/>
          <w:sz w:val="24"/>
          <w:szCs w:val="24"/>
          <w:lang w:val="x-none" w:eastAsia="ru-RU"/>
        </w:rPr>
      </w:pPr>
      <w:r w:rsidRPr="00026FE7">
        <w:rPr>
          <w:b/>
          <w:sz w:val="24"/>
          <w:szCs w:val="24"/>
          <w:lang w:val="x-none" w:eastAsia="ru-RU"/>
        </w:rPr>
        <w:tab/>
        <w:t xml:space="preserve">Reikiami paskaičiavimai, išlaidų sąmatos bei finansavimo šaltiniai, reikalingi sprendimui įgyvendinti. </w:t>
      </w:r>
    </w:p>
    <w:p w:rsidR="00026FE7" w:rsidRPr="00026FE7" w:rsidRDefault="00026FE7" w:rsidP="00026FE7">
      <w:pPr>
        <w:tabs>
          <w:tab w:val="left" w:pos="709"/>
        </w:tabs>
        <w:suppressAutoHyphens w:val="0"/>
        <w:jc w:val="both"/>
        <w:rPr>
          <w:b/>
          <w:sz w:val="24"/>
          <w:szCs w:val="24"/>
          <w:lang w:val="x-none" w:eastAsia="ru-RU"/>
        </w:rPr>
      </w:pPr>
    </w:p>
    <w:p w:rsidR="00026FE7" w:rsidRPr="00026FE7" w:rsidRDefault="00026FE7" w:rsidP="00026FE7">
      <w:pPr>
        <w:tabs>
          <w:tab w:val="left" w:pos="709"/>
        </w:tabs>
        <w:suppressAutoHyphens w:val="0"/>
        <w:jc w:val="both"/>
        <w:rPr>
          <w:b/>
          <w:sz w:val="24"/>
          <w:szCs w:val="24"/>
          <w:lang w:eastAsia="ru-RU"/>
        </w:rPr>
      </w:pPr>
      <w:r w:rsidRPr="00026FE7">
        <w:rPr>
          <w:b/>
          <w:sz w:val="24"/>
          <w:szCs w:val="24"/>
          <w:lang w:val="x-none" w:eastAsia="ru-RU"/>
        </w:rPr>
        <w:t xml:space="preserve">            </w:t>
      </w:r>
      <w:r w:rsidRPr="00026FE7">
        <w:rPr>
          <w:sz w:val="24"/>
          <w:szCs w:val="24"/>
          <w:lang w:val="x-none" w:eastAsia="ru-RU"/>
        </w:rPr>
        <w:t xml:space="preserve">Atsisakius dalies etatų ir nesant kito darbo pasiūlymų ar darbuotojams nesutikus dirbti pasiūlyto darbo, bus reikalinga išmokėti išeitines išmokas, kurios sudarytų apie </w:t>
      </w:r>
      <w:r w:rsidRPr="00026FE7">
        <w:rPr>
          <w:sz w:val="24"/>
          <w:szCs w:val="24"/>
          <w:lang w:eastAsia="ru-RU"/>
        </w:rPr>
        <w:t>6 524 Eur.</w:t>
      </w:r>
    </w:p>
    <w:p w:rsidR="00026FE7" w:rsidRPr="00026FE7" w:rsidRDefault="00026FE7" w:rsidP="00026FE7">
      <w:pPr>
        <w:tabs>
          <w:tab w:val="left" w:pos="709"/>
        </w:tabs>
        <w:suppressAutoHyphens w:val="0"/>
        <w:jc w:val="both"/>
        <w:rPr>
          <w:sz w:val="24"/>
          <w:szCs w:val="24"/>
          <w:lang w:eastAsia="ru-RU"/>
        </w:rPr>
      </w:pPr>
    </w:p>
    <w:p w:rsidR="00026FE7" w:rsidRPr="00026FE7" w:rsidRDefault="00026FE7" w:rsidP="00026FE7">
      <w:pPr>
        <w:tabs>
          <w:tab w:val="left" w:pos="709"/>
        </w:tabs>
        <w:suppressAutoHyphens w:val="0"/>
        <w:spacing w:line="259" w:lineRule="auto"/>
        <w:jc w:val="both"/>
        <w:rPr>
          <w:rFonts w:eastAsia="Calibri"/>
          <w:b/>
          <w:sz w:val="24"/>
          <w:szCs w:val="24"/>
          <w:lang w:eastAsia="en-US"/>
        </w:rPr>
      </w:pPr>
      <w:r w:rsidRPr="00026FE7">
        <w:rPr>
          <w:rFonts w:eastAsia="Calibri"/>
          <w:sz w:val="24"/>
          <w:szCs w:val="24"/>
          <w:lang w:eastAsia="en-US"/>
        </w:rPr>
        <w:tab/>
      </w:r>
      <w:r w:rsidRPr="00026FE7">
        <w:rPr>
          <w:rFonts w:eastAsia="Calibri"/>
          <w:b/>
          <w:sz w:val="24"/>
          <w:szCs w:val="24"/>
          <w:lang w:eastAsia="en-US"/>
        </w:rPr>
        <w:t>Kiti, sprendimo projekto rengėjo nuomone, reikalingi paaiškinimai.</w:t>
      </w:r>
    </w:p>
    <w:p w:rsidR="00026FE7" w:rsidRPr="00026FE7" w:rsidRDefault="00026FE7" w:rsidP="00026FE7">
      <w:pPr>
        <w:tabs>
          <w:tab w:val="left" w:pos="709"/>
        </w:tabs>
        <w:suppressAutoHyphens w:val="0"/>
        <w:spacing w:line="259" w:lineRule="auto"/>
        <w:jc w:val="both"/>
        <w:rPr>
          <w:rFonts w:eastAsia="Calibri"/>
          <w:b/>
          <w:sz w:val="24"/>
          <w:szCs w:val="24"/>
          <w:lang w:eastAsia="en-US"/>
        </w:rPr>
      </w:pPr>
    </w:p>
    <w:p w:rsidR="00026FE7" w:rsidRPr="00026FE7" w:rsidRDefault="00026FE7" w:rsidP="00026FE7">
      <w:pPr>
        <w:tabs>
          <w:tab w:val="left" w:pos="709"/>
        </w:tabs>
        <w:suppressAutoHyphens w:val="0"/>
        <w:spacing w:line="259" w:lineRule="auto"/>
        <w:jc w:val="both"/>
        <w:rPr>
          <w:rFonts w:eastAsia="Calibri"/>
          <w:sz w:val="24"/>
          <w:szCs w:val="24"/>
          <w:lang w:eastAsia="en-US"/>
        </w:rPr>
      </w:pPr>
      <w:r w:rsidRPr="00026FE7">
        <w:rPr>
          <w:rFonts w:eastAsia="Calibri"/>
          <w:b/>
          <w:sz w:val="24"/>
          <w:szCs w:val="24"/>
          <w:lang w:eastAsia="en-US"/>
        </w:rPr>
        <w:tab/>
      </w:r>
      <w:r w:rsidRPr="00026FE7">
        <w:rPr>
          <w:rFonts w:eastAsia="Calibri"/>
          <w:sz w:val="24"/>
          <w:szCs w:val="24"/>
          <w:lang w:eastAsia="en-US"/>
        </w:rPr>
        <w:t>Nėra.</w:t>
      </w:r>
    </w:p>
    <w:p w:rsidR="00026FE7" w:rsidRPr="00026FE7" w:rsidRDefault="00026FE7" w:rsidP="00026FE7">
      <w:pPr>
        <w:tabs>
          <w:tab w:val="left" w:pos="709"/>
        </w:tabs>
        <w:suppressAutoHyphens w:val="0"/>
        <w:spacing w:after="160" w:line="259" w:lineRule="auto"/>
        <w:jc w:val="both"/>
        <w:rPr>
          <w:rFonts w:eastAsia="Calibri"/>
          <w:sz w:val="24"/>
          <w:szCs w:val="24"/>
          <w:lang w:eastAsia="en-US"/>
        </w:rPr>
      </w:pPr>
    </w:p>
    <w:p w:rsidR="00026FE7" w:rsidRPr="00026FE7" w:rsidRDefault="00026FE7" w:rsidP="00026FE7">
      <w:pPr>
        <w:spacing w:after="120"/>
        <w:rPr>
          <w:sz w:val="24"/>
          <w:szCs w:val="24"/>
          <w:lang w:val="x-none"/>
        </w:rPr>
      </w:pPr>
      <w:r w:rsidRPr="00026FE7">
        <w:rPr>
          <w:sz w:val="24"/>
          <w:szCs w:val="24"/>
          <w:lang w:val="x-none"/>
        </w:rPr>
        <w:t>Vyriausioji specialistė</w:t>
      </w:r>
      <w:r w:rsidRPr="00026FE7">
        <w:rPr>
          <w:sz w:val="24"/>
          <w:szCs w:val="24"/>
          <w:lang w:val="x-none"/>
        </w:rPr>
        <w:tab/>
      </w:r>
      <w:r w:rsidRPr="00026FE7">
        <w:rPr>
          <w:sz w:val="24"/>
          <w:szCs w:val="24"/>
          <w:lang w:val="x-none"/>
        </w:rPr>
        <w:tab/>
      </w:r>
      <w:r w:rsidRPr="00026FE7">
        <w:rPr>
          <w:sz w:val="24"/>
          <w:szCs w:val="24"/>
          <w:lang w:val="x-none"/>
        </w:rPr>
        <w:tab/>
      </w:r>
      <w:r w:rsidRPr="00026FE7">
        <w:rPr>
          <w:sz w:val="24"/>
          <w:szCs w:val="24"/>
          <w:lang w:val="x-none"/>
        </w:rPr>
        <w:tab/>
        <w:t xml:space="preserve">                     Sigita Jasiūnienė</w:t>
      </w:r>
    </w:p>
    <w:p w:rsidR="00026FE7" w:rsidRPr="002522D6" w:rsidRDefault="00026FE7" w:rsidP="00015334">
      <w:pPr>
        <w:suppressAutoHyphens w:val="0"/>
        <w:autoSpaceDE w:val="0"/>
        <w:autoSpaceDN w:val="0"/>
        <w:adjustRightInd w:val="0"/>
        <w:jc w:val="both"/>
        <w:rPr>
          <w:sz w:val="24"/>
          <w:szCs w:val="24"/>
        </w:rPr>
      </w:pPr>
    </w:p>
    <w:sectPr w:rsidR="00026FE7" w:rsidRPr="002522D6" w:rsidSect="00E5650D">
      <w:headerReference w:type="first" r:id="rId7"/>
      <w:pgSz w:w="11907" w:h="16840" w:code="9"/>
      <w:pgMar w:top="568" w:right="567" w:bottom="0"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A53" w:rsidRDefault="00F70A53">
      <w:r>
        <w:separator/>
      </w:r>
    </w:p>
  </w:endnote>
  <w:endnote w:type="continuationSeparator" w:id="0">
    <w:p w:rsidR="00F70A53" w:rsidRDefault="00F7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A53" w:rsidRDefault="00F70A53">
      <w:r>
        <w:separator/>
      </w:r>
    </w:p>
  </w:footnote>
  <w:footnote w:type="continuationSeparator" w:id="0">
    <w:p w:rsidR="00F70A53" w:rsidRDefault="00F70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488004842"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7ACB"/>
    <w:multiLevelType w:val="multilevel"/>
    <w:tmpl w:val="D5F82546"/>
    <w:lvl w:ilvl="0">
      <w:start w:val="1"/>
      <w:numFmt w:val="decimal"/>
      <w:lvlText w:val="%1."/>
      <w:lvlJc w:val="left"/>
      <w:pPr>
        <w:ind w:left="1530" w:hanging="450"/>
      </w:pPr>
      <w:rPr>
        <w:rFonts w:ascii="Times New Roman" w:eastAsia="Times New Roman" w:hAnsi="Times New Roman" w:cs="Times New Roman"/>
      </w:rPr>
    </w:lvl>
    <w:lvl w:ilvl="1">
      <w:start w:val="1"/>
      <w:numFmt w:val="decimal"/>
      <w:lvlText w:val="%1.%2."/>
      <w:lvlJc w:val="left"/>
      <w:pPr>
        <w:ind w:left="1350" w:hanging="450"/>
      </w:p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1">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5B2C71BB"/>
    <w:multiLevelType w:val="multilevel"/>
    <w:tmpl w:val="D5F82546"/>
    <w:lvl w:ilvl="0">
      <w:start w:val="1"/>
      <w:numFmt w:val="decimal"/>
      <w:lvlText w:val="%1."/>
      <w:lvlJc w:val="left"/>
      <w:pPr>
        <w:ind w:left="1530" w:hanging="450"/>
      </w:pPr>
      <w:rPr>
        <w:rFonts w:ascii="Times New Roman" w:eastAsia="Times New Roman" w:hAnsi="Times New Roman" w:cs="Times New Roman"/>
      </w:rPr>
    </w:lvl>
    <w:lvl w:ilvl="1">
      <w:start w:val="1"/>
      <w:numFmt w:val="decimal"/>
      <w:lvlText w:val="%1.%2."/>
      <w:lvlJc w:val="left"/>
      <w:pPr>
        <w:ind w:left="1350" w:hanging="450"/>
      </w:p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4">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334"/>
    <w:rsid w:val="00015EED"/>
    <w:rsid w:val="00016522"/>
    <w:rsid w:val="00026FE7"/>
    <w:rsid w:val="00044208"/>
    <w:rsid w:val="00044AFC"/>
    <w:rsid w:val="0004685A"/>
    <w:rsid w:val="00053113"/>
    <w:rsid w:val="000626A8"/>
    <w:rsid w:val="00065F82"/>
    <w:rsid w:val="000B0255"/>
    <w:rsid w:val="000B67F7"/>
    <w:rsid w:val="000C08C9"/>
    <w:rsid w:val="000C56C4"/>
    <w:rsid w:val="000D3FBF"/>
    <w:rsid w:val="000D5DF5"/>
    <w:rsid w:val="000F2AA5"/>
    <w:rsid w:val="000F58E1"/>
    <w:rsid w:val="000F68D5"/>
    <w:rsid w:val="0010367C"/>
    <w:rsid w:val="00123B31"/>
    <w:rsid w:val="001372E0"/>
    <w:rsid w:val="0014512A"/>
    <w:rsid w:val="00161F35"/>
    <w:rsid w:val="00177D97"/>
    <w:rsid w:val="001824F5"/>
    <w:rsid w:val="0018651C"/>
    <w:rsid w:val="00187F07"/>
    <w:rsid w:val="001914B8"/>
    <w:rsid w:val="001B4599"/>
    <w:rsid w:val="001B594C"/>
    <w:rsid w:val="001D160C"/>
    <w:rsid w:val="00201A20"/>
    <w:rsid w:val="00206A68"/>
    <w:rsid w:val="00212BC3"/>
    <w:rsid w:val="00213D5F"/>
    <w:rsid w:val="0023687A"/>
    <w:rsid w:val="00241AB4"/>
    <w:rsid w:val="002446B0"/>
    <w:rsid w:val="002522D6"/>
    <w:rsid w:val="00255E5B"/>
    <w:rsid w:val="002613DC"/>
    <w:rsid w:val="002726A9"/>
    <w:rsid w:val="0028024B"/>
    <w:rsid w:val="00286195"/>
    <w:rsid w:val="00294203"/>
    <w:rsid w:val="002A5ADE"/>
    <w:rsid w:val="002B1024"/>
    <w:rsid w:val="002B49C2"/>
    <w:rsid w:val="002D7004"/>
    <w:rsid w:val="002F48D3"/>
    <w:rsid w:val="003243CF"/>
    <w:rsid w:val="00336783"/>
    <w:rsid w:val="00341EA3"/>
    <w:rsid w:val="00382020"/>
    <w:rsid w:val="003B6A54"/>
    <w:rsid w:val="003C03B2"/>
    <w:rsid w:val="003C47B3"/>
    <w:rsid w:val="003E05B7"/>
    <w:rsid w:val="003E2071"/>
    <w:rsid w:val="003E2318"/>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766D"/>
    <w:rsid w:val="004D3136"/>
    <w:rsid w:val="004E36B1"/>
    <w:rsid w:val="004F501D"/>
    <w:rsid w:val="004F5FF5"/>
    <w:rsid w:val="00504261"/>
    <w:rsid w:val="0051661F"/>
    <w:rsid w:val="00520790"/>
    <w:rsid w:val="00536AC2"/>
    <w:rsid w:val="00537A11"/>
    <w:rsid w:val="00537E70"/>
    <w:rsid w:val="00546B39"/>
    <w:rsid w:val="005622DC"/>
    <w:rsid w:val="00573601"/>
    <w:rsid w:val="005769B4"/>
    <w:rsid w:val="0058373C"/>
    <w:rsid w:val="005909C1"/>
    <w:rsid w:val="005A2825"/>
    <w:rsid w:val="005A7052"/>
    <w:rsid w:val="005B1520"/>
    <w:rsid w:val="005C02BC"/>
    <w:rsid w:val="005C1E36"/>
    <w:rsid w:val="005C420B"/>
    <w:rsid w:val="005D1E2F"/>
    <w:rsid w:val="005D538D"/>
    <w:rsid w:val="005D577A"/>
    <w:rsid w:val="005E11B0"/>
    <w:rsid w:val="005E4523"/>
    <w:rsid w:val="005F27B7"/>
    <w:rsid w:val="006060FC"/>
    <w:rsid w:val="00620B22"/>
    <w:rsid w:val="00630563"/>
    <w:rsid w:val="00643171"/>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84F12"/>
    <w:rsid w:val="00793D3A"/>
    <w:rsid w:val="007A222F"/>
    <w:rsid w:val="007A3377"/>
    <w:rsid w:val="007A64F0"/>
    <w:rsid w:val="007B62A0"/>
    <w:rsid w:val="007C2128"/>
    <w:rsid w:val="007F03CC"/>
    <w:rsid w:val="007F391E"/>
    <w:rsid w:val="00805F52"/>
    <w:rsid w:val="008163FD"/>
    <w:rsid w:val="00844D9C"/>
    <w:rsid w:val="00853A88"/>
    <w:rsid w:val="008549D5"/>
    <w:rsid w:val="008565D1"/>
    <w:rsid w:val="00863083"/>
    <w:rsid w:val="00885445"/>
    <w:rsid w:val="00885CB3"/>
    <w:rsid w:val="00886560"/>
    <w:rsid w:val="00890816"/>
    <w:rsid w:val="008A2EFA"/>
    <w:rsid w:val="008B27C1"/>
    <w:rsid w:val="008B4780"/>
    <w:rsid w:val="008D0602"/>
    <w:rsid w:val="008E1047"/>
    <w:rsid w:val="008E16A1"/>
    <w:rsid w:val="008E5669"/>
    <w:rsid w:val="008E6E32"/>
    <w:rsid w:val="00904855"/>
    <w:rsid w:val="00911060"/>
    <w:rsid w:val="00912AA9"/>
    <w:rsid w:val="00915C99"/>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159E"/>
    <w:rsid w:val="009C4648"/>
    <w:rsid w:val="009E3725"/>
    <w:rsid w:val="00A23873"/>
    <w:rsid w:val="00A31426"/>
    <w:rsid w:val="00A44047"/>
    <w:rsid w:val="00A552D2"/>
    <w:rsid w:val="00A71CEF"/>
    <w:rsid w:val="00A87CFF"/>
    <w:rsid w:val="00A9002D"/>
    <w:rsid w:val="00AA3C75"/>
    <w:rsid w:val="00AB2DCB"/>
    <w:rsid w:val="00B10DFD"/>
    <w:rsid w:val="00B15401"/>
    <w:rsid w:val="00B2197A"/>
    <w:rsid w:val="00B24645"/>
    <w:rsid w:val="00B276C5"/>
    <w:rsid w:val="00B62E2C"/>
    <w:rsid w:val="00B65DD8"/>
    <w:rsid w:val="00B708CD"/>
    <w:rsid w:val="00B7367C"/>
    <w:rsid w:val="00B85774"/>
    <w:rsid w:val="00BA66BE"/>
    <w:rsid w:val="00BB0698"/>
    <w:rsid w:val="00BB296A"/>
    <w:rsid w:val="00BB4076"/>
    <w:rsid w:val="00BB6D63"/>
    <w:rsid w:val="00BC2C60"/>
    <w:rsid w:val="00BC4C99"/>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62EAB"/>
    <w:rsid w:val="00C82C1F"/>
    <w:rsid w:val="00C84D41"/>
    <w:rsid w:val="00C91600"/>
    <w:rsid w:val="00CA23A7"/>
    <w:rsid w:val="00CA4266"/>
    <w:rsid w:val="00CB1EE2"/>
    <w:rsid w:val="00CB489B"/>
    <w:rsid w:val="00CB5F75"/>
    <w:rsid w:val="00CC11D9"/>
    <w:rsid w:val="00CC282C"/>
    <w:rsid w:val="00CC2F25"/>
    <w:rsid w:val="00CE0DC4"/>
    <w:rsid w:val="00CF52BB"/>
    <w:rsid w:val="00D04ADC"/>
    <w:rsid w:val="00D157F9"/>
    <w:rsid w:val="00D16BAE"/>
    <w:rsid w:val="00D22EC3"/>
    <w:rsid w:val="00D23524"/>
    <w:rsid w:val="00D353A4"/>
    <w:rsid w:val="00D41780"/>
    <w:rsid w:val="00D5296F"/>
    <w:rsid w:val="00D53762"/>
    <w:rsid w:val="00D608F8"/>
    <w:rsid w:val="00D832A8"/>
    <w:rsid w:val="00D96C95"/>
    <w:rsid w:val="00DB09A6"/>
    <w:rsid w:val="00DB5121"/>
    <w:rsid w:val="00DD6698"/>
    <w:rsid w:val="00DE06DC"/>
    <w:rsid w:val="00DE513E"/>
    <w:rsid w:val="00E04ADD"/>
    <w:rsid w:val="00E10F83"/>
    <w:rsid w:val="00E12CE4"/>
    <w:rsid w:val="00E17BE4"/>
    <w:rsid w:val="00E21D35"/>
    <w:rsid w:val="00E27607"/>
    <w:rsid w:val="00E332DE"/>
    <w:rsid w:val="00E4508B"/>
    <w:rsid w:val="00E54717"/>
    <w:rsid w:val="00E5650D"/>
    <w:rsid w:val="00E63231"/>
    <w:rsid w:val="00E807A7"/>
    <w:rsid w:val="00E826B3"/>
    <w:rsid w:val="00E90B56"/>
    <w:rsid w:val="00EA03F3"/>
    <w:rsid w:val="00EB2CDE"/>
    <w:rsid w:val="00EC1D37"/>
    <w:rsid w:val="00EC3C86"/>
    <w:rsid w:val="00ED24A6"/>
    <w:rsid w:val="00ED6F20"/>
    <w:rsid w:val="00EF2ABE"/>
    <w:rsid w:val="00EF55F5"/>
    <w:rsid w:val="00F21445"/>
    <w:rsid w:val="00F3300E"/>
    <w:rsid w:val="00F35E9A"/>
    <w:rsid w:val="00F427CC"/>
    <w:rsid w:val="00F458A6"/>
    <w:rsid w:val="00F463E2"/>
    <w:rsid w:val="00F70A53"/>
    <w:rsid w:val="00F81113"/>
    <w:rsid w:val="00F95279"/>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B576CF-41DC-429D-9E54-CC6ADBA5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qFormat/>
    <w:rsid w:val="009B2592"/>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unhideWhenUsed/>
    <w:rsid w:val="002522D6"/>
    <w:pPr>
      <w:spacing w:after="120"/>
      <w:ind w:left="283"/>
    </w:pPr>
  </w:style>
  <w:style w:type="character" w:customStyle="1" w:styleId="PagrindiniotekstotraukaDiagrama">
    <w:name w:val="Pagrindinio teksto įtrauka Diagrama"/>
    <w:link w:val="Pagrindiniotekstotrauka"/>
    <w:uiPriority w:val="99"/>
    <w:rsid w:val="002522D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1700">
      <w:bodyDiv w:val="1"/>
      <w:marLeft w:val="0"/>
      <w:marRight w:val="0"/>
      <w:marTop w:val="0"/>
      <w:marBottom w:val="0"/>
      <w:divBdr>
        <w:top w:val="none" w:sz="0" w:space="0" w:color="auto"/>
        <w:left w:val="none" w:sz="0" w:space="0" w:color="auto"/>
        <w:bottom w:val="none" w:sz="0" w:space="0" w:color="auto"/>
        <w:right w:val="none" w:sz="0" w:space="0" w:color="auto"/>
      </w:divBdr>
    </w:div>
    <w:div w:id="87157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4524</Words>
  <Characters>2579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2015-03-10T07:59:00Z</cp:lastPrinted>
  <dcterms:created xsi:type="dcterms:W3CDTF">2015-03-16T07:54:00Z</dcterms:created>
  <dcterms:modified xsi:type="dcterms:W3CDTF">2015-03-16T07:54:00Z</dcterms:modified>
</cp:coreProperties>
</file>