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Default="003A49B5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9" o:title=""/>
          </v:shape>
        </w:pict>
      </w:r>
    </w:p>
    <w:p w:rsidR="00482C65" w:rsidRPr="00F836B8" w:rsidRDefault="006846AE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</w:t>
      </w:r>
      <w:r w:rsidRPr="00F836B8">
        <w:rPr>
          <w:b/>
          <w:sz w:val="24"/>
          <w:szCs w:val="24"/>
        </w:rPr>
        <w:t>Projektas</w:t>
      </w: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727DE" w:rsidRDefault="00F727DE">
      <w:pPr>
        <w:pStyle w:val="Antrats"/>
        <w:jc w:val="center"/>
        <w:rPr>
          <w:b/>
          <w:sz w:val="28"/>
        </w:rPr>
      </w:pP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82C65" w:rsidRDefault="00482C65" w:rsidP="00847A22">
      <w:pPr>
        <w:pStyle w:val="Pagrindiniotekstotrauka"/>
        <w:rPr>
          <w:b/>
        </w:rPr>
      </w:pPr>
      <w:r>
        <w:rPr>
          <w:b/>
        </w:rPr>
        <w:t>DĖL</w:t>
      </w:r>
      <w:r w:rsidR="009B711B">
        <w:rPr>
          <w:b/>
        </w:rPr>
        <w:t xml:space="preserve"> 2016 METŲ </w:t>
      </w:r>
      <w:r>
        <w:rPr>
          <w:b/>
        </w:rPr>
        <w:t>ŽEMĖS MOKESČIO TARIF</w:t>
      </w:r>
      <w:r w:rsidR="00245AF2">
        <w:rPr>
          <w:b/>
        </w:rPr>
        <w:t>Ų</w:t>
      </w:r>
      <w:r w:rsidR="00847A22">
        <w:rPr>
          <w:b/>
        </w:rPr>
        <w:t xml:space="preserve"> </w:t>
      </w:r>
      <w:r>
        <w:rPr>
          <w:b/>
        </w:rPr>
        <w:t>NUSTATYMO</w:t>
      </w:r>
      <w:r w:rsidR="009B711B">
        <w:rPr>
          <w:b/>
        </w:rPr>
        <w:t xml:space="preserve"> IR NEAPMOKESTINAMOJO ŽEMĖS SKLYPO DYDŽIO NUSTATYMO </w:t>
      </w:r>
    </w:p>
    <w:p w:rsidR="00482C65" w:rsidRDefault="00482C65">
      <w:pPr>
        <w:jc w:val="center"/>
        <w:rPr>
          <w:sz w:val="24"/>
        </w:rPr>
      </w:pPr>
    </w:p>
    <w:p w:rsidR="00D46E28" w:rsidRDefault="00482C65">
      <w:pPr>
        <w:jc w:val="center"/>
        <w:rPr>
          <w:sz w:val="24"/>
        </w:rPr>
      </w:pPr>
      <w:r>
        <w:rPr>
          <w:sz w:val="24"/>
        </w:rPr>
        <w:t>201</w:t>
      </w:r>
      <w:r w:rsidR="009B711B">
        <w:rPr>
          <w:sz w:val="24"/>
        </w:rPr>
        <w:t>5</w:t>
      </w:r>
      <w:r>
        <w:rPr>
          <w:sz w:val="24"/>
        </w:rPr>
        <w:t xml:space="preserve"> m</w:t>
      </w:r>
      <w:r w:rsidRPr="007D7E38">
        <w:rPr>
          <w:sz w:val="24"/>
        </w:rPr>
        <w:t xml:space="preserve">. </w:t>
      </w:r>
      <w:r w:rsidR="006846AE" w:rsidRPr="007D7E38">
        <w:rPr>
          <w:sz w:val="24"/>
        </w:rPr>
        <w:t xml:space="preserve">gegužės </w:t>
      </w:r>
      <w:r w:rsidR="003C0EA4">
        <w:rPr>
          <w:sz w:val="24"/>
        </w:rPr>
        <w:t xml:space="preserve"> </w:t>
      </w:r>
      <w:r>
        <w:rPr>
          <w:sz w:val="24"/>
        </w:rPr>
        <w:t xml:space="preserve"> </w:t>
      </w:r>
      <w:r w:rsidR="003C0EA4">
        <w:rPr>
          <w:sz w:val="24"/>
        </w:rPr>
        <w:t xml:space="preserve"> </w:t>
      </w:r>
      <w:r>
        <w:rPr>
          <w:sz w:val="24"/>
        </w:rPr>
        <w:t xml:space="preserve">d. Nr. T- </w:t>
      </w:r>
    </w:p>
    <w:p w:rsidR="00482C65" w:rsidRDefault="00482C65">
      <w:pPr>
        <w:jc w:val="center"/>
        <w:rPr>
          <w:sz w:val="24"/>
        </w:rPr>
      </w:pPr>
      <w:r>
        <w:rPr>
          <w:sz w:val="24"/>
        </w:rPr>
        <w:t>Panevėžys</w:t>
      </w:r>
    </w:p>
    <w:p w:rsidR="00482C65" w:rsidRDefault="00482C65">
      <w:pPr>
        <w:jc w:val="both"/>
        <w:rPr>
          <w:sz w:val="24"/>
        </w:rPr>
      </w:pPr>
    </w:p>
    <w:p w:rsidR="00482C65" w:rsidRDefault="00482C65">
      <w:pPr>
        <w:pStyle w:val="Antrat1"/>
        <w:ind w:left="30" w:hanging="465"/>
        <w:jc w:val="both"/>
      </w:pPr>
      <w:r>
        <w:tab/>
      </w:r>
      <w:r>
        <w:tab/>
      </w:r>
      <w:r>
        <w:tab/>
        <w:t xml:space="preserve">Vadovaudamasi Lietuvos Respublikos vietos savivaldos įstatymo 16 straipsnio 2 dalies </w:t>
      </w:r>
      <w:r w:rsidR="005B7E0D">
        <w:br/>
      </w:r>
      <w:r>
        <w:t>37 punktu</w:t>
      </w:r>
      <w:r w:rsidR="005B3AB6">
        <w:t>,</w:t>
      </w:r>
      <w:r>
        <w:rPr>
          <w:szCs w:val="24"/>
        </w:rPr>
        <w:t xml:space="preserve"> </w:t>
      </w:r>
      <w:r>
        <w:t>Lietuvos Respublikos žemės mokesčio įstatymo</w:t>
      </w:r>
      <w:r w:rsidR="00D46E28">
        <w:t xml:space="preserve"> </w:t>
      </w:r>
      <w:r>
        <w:t>6 straipsniu</w:t>
      </w:r>
      <w:r w:rsidR="005B3AB6">
        <w:t xml:space="preserve"> ir 8 straipsnio </w:t>
      </w:r>
      <w:r w:rsidR="007D5137">
        <w:t xml:space="preserve">2 dalies </w:t>
      </w:r>
      <w:r w:rsidR="003C0EA4">
        <w:t xml:space="preserve">       </w:t>
      </w:r>
      <w:r w:rsidR="007D5137">
        <w:t>3 punktu</w:t>
      </w:r>
      <w:r w:rsidR="006846AE">
        <w:t>,</w:t>
      </w:r>
      <w:r w:rsidR="005B3AB6">
        <w:t xml:space="preserve"> </w:t>
      </w:r>
      <w:r>
        <w:t>Savivaldybės taryba n u s p r e n d ž i a:</w:t>
      </w:r>
    </w:p>
    <w:p w:rsidR="00482C65" w:rsidRDefault="00D46E28">
      <w:pPr>
        <w:ind w:left="30" w:hanging="465"/>
        <w:jc w:val="both"/>
        <w:rPr>
          <w:sz w:val="24"/>
          <w:szCs w:val="24"/>
        </w:rPr>
      </w:pPr>
      <w:r>
        <w:tab/>
      </w:r>
      <w:r>
        <w:tab/>
      </w:r>
      <w:r w:rsidR="00482C65">
        <w:rPr>
          <w:sz w:val="24"/>
          <w:szCs w:val="24"/>
        </w:rPr>
        <w:t>1</w:t>
      </w:r>
      <w:r w:rsidR="00482C65">
        <w:t xml:space="preserve">. </w:t>
      </w:r>
      <w:r w:rsidR="00482C65">
        <w:rPr>
          <w:sz w:val="24"/>
          <w:szCs w:val="24"/>
        </w:rPr>
        <w:t>Nustatyti nuo 201</w:t>
      </w:r>
      <w:r w:rsidR="009B711B">
        <w:rPr>
          <w:sz w:val="24"/>
          <w:szCs w:val="24"/>
        </w:rPr>
        <w:t>6</w:t>
      </w:r>
      <w:r w:rsidR="00482C65">
        <w:rPr>
          <w:sz w:val="24"/>
          <w:szCs w:val="24"/>
        </w:rPr>
        <w:t xml:space="preserve"> m. sausio 1 d. </w:t>
      </w:r>
      <w:r w:rsidR="00482C65" w:rsidRPr="00B72C44">
        <w:rPr>
          <w:sz w:val="24"/>
          <w:szCs w:val="24"/>
        </w:rPr>
        <w:t>metin</w:t>
      </w:r>
      <w:r w:rsidR="00847A22" w:rsidRPr="00B72C44">
        <w:rPr>
          <w:sz w:val="24"/>
          <w:szCs w:val="24"/>
        </w:rPr>
        <w:t>ius</w:t>
      </w:r>
      <w:r w:rsidR="00482C65" w:rsidRPr="00B72C44">
        <w:rPr>
          <w:sz w:val="24"/>
          <w:szCs w:val="24"/>
        </w:rPr>
        <w:t xml:space="preserve"> </w:t>
      </w:r>
      <w:r w:rsidR="00482C65">
        <w:rPr>
          <w:sz w:val="24"/>
          <w:szCs w:val="24"/>
        </w:rPr>
        <w:t>žemės mokesčio už žemę, įvertintą pagal žemės vidutinę rinkos vertę, tarif</w:t>
      </w:r>
      <w:r w:rsidR="00847A22">
        <w:rPr>
          <w:sz w:val="24"/>
          <w:szCs w:val="24"/>
        </w:rPr>
        <w:t>us</w:t>
      </w:r>
      <w:r w:rsidR="00482C65">
        <w:rPr>
          <w:sz w:val="24"/>
          <w:szCs w:val="24"/>
        </w:rPr>
        <w:t xml:space="preserve">: </w:t>
      </w:r>
    </w:p>
    <w:p w:rsidR="00482C65" w:rsidRDefault="00482C65">
      <w:pPr>
        <w:pStyle w:val="Pagrindinistekstas"/>
        <w:jc w:val="both"/>
      </w:pPr>
      <w:r>
        <w:tab/>
        <w:t>1.1. žemės ūkio paskirties žemei:</w:t>
      </w:r>
    </w:p>
    <w:p w:rsidR="00482C65" w:rsidRDefault="00482C65">
      <w:pPr>
        <w:pStyle w:val="Pagrindinistekstas"/>
        <w:jc w:val="both"/>
      </w:pPr>
      <w:r>
        <w:t xml:space="preserve"> </w:t>
      </w:r>
      <w:r>
        <w:tab/>
        <w:t>1.1.1. verčių zonai 33.1</w:t>
      </w:r>
      <w:r w:rsidR="006F0FFD">
        <w:t>,</w:t>
      </w:r>
      <w:r>
        <w:t xml:space="preserve"> 33.2</w:t>
      </w:r>
      <w:r w:rsidR="005B7E0D">
        <w:t xml:space="preserve"> </w:t>
      </w:r>
      <w:r>
        <w:t>– 0,4 procento žemės mokestinės vertės;</w:t>
      </w:r>
    </w:p>
    <w:p w:rsidR="00482C65" w:rsidRDefault="00482C65">
      <w:pPr>
        <w:pStyle w:val="Pagrindinistekstas"/>
      </w:pPr>
      <w:r>
        <w:tab/>
        <w:t>1.1.2. verčių zonai 33.3–33.45, 33.48 – 1</w:t>
      </w:r>
      <w:r w:rsidR="005B7E0D">
        <w:t>,0</w:t>
      </w:r>
      <w:r>
        <w:t xml:space="preserve"> procentą žemės mokestinės vertės;</w:t>
      </w:r>
    </w:p>
    <w:p w:rsidR="00482C65" w:rsidRDefault="00482C65">
      <w:pPr>
        <w:pStyle w:val="Pagrindinistekstas"/>
        <w:jc w:val="both"/>
      </w:pPr>
      <w:r>
        <w:tab/>
        <w:t>1.1.3. verčių zonai 33.46–33.47, 33.49 – 2,0 procentus žemės mokestinės vertės;</w:t>
      </w:r>
    </w:p>
    <w:p w:rsidR="00482C65" w:rsidRDefault="00482C65">
      <w:pPr>
        <w:pStyle w:val="Pagrindinistekstas"/>
        <w:jc w:val="both"/>
      </w:pPr>
      <w:r>
        <w:tab/>
        <w:t>1.2. gyvenamųjų teritorijų žemei:</w:t>
      </w:r>
    </w:p>
    <w:p w:rsidR="00482C65" w:rsidRDefault="00482C65">
      <w:pPr>
        <w:pStyle w:val="Pagrindinistekstas"/>
      </w:pPr>
      <w:r>
        <w:tab/>
        <w:t>1. 2.1. verčių zonai 33.1–33.6, 33.10</w:t>
      </w:r>
      <w:r w:rsidR="00AC59DF">
        <w:t xml:space="preserve"> </w:t>
      </w:r>
      <w:r>
        <w:t>– 0,1 procento žemės mokestinės vertės;</w:t>
      </w:r>
    </w:p>
    <w:p w:rsidR="00482C65" w:rsidRDefault="00482C65">
      <w:pPr>
        <w:pStyle w:val="Pagrindinistekstas"/>
        <w:jc w:val="both"/>
      </w:pPr>
      <w:r>
        <w:tab/>
        <w:t>1.2.2. verčių zonai 33.7, 33.17, 33.18–33.22, 33.24, 33.37 ir 33.38, 33.48 – 0,2 procento žemės mokestinės vertės;</w:t>
      </w:r>
    </w:p>
    <w:p w:rsidR="00482C65" w:rsidRDefault="00482C65">
      <w:pPr>
        <w:pStyle w:val="Pagrindinistekstas"/>
      </w:pPr>
      <w:r>
        <w:tab/>
        <w:t>1.2.3. verčių zonai 33.12 ir 33.35, 33.36, 33.39 – 0,3 procento žemės mokestinės vertės;</w:t>
      </w:r>
    </w:p>
    <w:p w:rsidR="00482C65" w:rsidRDefault="00482C65">
      <w:pPr>
        <w:pStyle w:val="Pagrindinistekstas"/>
      </w:pPr>
      <w:r>
        <w:tab/>
        <w:t>1.2.4. verčių zonai 33.13–33.16 – 0,4 procento žemės mokestinės vertės;</w:t>
      </w:r>
    </w:p>
    <w:p w:rsidR="00482C65" w:rsidRDefault="00482C65">
      <w:pPr>
        <w:pStyle w:val="Pagrindinistekstas"/>
        <w:jc w:val="both"/>
      </w:pPr>
      <w:r>
        <w:tab/>
        <w:t>1.2.5. verčių zonai 33.8, 33.9, 33.11, 33.23, 33.25–33.27 – 0,5 procento žemės mokestinės vertės;</w:t>
      </w:r>
    </w:p>
    <w:p w:rsidR="00482C65" w:rsidRDefault="00482C65">
      <w:pPr>
        <w:pStyle w:val="Pagrindinistekstas"/>
        <w:jc w:val="both"/>
      </w:pPr>
      <w:r>
        <w:tab/>
        <w:t xml:space="preserve">1.2.6. verčių zonai 33.28–33.34 ir 33.40–33.47, 33.49 – 0,6 procento žemės mokestinės vertės; </w:t>
      </w:r>
    </w:p>
    <w:p w:rsidR="00482C65" w:rsidRDefault="00482C65">
      <w:pPr>
        <w:pStyle w:val="Pagrindinistekstas"/>
        <w:jc w:val="both"/>
      </w:pPr>
      <w:r>
        <w:tab/>
        <w:t>1.3. pramonės ir sandėliavimo žemei:</w:t>
      </w:r>
    </w:p>
    <w:p w:rsidR="00482C65" w:rsidRDefault="00482C65">
      <w:pPr>
        <w:pStyle w:val="Pagrindiniotekstotrauka"/>
        <w:jc w:val="left"/>
      </w:pPr>
      <w:r>
        <w:tab/>
        <w:t>1.3.1. verčių zonai 33.1–33.4</w:t>
      </w:r>
      <w:r w:rsidR="00AC59DF">
        <w:t xml:space="preserve"> </w:t>
      </w:r>
      <w:r>
        <w:t>– 1,0 procentą žemės mokestinės vertės;</w:t>
      </w:r>
    </w:p>
    <w:p w:rsidR="00482C65" w:rsidRDefault="00482C65">
      <w:pPr>
        <w:pStyle w:val="Pagrindiniotekstotrauka"/>
        <w:jc w:val="both"/>
      </w:pPr>
      <w:r>
        <w:tab/>
        <w:t>1.3.2. verčių zonai 33.5–33.7, 33.17–33.22 ir 33.24, 33.48 – 1,5 procento žemės mokestinės vertės;</w:t>
      </w:r>
    </w:p>
    <w:p w:rsidR="00482C65" w:rsidRDefault="00482C65">
      <w:pPr>
        <w:pStyle w:val="Pagrindiniotekstotrauka"/>
        <w:jc w:val="left"/>
      </w:pPr>
      <w:r>
        <w:tab/>
        <w:t>1.3.3. verčių zonai 33.12, 33</w:t>
      </w:r>
      <w:r w:rsidR="005B7E0D">
        <w:t xml:space="preserve">.35–33.39 – 2,5 procento žemės mokestinės </w:t>
      </w:r>
      <w:r>
        <w:t>vertės;</w:t>
      </w:r>
    </w:p>
    <w:p w:rsidR="00482C65" w:rsidRDefault="00482C65">
      <w:pPr>
        <w:pStyle w:val="Pagrindiniotekstotrauka"/>
        <w:jc w:val="left"/>
      </w:pPr>
      <w:r>
        <w:tab/>
        <w:t>1.3.4. verčių zonai 33.25–33.27 – 2,0 procentus žemės mokestinės vertės;</w:t>
      </w:r>
    </w:p>
    <w:p w:rsidR="00482C65" w:rsidRDefault="00482C65">
      <w:pPr>
        <w:pStyle w:val="Pagrindinistekstas"/>
        <w:jc w:val="both"/>
      </w:pPr>
      <w:r>
        <w:tab/>
        <w:t xml:space="preserve">1.3.5. verčių zonai 33.8–33.11, 33.13–33.16, 33.23, 33.28–33.34, 33.40–33.47, 33.49 – </w:t>
      </w:r>
      <w:r w:rsidR="005B7E0D">
        <w:br/>
      </w:r>
      <w:r>
        <w:t>3,0 procentus žemės mokestinės vertės;</w:t>
      </w:r>
    </w:p>
    <w:p w:rsidR="00482C65" w:rsidRDefault="00482C65">
      <w:pPr>
        <w:pStyle w:val="Pagrindiniotekstotrauka"/>
        <w:jc w:val="both"/>
      </w:pPr>
      <w:r>
        <w:tab/>
        <w:t>1.4. komercinei žemei:</w:t>
      </w:r>
    </w:p>
    <w:p w:rsidR="00482C65" w:rsidRDefault="00482C65">
      <w:pPr>
        <w:pStyle w:val="Pagrindiniotekstotrauka"/>
        <w:jc w:val="both"/>
      </w:pPr>
      <w:r>
        <w:t xml:space="preserve">      </w:t>
      </w:r>
      <w:r w:rsidR="005B7E0D">
        <w:t xml:space="preserve">      1.4.1. verčių zonai 33.1–</w:t>
      </w:r>
      <w:r>
        <w:t>33.7</w:t>
      </w:r>
      <w:r w:rsidR="005B7E0D">
        <w:t xml:space="preserve"> </w:t>
      </w:r>
      <w:r>
        <w:t>– 0,3 procento žemės mokestinės vertės;</w:t>
      </w:r>
    </w:p>
    <w:p w:rsidR="00482C65" w:rsidRDefault="00482C65">
      <w:pPr>
        <w:pStyle w:val="Pagrindiniotekstotrauka"/>
        <w:jc w:val="left"/>
      </w:pPr>
      <w:r>
        <w:t xml:space="preserve">            1.4.2. verčių zonai 33.17–33.22 ir 33.24, 33.48 – 0,7 procento žemės mokestinės vertės;</w:t>
      </w:r>
    </w:p>
    <w:p w:rsidR="00482C65" w:rsidRDefault="00482C65">
      <w:pPr>
        <w:pStyle w:val="Pagrindiniotekstotrauka"/>
        <w:jc w:val="both"/>
      </w:pPr>
      <w:r>
        <w:tab/>
        <w:t>1.4.3. verčių zonai 33.12, 33.25–33.27 ir 33.35–33.39 – 1,5 procento žemės mokestinės vertės;</w:t>
      </w:r>
    </w:p>
    <w:p w:rsidR="00482C65" w:rsidRDefault="00482C65">
      <w:pPr>
        <w:pStyle w:val="Pagrindiniotekstotrauka"/>
        <w:jc w:val="both"/>
      </w:pPr>
      <w:r>
        <w:tab/>
        <w:t>1.4.4. verčių zonai 33.8–33.11 ir 33.13–33.16, 33.23, 33.28–33.34, 33.40–33.45, 33.46–33.47, 33.49 – 3,0 procentus žemės mokestinės vertės;</w:t>
      </w:r>
    </w:p>
    <w:p w:rsidR="00482C65" w:rsidRDefault="00482C65">
      <w:pPr>
        <w:pStyle w:val="Pagrindiniotekstotrauka"/>
        <w:jc w:val="both"/>
      </w:pPr>
      <w:r>
        <w:t xml:space="preserve"> </w:t>
      </w:r>
      <w:r>
        <w:tab/>
        <w:t>1.5. mėgėjiškų sodų žemei – 0,2 procento žemės mokestinės vertės;</w:t>
      </w:r>
    </w:p>
    <w:p w:rsidR="00482C65" w:rsidRDefault="00482C65">
      <w:pPr>
        <w:pStyle w:val="Pagrindiniotekstotrauka"/>
        <w:jc w:val="both"/>
      </w:pPr>
      <w:r>
        <w:tab/>
        <w:t>1.6. kitos paskirties sklypams – 0,5 procento žemės mokestinės vertės;</w:t>
      </w:r>
      <w:r>
        <w:tab/>
      </w:r>
    </w:p>
    <w:p w:rsidR="00482C65" w:rsidRDefault="00482C65">
      <w:pPr>
        <w:pStyle w:val="Pagrindiniotekstotrauka"/>
        <w:jc w:val="both"/>
      </w:pPr>
      <w:r>
        <w:lastRenderedPageBreak/>
        <w:tab/>
        <w:t>1.7. už nenaudojamą žemės sklypą – 4 procentus žemės mokestinės vertės.</w:t>
      </w:r>
    </w:p>
    <w:p w:rsidR="00922004" w:rsidRDefault="00482C65" w:rsidP="00847A22">
      <w:pPr>
        <w:pStyle w:val="Pagrindiniotekstotrauka"/>
        <w:jc w:val="both"/>
      </w:pPr>
      <w:r>
        <w:tab/>
        <w:t xml:space="preserve">2. </w:t>
      </w:r>
      <w:r w:rsidR="005B3AB6">
        <w:t>Nustatyti</w:t>
      </w:r>
      <w:r w:rsidR="009B711B">
        <w:t xml:space="preserve"> 2016 metų mokestiniam laikotarpiui </w:t>
      </w:r>
      <w:r w:rsidR="005B3AB6">
        <w:t xml:space="preserve">1,2 ha dydžio neapmokestinamąjį žemės </w:t>
      </w:r>
      <w:r w:rsidR="009B711B">
        <w:t xml:space="preserve">sklypo, priklausančio nuosavybės teise, dydį </w:t>
      </w:r>
      <w:r w:rsidR="005B3AB6">
        <w:t xml:space="preserve">fiziniams asmenims, kurių šeimose </w:t>
      </w:r>
      <w:r w:rsidR="005B3AB6" w:rsidRPr="00B72C44">
        <w:t xml:space="preserve">mokestinio </w:t>
      </w:r>
      <w:r w:rsidR="00B72C44" w:rsidRPr="00B72C44">
        <w:t xml:space="preserve">laikotarpio </w:t>
      </w:r>
      <w:r w:rsidR="005B3AB6" w:rsidRPr="00B72C44">
        <w:t>pradžioje</w:t>
      </w:r>
      <w:r w:rsidR="005B3AB6">
        <w:t xml:space="preserve"> nėra darbingų asmenų ir kuriems nustatytas 0</w:t>
      </w:r>
      <w:r w:rsidR="006846AE">
        <w:t>–</w:t>
      </w:r>
      <w:r w:rsidR="005B3AB6">
        <w:t>40 procentų darbingumo lygis arba kurie</w:t>
      </w:r>
      <w:r w:rsidR="00922004">
        <w:t xml:space="preserve"> yra </w:t>
      </w:r>
      <w:r w:rsidR="005B3AB6">
        <w:t xml:space="preserve">sukakę senatvės pensijos amžių ar yra nepilnamečiai. </w:t>
      </w:r>
    </w:p>
    <w:p w:rsidR="00B4746D" w:rsidRPr="00297AB2" w:rsidRDefault="00B4746D" w:rsidP="009554BB">
      <w:pPr>
        <w:pStyle w:val="Pagrindiniotekstotrauka"/>
        <w:ind w:firstLine="720"/>
        <w:jc w:val="both"/>
      </w:pPr>
      <w:r>
        <w:t>Šis sprendimas gali būti skundžiamas Lietuvos Respublikos administracinių bylų teisenos įstatymo nustatyta tvarka.</w:t>
      </w:r>
    </w:p>
    <w:p w:rsidR="00482C65" w:rsidRPr="00297AB2" w:rsidRDefault="00482C65">
      <w:pPr>
        <w:pStyle w:val="Antrat1"/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5B7E0D" w:rsidRDefault="005B7E0D"/>
    <w:p w:rsidR="005B7E0D" w:rsidRDefault="005B7E0D"/>
    <w:p w:rsidR="005B7E0D" w:rsidRDefault="005B7E0D"/>
    <w:p w:rsidR="005B7E0D" w:rsidRDefault="005B7E0D"/>
    <w:p w:rsidR="005B7E0D" w:rsidRDefault="005B7E0D"/>
    <w:p w:rsidR="009B6920" w:rsidRDefault="009B6920">
      <w:pPr>
        <w:rPr>
          <w:sz w:val="24"/>
          <w:szCs w:val="24"/>
        </w:rPr>
      </w:pPr>
      <w:r w:rsidRPr="009B6920">
        <w:rPr>
          <w:sz w:val="24"/>
          <w:szCs w:val="24"/>
        </w:rPr>
        <w:t xml:space="preserve">Virginija </w:t>
      </w:r>
      <w:proofErr w:type="spellStart"/>
      <w:r w:rsidRPr="009B6920">
        <w:rPr>
          <w:sz w:val="24"/>
          <w:szCs w:val="24"/>
        </w:rPr>
        <w:t>Jurkštienė</w:t>
      </w:r>
      <w:proofErr w:type="spellEnd"/>
    </w:p>
    <w:p w:rsidR="00297AB2" w:rsidRDefault="00297AB2"/>
    <w:p w:rsidR="00297AB2" w:rsidRPr="00297AB2" w:rsidRDefault="00297AB2" w:rsidP="00297AB2">
      <w:pPr>
        <w:pStyle w:val="Pavadinimas"/>
        <w:rPr>
          <w:rFonts w:cs="Times New Roman"/>
          <w:szCs w:val="24"/>
        </w:rPr>
      </w:pPr>
      <w:r w:rsidRPr="00297AB2">
        <w:rPr>
          <w:rFonts w:cs="Times New Roman"/>
          <w:szCs w:val="24"/>
        </w:rPr>
        <w:lastRenderedPageBreak/>
        <w:t>MOKESČIŲ ADMINISTRAVIMO SKYRIUS</w:t>
      </w:r>
    </w:p>
    <w:p w:rsidR="00297AB2" w:rsidRPr="00297AB2" w:rsidRDefault="00297AB2" w:rsidP="00297AB2">
      <w:pPr>
        <w:jc w:val="center"/>
        <w:rPr>
          <w:rFonts w:cs="Times New Roman"/>
          <w:b/>
          <w:sz w:val="24"/>
          <w:szCs w:val="24"/>
        </w:rPr>
      </w:pPr>
    </w:p>
    <w:p w:rsidR="00297AB2" w:rsidRPr="00297AB2" w:rsidRDefault="00297AB2" w:rsidP="00297AB2">
      <w:pPr>
        <w:pStyle w:val="Antrinispavadinimas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297AB2">
        <w:rPr>
          <w:rFonts w:ascii="Times New Roman" w:hAnsi="Times New Roman" w:cs="Times New Roman"/>
          <w:i w:val="0"/>
          <w:sz w:val="24"/>
          <w:szCs w:val="24"/>
        </w:rPr>
        <w:t>Panevėžio rajono savivaldybės tarybai</w:t>
      </w:r>
    </w:p>
    <w:p w:rsidR="00297AB2" w:rsidRPr="00297AB2" w:rsidRDefault="00297AB2" w:rsidP="00297AB2">
      <w:pPr>
        <w:jc w:val="both"/>
        <w:rPr>
          <w:rFonts w:cs="Times New Roman"/>
          <w:sz w:val="24"/>
          <w:szCs w:val="24"/>
        </w:rPr>
      </w:pPr>
    </w:p>
    <w:p w:rsidR="00297AB2" w:rsidRPr="00297AB2" w:rsidRDefault="00297AB2" w:rsidP="003A3DD4">
      <w:pPr>
        <w:pStyle w:val="Pagrindiniotekstotrauka"/>
        <w:rPr>
          <w:rFonts w:cs="Times New Roman"/>
          <w:b/>
          <w:szCs w:val="24"/>
        </w:rPr>
      </w:pPr>
      <w:r w:rsidRPr="00297AB2">
        <w:rPr>
          <w:rFonts w:cs="Times New Roman"/>
          <w:b/>
          <w:szCs w:val="24"/>
        </w:rPr>
        <w:t xml:space="preserve">AIŠKINAMASIS RAŠTAS DĖL SPRENDIMO </w:t>
      </w:r>
      <w:r w:rsidR="003A3DD4">
        <w:rPr>
          <w:rFonts w:cs="Times New Roman"/>
          <w:b/>
          <w:szCs w:val="24"/>
        </w:rPr>
        <w:t>„</w:t>
      </w:r>
      <w:r w:rsidR="003A3DD4">
        <w:rPr>
          <w:b/>
        </w:rPr>
        <w:t xml:space="preserve">DĖL 2016 METŲ ŽEMĖS MOKESČIO TARIFŲ NUSTATYMO IR NEAPMOKESTINAMOJO ŽEMĖS SKLYPO DYDŽIO NUSTATYMO“ </w:t>
      </w:r>
      <w:r w:rsidRPr="00297AB2">
        <w:rPr>
          <w:rFonts w:cs="Times New Roman"/>
          <w:b/>
          <w:szCs w:val="24"/>
        </w:rPr>
        <w:t>PROJEKTO</w:t>
      </w:r>
    </w:p>
    <w:p w:rsidR="00297AB2" w:rsidRPr="00297AB2" w:rsidRDefault="00297AB2" w:rsidP="00297AB2">
      <w:pPr>
        <w:jc w:val="center"/>
        <w:rPr>
          <w:rFonts w:cs="Times New Roman"/>
          <w:sz w:val="24"/>
          <w:szCs w:val="24"/>
        </w:rPr>
      </w:pPr>
    </w:p>
    <w:p w:rsidR="00297AB2" w:rsidRPr="00297AB2" w:rsidRDefault="00297AB2" w:rsidP="00297AB2">
      <w:pPr>
        <w:jc w:val="center"/>
        <w:rPr>
          <w:rFonts w:cs="Times New Roman"/>
          <w:sz w:val="24"/>
          <w:szCs w:val="24"/>
          <w:shd w:val="clear" w:color="auto" w:fill="FFFF00"/>
        </w:rPr>
      </w:pPr>
      <w:r w:rsidRPr="007D7E38">
        <w:rPr>
          <w:rFonts w:cs="Times New Roman"/>
          <w:sz w:val="24"/>
          <w:szCs w:val="24"/>
        </w:rPr>
        <w:t>201</w:t>
      </w:r>
      <w:r w:rsidR="001F634F" w:rsidRPr="007D7E38">
        <w:rPr>
          <w:rFonts w:cs="Times New Roman"/>
          <w:sz w:val="24"/>
          <w:szCs w:val="24"/>
        </w:rPr>
        <w:t>5</w:t>
      </w:r>
      <w:r w:rsidRPr="007D7E38">
        <w:rPr>
          <w:rFonts w:cs="Times New Roman"/>
          <w:sz w:val="24"/>
          <w:szCs w:val="24"/>
        </w:rPr>
        <w:t>-0</w:t>
      </w:r>
      <w:r w:rsidR="001F634F" w:rsidRPr="007D7E38">
        <w:rPr>
          <w:rFonts w:cs="Times New Roman"/>
          <w:sz w:val="24"/>
          <w:szCs w:val="24"/>
        </w:rPr>
        <w:t>5</w:t>
      </w:r>
      <w:r w:rsidRPr="007D7E38">
        <w:rPr>
          <w:rFonts w:cs="Times New Roman"/>
          <w:sz w:val="24"/>
          <w:szCs w:val="24"/>
        </w:rPr>
        <w:t>-</w:t>
      </w:r>
    </w:p>
    <w:p w:rsidR="00297AB2" w:rsidRPr="00297AB2" w:rsidRDefault="00297AB2" w:rsidP="00297AB2">
      <w:pPr>
        <w:jc w:val="center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>Panevėžys</w:t>
      </w:r>
    </w:p>
    <w:p w:rsidR="00297AB2" w:rsidRPr="00297AB2" w:rsidRDefault="00297AB2" w:rsidP="00297AB2">
      <w:pPr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5B7E0D" w:rsidRDefault="00297AB2" w:rsidP="00297AB2">
      <w:pPr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sz w:val="24"/>
          <w:szCs w:val="24"/>
        </w:rPr>
        <w:t>Projekto re</w:t>
      </w:r>
      <w:r w:rsidR="005B7E0D">
        <w:rPr>
          <w:rFonts w:cs="Times New Roman"/>
          <w:b/>
          <w:sz w:val="24"/>
          <w:szCs w:val="24"/>
        </w:rPr>
        <w:t>ngimą paskatinusios priežastys:</w:t>
      </w:r>
    </w:p>
    <w:p w:rsidR="00297AB2" w:rsidRPr="00297AB2" w:rsidRDefault="00297AB2" w:rsidP="005B7E0D">
      <w:pPr>
        <w:ind w:firstLine="720"/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>Lietuvos Respublikos žemės mokesčio įstatymo 6 straipsnio 2 dalyje numatyta, kad Savivaldybės taryba kiekvienais metais iki birželio 1 d. nustato mokesčio tarifus, kurie galios ateinantį mokestinį laikotarpį Savivaldybės teritorijoje.</w:t>
      </w:r>
      <w:r w:rsidR="00B80DC4">
        <w:rPr>
          <w:rFonts w:cs="Times New Roman"/>
          <w:sz w:val="24"/>
          <w:szCs w:val="24"/>
        </w:rPr>
        <w:t xml:space="preserve"> </w:t>
      </w:r>
      <w:r w:rsidR="005B7E0D">
        <w:rPr>
          <w:rFonts w:cs="Times New Roman"/>
          <w:sz w:val="24"/>
          <w:szCs w:val="24"/>
        </w:rPr>
        <w:t>Jei</w:t>
      </w:r>
      <w:r w:rsidR="009D7AA7">
        <w:rPr>
          <w:rFonts w:cs="Times New Roman"/>
          <w:sz w:val="24"/>
          <w:szCs w:val="24"/>
        </w:rPr>
        <w:t xml:space="preserve"> iki einamojo mokestinio laikotarpio birželio 1 dienos savivaldybės taryba kitam mokestiniam laikotarpiui konkrečių mokesčio tarifų nenustato, nustato pavėluotai arba juos keičia po minėto nustatymo termino, tai atitinkamą mokestinį laikotarpį taikomas 0,01 procento mokesčio tarifas. </w:t>
      </w:r>
    </w:p>
    <w:p w:rsidR="00297AB2" w:rsidRPr="00297AB2" w:rsidRDefault="00297AB2" w:rsidP="00297AB2">
      <w:pPr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sz w:val="24"/>
          <w:szCs w:val="24"/>
        </w:rPr>
        <w:t>Sprendimo p</w:t>
      </w:r>
      <w:r w:rsidRPr="00297AB2">
        <w:rPr>
          <w:rFonts w:cs="Times New Roman"/>
          <w:b/>
          <w:bCs/>
          <w:sz w:val="24"/>
          <w:szCs w:val="24"/>
        </w:rPr>
        <w:t>rojekto esmė ir tikslai:</w:t>
      </w:r>
      <w:r w:rsidRPr="00297AB2">
        <w:rPr>
          <w:rFonts w:cs="Times New Roman"/>
          <w:sz w:val="24"/>
          <w:szCs w:val="24"/>
        </w:rPr>
        <w:tab/>
      </w:r>
    </w:p>
    <w:p w:rsidR="00297AB2" w:rsidRPr="00297AB2" w:rsidRDefault="00297AB2" w:rsidP="00297AB2">
      <w:pPr>
        <w:ind w:firstLine="720"/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>Sprendimo projekto tikslas – nustatyti metini</w:t>
      </w:r>
      <w:r w:rsidR="00F727DE">
        <w:rPr>
          <w:rFonts w:cs="Times New Roman"/>
          <w:sz w:val="24"/>
          <w:szCs w:val="24"/>
        </w:rPr>
        <w:t>o</w:t>
      </w:r>
      <w:r w:rsidRPr="00297AB2">
        <w:rPr>
          <w:rFonts w:cs="Times New Roman"/>
          <w:sz w:val="24"/>
          <w:szCs w:val="24"/>
        </w:rPr>
        <w:t xml:space="preserve"> žemės mokesčio tarifus nuo 201</w:t>
      </w:r>
      <w:r w:rsidR="007D7E38">
        <w:rPr>
          <w:rFonts w:cs="Times New Roman"/>
          <w:sz w:val="24"/>
          <w:szCs w:val="24"/>
        </w:rPr>
        <w:t>6</w:t>
      </w:r>
      <w:r w:rsidRPr="00297AB2">
        <w:rPr>
          <w:rFonts w:cs="Times New Roman"/>
          <w:sz w:val="24"/>
          <w:szCs w:val="24"/>
        </w:rPr>
        <w:t xml:space="preserve"> m. sausio </w:t>
      </w:r>
      <w:r w:rsidR="005B7E0D">
        <w:rPr>
          <w:rFonts w:cs="Times New Roman"/>
          <w:sz w:val="24"/>
          <w:szCs w:val="24"/>
        </w:rPr>
        <w:br/>
      </w:r>
      <w:r w:rsidRPr="00297AB2">
        <w:rPr>
          <w:rFonts w:cs="Times New Roman"/>
          <w:sz w:val="24"/>
          <w:szCs w:val="24"/>
        </w:rPr>
        <w:t>1 d</w:t>
      </w:r>
      <w:r w:rsidR="00B3760F">
        <w:rPr>
          <w:rFonts w:cs="Times New Roman"/>
          <w:sz w:val="24"/>
          <w:szCs w:val="24"/>
        </w:rPr>
        <w:t>ienos.</w:t>
      </w:r>
      <w:r w:rsidRPr="00297AB2">
        <w:rPr>
          <w:rFonts w:cs="Times New Roman"/>
          <w:sz w:val="24"/>
          <w:szCs w:val="24"/>
        </w:rPr>
        <w:t xml:space="preserve"> </w:t>
      </w:r>
    </w:p>
    <w:p w:rsidR="00A64462" w:rsidRDefault="00297AB2" w:rsidP="00A64462">
      <w:pPr>
        <w:jc w:val="both"/>
        <w:rPr>
          <w:sz w:val="24"/>
        </w:rPr>
      </w:pPr>
      <w:r w:rsidRPr="00297AB2">
        <w:rPr>
          <w:rFonts w:cs="Times New Roman"/>
          <w:sz w:val="24"/>
          <w:szCs w:val="24"/>
        </w:rPr>
        <w:tab/>
      </w:r>
      <w:r w:rsidR="00A64462">
        <w:rPr>
          <w:sz w:val="24"/>
        </w:rPr>
        <w:t>Nuo 2013 m. įsigaliojo naujos Lietuvos Respublikos žemės mokesčio įstatymo nuostatos, pagal kurias žemės mokestinė vertė lygi žem</w:t>
      </w:r>
      <w:r w:rsidR="005B7E0D">
        <w:rPr>
          <w:sz w:val="24"/>
        </w:rPr>
        <w:t>ės vidutinei rinkos vertei,</w:t>
      </w:r>
      <w:r w:rsidR="00A64462">
        <w:rPr>
          <w:sz w:val="24"/>
        </w:rPr>
        <w:t xml:space="preserve"> arba žemės vertei, atlikus individualų vertinimą,</w:t>
      </w:r>
      <w:r w:rsidR="005B7E0D">
        <w:rPr>
          <w:sz w:val="24"/>
        </w:rPr>
        <w:t xml:space="preserve"> o mokesčio tarifą savivaldybės savo</w:t>
      </w:r>
      <w:r w:rsidR="00A64462">
        <w:rPr>
          <w:sz w:val="24"/>
        </w:rPr>
        <w:t xml:space="preserve"> teritorijoje gali nustatyti nuo 0,01 iki </w:t>
      </w:r>
      <w:r w:rsidR="005B7E0D">
        <w:rPr>
          <w:sz w:val="24"/>
        </w:rPr>
        <w:br/>
      </w:r>
      <w:r w:rsidR="00A64462">
        <w:rPr>
          <w:sz w:val="24"/>
        </w:rPr>
        <w:t>4 procentų šios mokestinės vertės. Žemė</w:t>
      </w:r>
      <w:r w:rsidR="005B7E0D">
        <w:rPr>
          <w:sz w:val="24"/>
        </w:rPr>
        <w:t>s sklypų mokestinės vertės 2013–2017 m.</w:t>
      </w:r>
      <w:r w:rsidR="00A64462">
        <w:rPr>
          <w:sz w:val="24"/>
        </w:rPr>
        <w:t xml:space="preserve"> yra nustatytos pagal 2013-01-01 atliktą masinį vertinimą mokesčiams, atsižvelgiant į tuo metu galiojusias verčių zonas.</w:t>
      </w:r>
      <w:r w:rsidR="00094421">
        <w:rPr>
          <w:sz w:val="24"/>
        </w:rPr>
        <w:t xml:space="preserve"> Žemės mokes</w:t>
      </w:r>
      <w:r w:rsidR="005B7E0D">
        <w:rPr>
          <w:sz w:val="24"/>
        </w:rPr>
        <w:t>tinė vertė mokesčių tikslais fiksuojama 5 metams</w:t>
      </w:r>
      <w:r w:rsidR="00094421">
        <w:rPr>
          <w:sz w:val="24"/>
        </w:rPr>
        <w:t>, todėl žemės sklypo vidutinė rinkos vertė mokesčiams ne visada sutampa su to sklypo vidutine rinkos verte</w:t>
      </w:r>
      <w:r w:rsidR="00D2318D">
        <w:rPr>
          <w:sz w:val="24"/>
        </w:rPr>
        <w:t>.</w:t>
      </w:r>
      <w:r w:rsidR="00A64462">
        <w:rPr>
          <w:sz w:val="24"/>
        </w:rPr>
        <w:t xml:space="preserve"> Informaciją </w:t>
      </w:r>
      <w:r w:rsidR="00A64462">
        <w:rPr>
          <w:sz w:val="24"/>
          <w:szCs w:val="24"/>
        </w:rPr>
        <w:t xml:space="preserve">apie sklypų vidutines rinkos vertes galima sužinoti valstybės įmonės Registrų centro svetainėje </w:t>
      </w:r>
      <w:hyperlink r:id="rId10" w:history="1">
        <w:r w:rsidR="00A64462">
          <w:rPr>
            <w:rStyle w:val="Hipersaitas"/>
            <w:sz w:val="24"/>
            <w:szCs w:val="24"/>
          </w:rPr>
          <w:t>www.registrucentras</w:t>
        </w:r>
      </w:hyperlink>
      <w:r w:rsidR="00A64462">
        <w:rPr>
          <w:sz w:val="24"/>
          <w:szCs w:val="24"/>
        </w:rPr>
        <w:t>, skyrelyje „Vidutinių rinkos verčių paieška, Vidutinės rinkos vertės paieška pagal unikalų numerį“.</w:t>
      </w:r>
      <w:r w:rsidR="00A64462">
        <w:rPr>
          <w:sz w:val="24"/>
        </w:rPr>
        <w:t xml:space="preserve"> </w:t>
      </w:r>
    </w:p>
    <w:p w:rsidR="00A64462" w:rsidRDefault="00A64462" w:rsidP="00A64462">
      <w:pPr>
        <w:ind w:firstLine="720"/>
        <w:jc w:val="both"/>
        <w:rPr>
          <w:sz w:val="24"/>
          <w:szCs w:val="24"/>
        </w:rPr>
      </w:pPr>
      <w:r>
        <w:rPr>
          <w:sz w:val="24"/>
        </w:rPr>
        <w:t>Siekiant išvengti staigaus žemės mokesčio padidėjimo, numatytas 5 metų pereinamasis laikotarpis, kurio me</w:t>
      </w:r>
      <w:r w:rsidR="005B7E0D">
        <w:rPr>
          <w:sz w:val="24"/>
        </w:rPr>
        <w:t>tu mokestis didinamas pamažu</w:t>
      </w:r>
      <w:r>
        <w:rPr>
          <w:sz w:val="24"/>
        </w:rPr>
        <w:t>, kasmet pridedant po 20 procentų skirtumo tarp buvusios mokestinės vertės ir pagal naująją įstatymo redakciją nustatytos mokestinės vertės.</w:t>
      </w:r>
    </w:p>
    <w:p w:rsidR="00A64462" w:rsidRDefault="00A64462" w:rsidP="00A64462">
      <w:pPr>
        <w:ind w:firstLine="720"/>
        <w:jc w:val="both"/>
        <w:rPr>
          <w:sz w:val="24"/>
        </w:rPr>
      </w:pPr>
      <w:r>
        <w:rPr>
          <w:sz w:val="24"/>
        </w:rPr>
        <w:t xml:space="preserve">Pereinamuoju laikotarpiu 2013–2017 m. </w:t>
      </w:r>
      <w:r w:rsidR="00CF015E">
        <w:rPr>
          <w:sz w:val="24"/>
        </w:rPr>
        <w:t>ž</w:t>
      </w:r>
      <w:r>
        <w:rPr>
          <w:sz w:val="24"/>
        </w:rPr>
        <w:t>emės ūkio paskirties žem</w:t>
      </w:r>
      <w:r w:rsidR="00CF015E">
        <w:rPr>
          <w:sz w:val="24"/>
        </w:rPr>
        <w:t>ės</w:t>
      </w:r>
      <w:r>
        <w:rPr>
          <w:sz w:val="24"/>
        </w:rPr>
        <w:t xml:space="preserve"> mokestin</w:t>
      </w:r>
      <w:r w:rsidR="00CF015E">
        <w:rPr>
          <w:sz w:val="24"/>
        </w:rPr>
        <w:t>ė</w:t>
      </w:r>
      <w:r>
        <w:rPr>
          <w:sz w:val="24"/>
        </w:rPr>
        <w:t xml:space="preserve"> vert</w:t>
      </w:r>
      <w:r w:rsidR="00CF015E">
        <w:rPr>
          <w:sz w:val="24"/>
        </w:rPr>
        <w:t>ė</w:t>
      </w:r>
      <w:r>
        <w:rPr>
          <w:sz w:val="24"/>
        </w:rPr>
        <w:t xml:space="preserve"> </w:t>
      </w:r>
      <w:r w:rsidR="00CF015E">
        <w:rPr>
          <w:sz w:val="24"/>
        </w:rPr>
        <w:t xml:space="preserve">yra jos vidutinė rinkos vertė arba vertė, nustatyta atlikus individualų žemės vertinimą, padauginta iš koeficiento </w:t>
      </w:r>
      <w:r>
        <w:rPr>
          <w:sz w:val="24"/>
        </w:rPr>
        <w:t>0,35</w:t>
      </w:r>
      <w:r w:rsidR="00CF015E">
        <w:rPr>
          <w:sz w:val="24"/>
        </w:rPr>
        <w:t>.</w:t>
      </w:r>
      <w:r>
        <w:rPr>
          <w:sz w:val="24"/>
        </w:rPr>
        <w:t xml:space="preserve"> </w:t>
      </w:r>
    </w:p>
    <w:p w:rsidR="0063401E" w:rsidRDefault="00A64462" w:rsidP="00A64462">
      <w:pPr>
        <w:ind w:firstLine="720"/>
        <w:jc w:val="both"/>
        <w:rPr>
          <w:sz w:val="24"/>
        </w:rPr>
      </w:pPr>
      <w:r>
        <w:rPr>
          <w:sz w:val="24"/>
        </w:rPr>
        <w:t>Apleistomis žemės ūkio naudmenomis laikomi sumedėjusiais augalais (išskyrus želdinius) apaugę žemės sklype ar jo dalyje esančių žemės ūkio naudmenų plotai, nustatyti nuotoliniais kartografavimo</w:t>
      </w:r>
      <w:r w:rsidR="0063401E">
        <w:rPr>
          <w:sz w:val="24"/>
        </w:rPr>
        <w:t xml:space="preserve"> </w:t>
      </w:r>
      <w:r>
        <w:rPr>
          <w:sz w:val="24"/>
        </w:rPr>
        <w:t>metodais</w:t>
      </w:r>
      <w:r w:rsidR="0063401E">
        <w:rPr>
          <w:sz w:val="24"/>
        </w:rPr>
        <w:t xml:space="preserve"> Lietuvos Respublikos Vyriausybės ar jos įgaliotos institucijos nustatyta tvarka, o tokiai žemei nustatytos specialios apmokestinimo sąlygos:</w:t>
      </w:r>
    </w:p>
    <w:p w:rsidR="0063401E" w:rsidRDefault="0063401E" w:rsidP="00A64462">
      <w:pPr>
        <w:ind w:firstLine="720"/>
        <w:jc w:val="both"/>
        <w:rPr>
          <w:sz w:val="24"/>
        </w:rPr>
      </w:pPr>
      <w:r>
        <w:rPr>
          <w:sz w:val="24"/>
        </w:rPr>
        <w:t>1. apskaičiuojant žemės ūkio paskirties žemės mokestinę vertę, tokioje žemėje esantiems apleistų žemės ūkio naudmenų plotams netaikomas mažinimo koeficientas 0,35;</w:t>
      </w:r>
    </w:p>
    <w:p w:rsidR="00933E29" w:rsidRDefault="0063401E" w:rsidP="00A64462">
      <w:pPr>
        <w:ind w:firstLine="720"/>
        <w:jc w:val="both"/>
        <w:rPr>
          <w:sz w:val="24"/>
        </w:rPr>
      </w:pPr>
      <w:r>
        <w:rPr>
          <w:sz w:val="24"/>
        </w:rPr>
        <w:t>2. apleistai žemės ūkio paskirties žemei netaikomo</w:t>
      </w:r>
      <w:r w:rsidR="005B7E0D">
        <w:rPr>
          <w:sz w:val="24"/>
        </w:rPr>
        <w:t>s pereinamojo laikotarpio (2013–</w:t>
      </w:r>
      <w:r>
        <w:rPr>
          <w:sz w:val="24"/>
        </w:rPr>
        <w:t>2017 metų) nuostatos</w:t>
      </w:r>
      <w:r w:rsidR="00094421">
        <w:rPr>
          <w:sz w:val="24"/>
        </w:rPr>
        <w:t>;</w:t>
      </w:r>
      <w:r>
        <w:rPr>
          <w:sz w:val="24"/>
        </w:rPr>
        <w:t xml:space="preserve"> </w:t>
      </w:r>
    </w:p>
    <w:p w:rsidR="00933E29" w:rsidRDefault="00933E29" w:rsidP="00A64462">
      <w:pPr>
        <w:ind w:firstLine="720"/>
        <w:jc w:val="both"/>
        <w:rPr>
          <w:sz w:val="24"/>
        </w:rPr>
      </w:pPr>
      <w:r>
        <w:rPr>
          <w:sz w:val="24"/>
        </w:rPr>
        <w:t>3.</w:t>
      </w:r>
      <w:r w:rsidR="005B7E0D">
        <w:rPr>
          <w:sz w:val="24"/>
        </w:rPr>
        <w:t xml:space="preserve"> </w:t>
      </w:r>
      <w:r>
        <w:rPr>
          <w:sz w:val="24"/>
        </w:rPr>
        <w:t>savivaldybių tarybos turi teisę nustatyti atskirą žemės mokesčio tarifą.</w:t>
      </w:r>
    </w:p>
    <w:p w:rsidR="00094421" w:rsidRDefault="00933E29" w:rsidP="00A64462">
      <w:pPr>
        <w:ind w:firstLine="720"/>
        <w:jc w:val="both"/>
        <w:rPr>
          <w:sz w:val="24"/>
        </w:rPr>
      </w:pPr>
      <w:r>
        <w:rPr>
          <w:sz w:val="24"/>
        </w:rPr>
        <w:t>Apleistų žemės ūkio naudmenų plotus nustato valst</w:t>
      </w:r>
      <w:r w:rsidR="005B7E0D">
        <w:rPr>
          <w:sz w:val="24"/>
        </w:rPr>
        <w:t>ybės įmonė Valstybės žemės</w:t>
      </w:r>
      <w:r>
        <w:rPr>
          <w:sz w:val="24"/>
        </w:rPr>
        <w:t xml:space="preserve"> fondas.</w:t>
      </w:r>
      <w:r w:rsidR="009D7AA7">
        <w:rPr>
          <w:sz w:val="24"/>
        </w:rPr>
        <w:t xml:space="preserve"> </w:t>
      </w:r>
      <w:r>
        <w:rPr>
          <w:sz w:val="24"/>
        </w:rPr>
        <w:t xml:space="preserve">Einamųjų metų žemės mokesčio </w:t>
      </w:r>
      <w:r w:rsidR="009D7AA7">
        <w:rPr>
          <w:sz w:val="24"/>
        </w:rPr>
        <w:t xml:space="preserve">skaičiavimams naudojami praėjusiais metais nuotoliniais </w:t>
      </w:r>
      <w:r w:rsidR="009D7AA7">
        <w:rPr>
          <w:sz w:val="24"/>
        </w:rPr>
        <w:lastRenderedPageBreak/>
        <w:t>kartografavimo metodais nustatyti apleistų žemių plotai. Mažiausias nustatomos apleistos žemės plotas yra 10 arų.</w:t>
      </w:r>
      <w:r w:rsidR="00094421">
        <w:rPr>
          <w:sz w:val="24"/>
        </w:rPr>
        <w:t xml:space="preserve"> </w:t>
      </w:r>
    </w:p>
    <w:p w:rsidR="00A64462" w:rsidRDefault="00A64462" w:rsidP="00A64462">
      <w:pPr>
        <w:ind w:firstLine="720"/>
        <w:jc w:val="both"/>
        <w:rPr>
          <w:sz w:val="24"/>
        </w:rPr>
      </w:pPr>
      <w:r w:rsidRPr="00826FD6">
        <w:rPr>
          <w:sz w:val="24"/>
        </w:rPr>
        <w:t>Panevėžio rajono savivaldybės tarybos</w:t>
      </w:r>
      <w:r w:rsidR="00B77F0D">
        <w:rPr>
          <w:sz w:val="24"/>
        </w:rPr>
        <w:t xml:space="preserve"> </w:t>
      </w:r>
      <w:r w:rsidR="00B77F0D" w:rsidRPr="00B77F0D">
        <w:rPr>
          <w:sz w:val="24"/>
        </w:rPr>
        <w:t xml:space="preserve">2013-05-28 </w:t>
      </w:r>
      <w:r w:rsidRPr="00826FD6">
        <w:rPr>
          <w:sz w:val="24"/>
        </w:rPr>
        <w:t>sprendimu</w:t>
      </w:r>
      <w:r w:rsidR="00B12C25">
        <w:rPr>
          <w:sz w:val="24"/>
        </w:rPr>
        <w:t xml:space="preserve"> Nr. T-96</w:t>
      </w:r>
      <w:r w:rsidRPr="00826FD6">
        <w:rPr>
          <w:sz w:val="24"/>
        </w:rPr>
        <w:t xml:space="preserve"> </w:t>
      </w:r>
      <w:r w:rsidR="008C3F66">
        <w:rPr>
          <w:sz w:val="24"/>
        </w:rPr>
        <w:t xml:space="preserve">„Dėl metinio žemės mokesčio tarifo nustatymo“ </w:t>
      </w:r>
      <w:r w:rsidRPr="00826FD6">
        <w:rPr>
          <w:sz w:val="24"/>
        </w:rPr>
        <w:t xml:space="preserve">žemės savininkams už </w:t>
      </w:r>
      <w:r w:rsidR="008C3F66">
        <w:rPr>
          <w:sz w:val="24"/>
        </w:rPr>
        <w:t xml:space="preserve">nenaudojamą žemės sklypą </w:t>
      </w:r>
      <w:r w:rsidRPr="00826FD6">
        <w:rPr>
          <w:sz w:val="24"/>
        </w:rPr>
        <w:t xml:space="preserve"> </w:t>
      </w:r>
      <w:r w:rsidR="00B12C25">
        <w:rPr>
          <w:sz w:val="24"/>
        </w:rPr>
        <w:t xml:space="preserve">2014 metams buvo </w:t>
      </w:r>
      <w:r w:rsidRPr="00826FD6">
        <w:rPr>
          <w:sz w:val="24"/>
        </w:rPr>
        <w:t>patvirtintas 4 procentų tarifas. 201</w:t>
      </w:r>
      <w:r w:rsidR="00D2318D" w:rsidRPr="00826FD6">
        <w:rPr>
          <w:sz w:val="24"/>
        </w:rPr>
        <w:t>4</w:t>
      </w:r>
      <w:r w:rsidRPr="00826FD6">
        <w:rPr>
          <w:sz w:val="24"/>
        </w:rPr>
        <w:t xml:space="preserve"> m. nustatyta apleistų sklypų: fizinių asmenų – </w:t>
      </w:r>
      <w:r w:rsidR="00B3760F" w:rsidRPr="00826FD6">
        <w:rPr>
          <w:sz w:val="24"/>
        </w:rPr>
        <w:t>750</w:t>
      </w:r>
      <w:r w:rsidRPr="00826FD6">
        <w:rPr>
          <w:sz w:val="24"/>
        </w:rPr>
        <w:t xml:space="preserve">, juridinių asmenų – </w:t>
      </w:r>
      <w:r w:rsidR="00B3760F" w:rsidRPr="00826FD6">
        <w:rPr>
          <w:sz w:val="24"/>
        </w:rPr>
        <w:t>66</w:t>
      </w:r>
      <w:r w:rsidRPr="00826FD6">
        <w:rPr>
          <w:sz w:val="24"/>
        </w:rPr>
        <w:t xml:space="preserve">. Tai sudaro atitinkamai </w:t>
      </w:r>
      <w:r w:rsidR="00B3760F" w:rsidRPr="00826FD6">
        <w:rPr>
          <w:sz w:val="24"/>
        </w:rPr>
        <w:t>45,76</w:t>
      </w:r>
      <w:r w:rsidRPr="00826FD6">
        <w:rPr>
          <w:sz w:val="24"/>
        </w:rPr>
        <w:t xml:space="preserve"> ha ir </w:t>
      </w:r>
      <w:r w:rsidR="00B3760F" w:rsidRPr="00826FD6">
        <w:rPr>
          <w:sz w:val="24"/>
        </w:rPr>
        <w:t>474,22</w:t>
      </w:r>
      <w:r w:rsidRPr="00826FD6">
        <w:rPr>
          <w:sz w:val="24"/>
        </w:rPr>
        <w:t xml:space="preserve"> ha. Už apleistą žemės ūkio paskirties žemę priskaityta žemės mokesčio fiziniams asmenims </w:t>
      </w:r>
      <w:r w:rsidR="00B3760F" w:rsidRPr="00826FD6">
        <w:rPr>
          <w:sz w:val="24"/>
        </w:rPr>
        <w:t>22</w:t>
      </w:r>
      <w:r w:rsidR="005B7E0D">
        <w:rPr>
          <w:sz w:val="24"/>
        </w:rPr>
        <w:t xml:space="preserve"> </w:t>
      </w:r>
      <w:r w:rsidR="00B3760F" w:rsidRPr="00826FD6">
        <w:rPr>
          <w:sz w:val="24"/>
        </w:rPr>
        <w:t>595,82</w:t>
      </w:r>
      <w:r w:rsidRPr="00826FD6">
        <w:rPr>
          <w:sz w:val="24"/>
        </w:rPr>
        <w:t xml:space="preserve"> Lt, juridiniams asmenims </w:t>
      </w:r>
      <w:r w:rsidR="00B3760F" w:rsidRPr="00826FD6">
        <w:rPr>
          <w:sz w:val="24"/>
        </w:rPr>
        <w:t>2</w:t>
      </w:r>
      <w:r w:rsidR="005B7E0D">
        <w:rPr>
          <w:sz w:val="24"/>
        </w:rPr>
        <w:t xml:space="preserve"> </w:t>
      </w:r>
      <w:r w:rsidR="00B3760F" w:rsidRPr="00826FD6">
        <w:rPr>
          <w:sz w:val="24"/>
        </w:rPr>
        <w:t>699,7</w:t>
      </w:r>
      <w:r w:rsidRPr="00826FD6">
        <w:rPr>
          <w:sz w:val="24"/>
        </w:rPr>
        <w:t xml:space="preserve"> Lt.</w:t>
      </w:r>
      <w:r w:rsidR="005B7E0D">
        <w:rPr>
          <w:sz w:val="24"/>
        </w:rPr>
        <w:t xml:space="preserve"> Palygin</w:t>
      </w:r>
      <w:r w:rsidR="00826FD6">
        <w:rPr>
          <w:sz w:val="24"/>
        </w:rPr>
        <w:t>t</w:t>
      </w:r>
      <w:r w:rsidR="005B7E0D">
        <w:rPr>
          <w:sz w:val="24"/>
        </w:rPr>
        <w:t>i</w:t>
      </w:r>
      <w:r w:rsidR="00826FD6">
        <w:rPr>
          <w:sz w:val="24"/>
        </w:rPr>
        <w:t xml:space="preserve"> su 2013 m</w:t>
      </w:r>
      <w:r w:rsidR="007D4C8E">
        <w:rPr>
          <w:sz w:val="24"/>
        </w:rPr>
        <w:t>etais,</w:t>
      </w:r>
      <w:r w:rsidR="00826FD6">
        <w:rPr>
          <w:sz w:val="24"/>
        </w:rPr>
        <w:t xml:space="preserve"> apleistų sklypų skaičius sumažėjo </w:t>
      </w:r>
      <w:r w:rsidR="007A13F0">
        <w:rPr>
          <w:sz w:val="24"/>
        </w:rPr>
        <w:t>apie 545 ha.</w:t>
      </w:r>
    </w:p>
    <w:p w:rsidR="005B7E0D" w:rsidRDefault="00297AB2" w:rsidP="00297AB2">
      <w:pPr>
        <w:jc w:val="both"/>
        <w:rPr>
          <w:rFonts w:cs="Times New Roman"/>
          <w:b/>
          <w:bCs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bCs/>
          <w:sz w:val="24"/>
          <w:szCs w:val="24"/>
        </w:rPr>
        <w:t>Kokių pozityvių rezultatų laukiama:</w:t>
      </w:r>
    </w:p>
    <w:p w:rsidR="00297AB2" w:rsidRPr="00297AB2" w:rsidRDefault="00297AB2" w:rsidP="005B7E0D">
      <w:pPr>
        <w:ind w:firstLine="720"/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bCs/>
          <w:sz w:val="24"/>
          <w:szCs w:val="24"/>
        </w:rPr>
        <w:t>T</w:t>
      </w:r>
      <w:r w:rsidRPr="00297AB2">
        <w:rPr>
          <w:rFonts w:cs="Times New Roman"/>
          <w:sz w:val="24"/>
          <w:szCs w:val="24"/>
        </w:rPr>
        <w:t>ikimasi mažinti apleistų žemės ūkio naudmenų plotus rajone.</w:t>
      </w:r>
    </w:p>
    <w:p w:rsidR="005B7E0D" w:rsidRDefault="00297AB2" w:rsidP="00297AB2">
      <w:pPr>
        <w:ind w:firstLine="720"/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b/>
          <w:sz w:val="24"/>
          <w:szCs w:val="24"/>
        </w:rPr>
        <w:t>Galimos neigiamos pasekmės priėmus projektą, kokių priemonių reikėtų imtis, ka</w:t>
      </w:r>
      <w:r w:rsidR="005B7E0D">
        <w:rPr>
          <w:rFonts w:cs="Times New Roman"/>
          <w:b/>
          <w:sz w:val="24"/>
          <w:szCs w:val="24"/>
        </w:rPr>
        <w:t>d tokių pasekmių būtų išvengta:</w:t>
      </w:r>
    </w:p>
    <w:p w:rsidR="00297AB2" w:rsidRPr="00297AB2" w:rsidRDefault="00297AB2" w:rsidP="00297AB2">
      <w:pPr>
        <w:ind w:firstLine="720"/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sz w:val="24"/>
          <w:szCs w:val="24"/>
        </w:rPr>
        <w:t>Nėra</w:t>
      </w:r>
      <w:r w:rsidR="005B7E0D">
        <w:rPr>
          <w:rFonts w:cs="Times New Roman"/>
          <w:sz w:val="24"/>
          <w:szCs w:val="24"/>
        </w:rPr>
        <w:t>.</w:t>
      </w:r>
    </w:p>
    <w:p w:rsidR="005B7E0D" w:rsidRPr="005B7E0D" w:rsidRDefault="005B7E0D" w:rsidP="005B7E0D">
      <w:pPr>
        <w:pStyle w:val="Betarp"/>
        <w:ind w:firstLine="720"/>
        <w:jc w:val="both"/>
        <w:rPr>
          <w:b/>
          <w:sz w:val="24"/>
          <w:szCs w:val="24"/>
        </w:rPr>
      </w:pPr>
      <w:r w:rsidRPr="005B7E0D">
        <w:rPr>
          <w:b/>
          <w:sz w:val="24"/>
          <w:szCs w:val="24"/>
        </w:rPr>
        <w:t>Galiojantys</w:t>
      </w:r>
      <w:r w:rsidR="00297AB2" w:rsidRPr="005B7E0D">
        <w:rPr>
          <w:b/>
          <w:sz w:val="24"/>
          <w:szCs w:val="24"/>
        </w:rPr>
        <w:t xml:space="preserve"> teisės aktai, kuriuos reikės pake</w:t>
      </w:r>
      <w:r w:rsidRPr="005B7E0D">
        <w:rPr>
          <w:b/>
          <w:sz w:val="24"/>
          <w:szCs w:val="24"/>
        </w:rPr>
        <w:t>isti priėmus teikiamą projektą:</w:t>
      </w:r>
    </w:p>
    <w:p w:rsidR="00297AB2" w:rsidRPr="005B7E0D" w:rsidRDefault="00297AB2" w:rsidP="005B7E0D">
      <w:pPr>
        <w:pStyle w:val="Betarp"/>
        <w:ind w:firstLine="720"/>
        <w:jc w:val="both"/>
        <w:rPr>
          <w:sz w:val="24"/>
          <w:szCs w:val="24"/>
        </w:rPr>
      </w:pPr>
      <w:r w:rsidRPr="005B7E0D">
        <w:rPr>
          <w:sz w:val="24"/>
          <w:szCs w:val="24"/>
        </w:rPr>
        <w:t>Nėra.</w:t>
      </w:r>
    </w:p>
    <w:p w:rsidR="005B7E0D" w:rsidRDefault="00297AB2" w:rsidP="005B7E0D">
      <w:pPr>
        <w:pStyle w:val="Betarp"/>
        <w:ind w:firstLine="720"/>
        <w:jc w:val="both"/>
      </w:pPr>
      <w:r w:rsidRPr="005B7E0D">
        <w:rPr>
          <w:b/>
          <w:sz w:val="24"/>
          <w:szCs w:val="24"/>
        </w:rPr>
        <w:t>Reikiami paskaičiavimai, išlaidų sąmatos bei finansavimo šaltiniai, reikalingi sprendimui</w:t>
      </w:r>
      <w:r w:rsidRPr="005B7E0D">
        <w:rPr>
          <w:b/>
        </w:rPr>
        <w:t xml:space="preserve"> </w:t>
      </w:r>
      <w:r w:rsidRPr="005B7E0D">
        <w:rPr>
          <w:b/>
          <w:sz w:val="24"/>
          <w:szCs w:val="24"/>
        </w:rPr>
        <w:t>įgyvendinti:</w:t>
      </w:r>
    </w:p>
    <w:p w:rsidR="00297AB2" w:rsidRPr="005B7E0D" w:rsidRDefault="00297AB2" w:rsidP="005B7E0D">
      <w:pPr>
        <w:pStyle w:val="Betarp"/>
        <w:ind w:firstLine="720"/>
        <w:jc w:val="both"/>
        <w:rPr>
          <w:sz w:val="24"/>
          <w:szCs w:val="24"/>
        </w:rPr>
      </w:pPr>
      <w:r w:rsidRPr="005B7E0D">
        <w:rPr>
          <w:sz w:val="24"/>
          <w:szCs w:val="24"/>
        </w:rPr>
        <w:t>Sprendimo įgyvendinimui lėšos nereikalingos.</w:t>
      </w:r>
    </w:p>
    <w:p w:rsidR="00297AB2" w:rsidRPr="00297AB2" w:rsidRDefault="00297AB2" w:rsidP="00297AB2">
      <w:pPr>
        <w:ind w:firstLine="720"/>
        <w:jc w:val="both"/>
        <w:rPr>
          <w:rFonts w:cs="Times New Roman"/>
          <w:b/>
          <w:sz w:val="24"/>
          <w:szCs w:val="24"/>
        </w:rPr>
      </w:pPr>
    </w:p>
    <w:p w:rsidR="00297AB2" w:rsidRPr="007D5137" w:rsidRDefault="00297AB2" w:rsidP="00297AB2">
      <w:pPr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</w:p>
    <w:p w:rsidR="00297AB2" w:rsidRDefault="00297AB2" w:rsidP="00297AB2">
      <w:r w:rsidRPr="00297AB2">
        <w:rPr>
          <w:rFonts w:cs="Times New Roman"/>
          <w:sz w:val="24"/>
          <w:szCs w:val="24"/>
        </w:rPr>
        <w:t xml:space="preserve">Skyriaus vedėja                                                                                                 </w:t>
      </w:r>
      <w:r w:rsidR="00D2318D">
        <w:rPr>
          <w:rFonts w:cs="Times New Roman"/>
          <w:sz w:val="24"/>
          <w:szCs w:val="24"/>
        </w:rPr>
        <w:t xml:space="preserve">Virginija </w:t>
      </w:r>
      <w:proofErr w:type="spellStart"/>
      <w:r w:rsidR="00D2318D">
        <w:rPr>
          <w:rFonts w:cs="Times New Roman"/>
          <w:sz w:val="24"/>
          <w:szCs w:val="24"/>
        </w:rPr>
        <w:t>Jurkštienė</w:t>
      </w:r>
      <w:proofErr w:type="spellEnd"/>
    </w:p>
    <w:sectPr w:rsidR="00297AB2" w:rsidSect="005B7E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599" w:left="1701" w:header="567" w:footer="136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B5" w:rsidRDefault="003A49B5">
      <w:r>
        <w:separator/>
      </w:r>
    </w:p>
  </w:endnote>
  <w:endnote w:type="continuationSeparator" w:id="0">
    <w:p w:rsidR="003A49B5" w:rsidRDefault="003A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B5" w:rsidRDefault="003A49B5">
      <w:r>
        <w:separator/>
      </w:r>
    </w:p>
  </w:footnote>
  <w:footnote w:type="continuationSeparator" w:id="0">
    <w:p w:rsidR="003A49B5" w:rsidRDefault="003A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0D" w:rsidRDefault="00A41B12" w:rsidP="005B7E0D">
    <w:pPr>
      <w:pStyle w:val="Antrats"/>
      <w:jc w:val="center"/>
    </w:pPr>
    <w:r>
      <w:t>2</w:t>
    </w:r>
  </w:p>
  <w:p w:rsidR="005B7E0D" w:rsidRDefault="005B7E0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54387"/>
    <w:rsid w:val="00094421"/>
    <w:rsid w:val="000F40FC"/>
    <w:rsid w:val="001201EE"/>
    <w:rsid w:val="00155A45"/>
    <w:rsid w:val="001F634F"/>
    <w:rsid w:val="00245AF2"/>
    <w:rsid w:val="002475DF"/>
    <w:rsid w:val="00297AB2"/>
    <w:rsid w:val="002B0527"/>
    <w:rsid w:val="002E171B"/>
    <w:rsid w:val="002F2C53"/>
    <w:rsid w:val="003917D6"/>
    <w:rsid w:val="003A16F3"/>
    <w:rsid w:val="003A3DD4"/>
    <w:rsid w:val="003A49B5"/>
    <w:rsid w:val="003C0EA4"/>
    <w:rsid w:val="004725CB"/>
    <w:rsid w:val="00474941"/>
    <w:rsid w:val="00482C65"/>
    <w:rsid w:val="0049741C"/>
    <w:rsid w:val="004B1FD0"/>
    <w:rsid w:val="004B2A47"/>
    <w:rsid w:val="00512002"/>
    <w:rsid w:val="00525E12"/>
    <w:rsid w:val="005729D2"/>
    <w:rsid w:val="005A504F"/>
    <w:rsid w:val="005B3AB6"/>
    <w:rsid w:val="005B7E0D"/>
    <w:rsid w:val="005D536A"/>
    <w:rsid w:val="00604098"/>
    <w:rsid w:val="00606A0B"/>
    <w:rsid w:val="0063401E"/>
    <w:rsid w:val="00636BB5"/>
    <w:rsid w:val="006846AE"/>
    <w:rsid w:val="006927C3"/>
    <w:rsid w:val="006F0FFD"/>
    <w:rsid w:val="00756AC5"/>
    <w:rsid w:val="00790EED"/>
    <w:rsid w:val="00797939"/>
    <w:rsid w:val="007A13F0"/>
    <w:rsid w:val="007D4C8E"/>
    <w:rsid w:val="007D5137"/>
    <w:rsid w:val="007D7E38"/>
    <w:rsid w:val="00826FD6"/>
    <w:rsid w:val="00847A22"/>
    <w:rsid w:val="00894DD4"/>
    <w:rsid w:val="008C3F66"/>
    <w:rsid w:val="00922004"/>
    <w:rsid w:val="00933E29"/>
    <w:rsid w:val="009554BB"/>
    <w:rsid w:val="0099011E"/>
    <w:rsid w:val="009B6920"/>
    <w:rsid w:val="009B711B"/>
    <w:rsid w:val="009D7AA7"/>
    <w:rsid w:val="009F5695"/>
    <w:rsid w:val="00A14609"/>
    <w:rsid w:val="00A41B12"/>
    <w:rsid w:val="00A46985"/>
    <w:rsid w:val="00A64462"/>
    <w:rsid w:val="00A95D8B"/>
    <w:rsid w:val="00AC3CB0"/>
    <w:rsid w:val="00AC59DF"/>
    <w:rsid w:val="00AF220A"/>
    <w:rsid w:val="00B12C25"/>
    <w:rsid w:val="00B15DDD"/>
    <w:rsid w:val="00B3760F"/>
    <w:rsid w:val="00B4078B"/>
    <w:rsid w:val="00B4746D"/>
    <w:rsid w:val="00B72C44"/>
    <w:rsid w:val="00B74D34"/>
    <w:rsid w:val="00B77F0D"/>
    <w:rsid w:val="00B80DC4"/>
    <w:rsid w:val="00B909E2"/>
    <w:rsid w:val="00B951F0"/>
    <w:rsid w:val="00BA299F"/>
    <w:rsid w:val="00BE109B"/>
    <w:rsid w:val="00CF015E"/>
    <w:rsid w:val="00D2318D"/>
    <w:rsid w:val="00D46E28"/>
    <w:rsid w:val="00E21572"/>
    <w:rsid w:val="00EC18A0"/>
    <w:rsid w:val="00F47E96"/>
    <w:rsid w:val="00F50B72"/>
    <w:rsid w:val="00F639B3"/>
    <w:rsid w:val="00F727DE"/>
    <w:rsid w:val="00F836B8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registrucentra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5CC1A-1036-4EEC-95F6-44073FAF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72</TotalTime>
  <Pages>4</Pages>
  <Words>4896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7673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3</cp:revision>
  <cp:lastPrinted>2015-05-04T05:24:00Z</cp:lastPrinted>
  <dcterms:created xsi:type="dcterms:W3CDTF">2015-04-27T07:07:00Z</dcterms:created>
  <dcterms:modified xsi:type="dcterms:W3CDTF">2015-05-04T06:34:00Z</dcterms:modified>
</cp:coreProperties>
</file>