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Default="009A5788">
      <w:pPr>
        <w:pStyle w:val="xl47"/>
        <w:spacing w:before="0" w:after="0"/>
        <w:textAlignment w:val="auto"/>
        <w:rPr>
          <w:b/>
          <w:lang w:val="lt-LT"/>
        </w:rPr>
      </w:pPr>
      <w:r>
        <w:rPr>
          <w:b/>
          <w:lang w:val="lt-LT"/>
        </w:rPr>
        <w:t xml:space="preserve">PANEVĖŽIO RAJONO SAVIVALDYBĖS </w:t>
      </w:r>
    </w:p>
    <w:p w:rsidR="009A5788" w:rsidRDefault="00835831">
      <w:pPr>
        <w:pStyle w:val="xl47"/>
        <w:spacing w:before="0" w:after="0"/>
        <w:textAlignment w:val="auto"/>
        <w:rPr>
          <w:b/>
          <w:lang w:val="lt-LT"/>
        </w:rPr>
      </w:pPr>
      <w:r>
        <w:rPr>
          <w:b/>
          <w:lang w:val="lt-LT"/>
        </w:rPr>
        <w:t>201</w:t>
      </w:r>
      <w:r w:rsidR="0060181E">
        <w:rPr>
          <w:b/>
          <w:lang w:val="lt-LT"/>
        </w:rPr>
        <w:t>5</w:t>
      </w:r>
      <w:r>
        <w:rPr>
          <w:b/>
          <w:lang w:val="lt-LT"/>
        </w:rPr>
        <w:t>–201</w:t>
      </w:r>
      <w:r w:rsidR="0060181E">
        <w:rPr>
          <w:b/>
          <w:lang w:val="lt-LT"/>
        </w:rPr>
        <w:t>7</w:t>
      </w:r>
      <w:r w:rsidR="009A5788">
        <w:rPr>
          <w:b/>
          <w:lang w:val="lt-LT"/>
        </w:rPr>
        <w:t xml:space="preserve"> M</w:t>
      </w:r>
      <w:r w:rsidR="00841B09">
        <w:rPr>
          <w:b/>
          <w:lang w:val="lt-LT"/>
        </w:rPr>
        <w:t>ETŲ</w:t>
      </w:r>
      <w:r w:rsidR="009A5788">
        <w:rPr>
          <w:b/>
          <w:lang w:val="lt-LT"/>
        </w:rPr>
        <w:t xml:space="preserve"> STRATEGINIS VEIKLOS PLANAS</w:t>
      </w:r>
    </w:p>
    <w:p w:rsidR="009A5788"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9A5788">
        <w:tc>
          <w:tcPr>
            <w:tcW w:w="1980" w:type="dxa"/>
          </w:tcPr>
          <w:p w:rsidR="009A5788" w:rsidRDefault="009A5788">
            <w:pPr>
              <w:pStyle w:val="Antrats"/>
              <w:tabs>
                <w:tab w:val="left" w:pos="720"/>
              </w:tabs>
              <w:rPr>
                <w:b/>
              </w:rPr>
            </w:pPr>
            <w:r>
              <w:rPr>
                <w:b/>
              </w:rPr>
              <w:t>Misija</w:t>
            </w:r>
          </w:p>
        </w:tc>
        <w:tc>
          <w:tcPr>
            <w:tcW w:w="7920" w:type="dxa"/>
          </w:tcPr>
          <w:p w:rsidR="009A5788" w:rsidRDefault="009A5788">
            <w:pPr>
              <w:pStyle w:val="Antrats"/>
              <w:tabs>
                <w:tab w:val="left" w:pos="720"/>
              </w:tabs>
              <w:jc w:val="both"/>
            </w:pPr>
            <w:r>
              <w:t>Tvarkyti rajono viešuosius reikalus</w:t>
            </w:r>
            <w:r w:rsidR="008C25D9">
              <w:t>,</w:t>
            </w:r>
            <w:r>
              <w:t xml:space="preserve"> siekiant kuo geriau patenkinti rajono gyventojų poreikius</w:t>
            </w:r>
            <w:r w:rsidR="008C25D9">
              <w:t>.</w:t>
            </w:r>
          </w:p>
        </w:tc>
      </w:tr>
    </w:tbl>
    <w:p w:rsidR="009A5788"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9A5788">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Default="009A5788">
            <w:pPr>
              <w:pStyle w:val="Antrats"/>
              <w:tabs>
                <w:tab w:val="left" w:pos="720"/>
              </w:tabs>
              <w:snapToGrid w:val="0"/>
              <w:jc w:val="center"/>
              <w:rPr>
                <w:b/>
              </w:rPr>
            </w:pPr>
            <w:r>
              <w:rPr>
                <w:b/>
              </w:rPr>
              <w:t>Situacijos analizė</w:t>
            </w:r>
          </w:p>
        </w:tc>
      </w:tr>
      <w:tr w:rsidR="009A5788">
        <w:tc>
          <w:tcPr>
            <w:tcW w:w="9900" w:type="dxa"/>
            <w:gridSpan w:val="2"/>
            <w:tcBorders>
              <w:top w:val="single" w:sz="4" w:space="0" w:color="auto"/>
              <w:left w:val="single" w:sz="4" w:space="0" w:color="auto"/>
              <w:bottom w:val="single" w:sz="4" w:space="0" w:color="auto"/>
              <w:right w:val="single" w:sz="4" w:space="0" w:color="auto"/>
            </w:tcBorders>
          </w:tcPr>
          <w:p w:rsidR="009A5788" w:rsidRDefault="009A5788">
            <w:pPr>
              <w:pStyle w:val="Antrats"/>
              <w:tabs>
                <w:tab w:val="left" w:pos="720"/>
              </w:tabs>
              <w:snapToGrid w:val="0"/>
              <w:jc w:val="center"/>
              <w:rPr>
                <w:b/>
              </w:rPr>
            </w:pPr>
            <w:r>
              <w:rPr>
                <w:b/>
              </w:rPr>
              <w:t>Išorės aplinkos analizė</w:t>
            </w:r>
          </w:p>
        </w:tc>
      </w:tr>
      <w:tr w:rsidR="009A5788">
        <w:tc>
          <w:tcPr>
            <w:tcW w:w="9900" w:type="dxa"/>
            <w:gridSpan w:val="2"/>
            <w:tcBorders>
              <w:top w:val="single" w:sz="4" w:space="0" w:color="auto"/>
              <w:left w:val="single" w:sz="4" w:space="0" w:color="auto"/>
              <w:bottom w:val="single" w:sz="4" w:space="0" w:color="auto"/>
              <w:right w:val="single" w:sz="4" w:space="0" w:color="auto"/>
            </w:tcBorders>
          </w:tcPr>
          <w:p w:rsidR="009A5788" w:rsidRDefault="009A5788">
            <w:pPr>
              <w:pStyle w:val="Antrats"/>
              <w:tabs>
                <w:tab w:val="left" w:pos="720"/>
              </w:tabs>
              <w:snapToGrid w:val="0"/>
              <w:ind w:firstLine="498"/>
              <w:rPr>
                <w:b/>
              </w:rPr>
            </w:pPr>
            <w:r>
              <w:rPr>
                <w:b/>
              </w:rPr>
              <w:t>Politiniai-teisiniai veiksniai.</w:t>
            </w:r>
          </w:p>
          <w:p w:rsidR="009A5788" w:rsidRDefault="009A5788">
            <w:pPr>
              <w:ind w:firstLine="498"/>
              <w:jc w:val="both"/>
              <w:rPr>
                <w:lang w:eastAsia="ar-SA"/>
              </w:rPr>
            </w:pPr>
            <w:r>
              <w:rPr>
                <w:lang w:eastAsia="ar-SA"/>
              </w:rPr>
              <w:t>Savivaldybė, organizuodama veiklą, privalo atsižvelgti į savivaldybėms tiesioginį ir netiesioginį poveikį turinčius Europos Sąjungos (toliau</w:t>
            </w:r>
            <w:r w:rsidR="006E3941">
              <w:rPr>
                <w:lang w:eastAsia="ar-SA"/>
              </w:rPr>
              <w:t xml:space="preserve"> –</w:t>
            </w:r>
            <w:r>
              <w:rPr>
                <w:lang w:eastAsia="ar-SA"/>
              </w:rPr>
              <w:t xml:space="preserve"> ES) privalomojo pobūdžio teisės aktus – direktyvas, reglamentus, sprendimus ir svarbesnius rekomendacinio pobūdžio dokumentus – rekomendacijas, komunikatus, gaires, strategijas.</w:t>
            </w:r>
            <w:r>
              <w:rPr>
                <w:rFonts w:ascii="Garamond" w:hAnsi="Garamond"/>
                <w:lang w:eastAsia="ar-SA"/>
              </w:rPr>
              <w:t xml:space="preserve"> </w:t>
            </w:r>
          </w:p>
          <w:p w:rsidR="009A5788" w:rsidRDefault="009A5788">
            <w:pPr>
              <w:pStyle w:val="tekst"/>
              <w:tabs>
                <w:tab w:val="left" w:pos="-2808"/>
              </w:tabs>
              <w:spacing w:before="0" w:after="0"/>
              <w:ind w:firstLine="498"/>
              <w:jc w:val="both"/>
              <w:rPr>
                <w:lang w:val="lt-LT"/>
              </w:rPr>
            </w:pPr>
            <w:r>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Pr>
                <w:rFonts w:ascii="Arial" w:hAnsi="Arial"/>
                <w:lang w:val="lt-LT"/>
              </w:rPr>
              <w:t xml:space="preserve"> </w:t>
            </w:r>
            <w:r>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Pr>
                <w:lang w:val="lt-LT"/>
              </w:rPr>
              <w:t xml:space="preserve"> ir kiti teisės aktai.</w:t>
            </w:r>
          </w:p>
          <w:p w:rsidR="00DD2DF5" w:rsidRPr="00DD2DF5" w:rsidRDefault="009A5788" w:rsidP="00AF7BE5">
            <w:pPr>
              <w:ind w:firstLine="498"/>
              <w:jc w:val="both"/>
              <w:rPr>
                <w:color w:val="FF0000"/>
                <w:sz w:val="40"/>
                <w:szCs w:val="40"/>
                <w:lang w:eastAsia="ar-SA"/>
              </w:rPr>
            </w:pPr>
            <w:r>
              <w:rPr>
                <w:lang w:eastAsia="ar-SA"/>
              </w:rPr>
              <w:t>Planuodama veiklą, Panevėžio rajono savivaldybė privalo įvertinti šiuos dokumentus</w:t>
            </w:r>
            <w:r w:rsidR="00FC4A34">
              <w:rPr>
                <w:lang w:eastAsia="ar-SA"/>
              </w:rPr>
              <w:t xml:space="preserve">: </w:t>
            </w:r>
            <w:r w:rsidR="00AF7BE5">
              <w:rPr>
                <w:lang w:eastAsia="ar-SA"/>
              </w:rPr>
              <w:t xml:space="preserve">Valstybės ilgalaikės raidos strategiją, patvirtintą </w:t>
            </w:r>
            <w:r w:rsidR="00FC4A34">
              <w:rPr>
                <w:lang w:eastAsia="ar-SA"/>
              </w:rPr>
              <w:t>Lietuvos Respub</w:t>
            </w:r>
            <w:r w:rsidR="00DF0E66">
              <w:rPr>
                <w:lang w:eastAsia="ar-SA"/>
              </w:rPr>
              <w:t>likos Seimo 2012 m. lapkričio 12 d. nutarimu Nr. IX-1187 „Dėl Valstybės ilgalaikės strategijos“; Valstybės pažangos strategiją „Lietuvos pažangos strategija „Lietuva 2030“, patvirtintą Lietuvos Respublikos Seimo</w:t>
            </w:r>
            <w:bookmarkStart w:id="0" w:name="_GoBack"/>
            <w:bookmarkEnd w:id="0"/>
            <w:r w:rsidR="00CA1553">
              <w:rPr>
                <w:lang w:eastAsia="ar-SA"/>
              </w:rPr>
              <w:t xml:space="preserve"> </w:t>
            </w:r>
            <w:r w:rsidR="00DF0E66">
              <w:rPr>
                <w:lang w:eastAsia="ar-SA"/>
              </w:rPr>
              <w:t>2012 m. gegužės 15 d. nutarimu Nr. XI-2015 „Dėl Valstybės pažangos strategijos „Lietuvos pažangos strategija „Lietuva 2030“ patvirtinimo“;</w:t>
            </w:r>
            <w:r>
              <w:rPr>
                <w:lang w:eastAsia="ar-SA"/>
              </w:rPr>
              <w:t xml:space="preserve"> </w:t>
            </w:r>
            <w:r w:rsidR="00AF7BE5">
              <w:rPr>
                <w:lang w:eastAsia="ar-SA"/>
              </w:rPr>
              <w:t xml:space="preserve">Nacionalinę Lisabonos strategijos įgyvendinimo programą, patvirtintą </w:t>
            </w:r>
            <w:r>
              <w:rPr>
                <w:lang w:eastAsia="ar-SA"/>
              </w:rPr>
              <w:t>Lietuvos Respublikos Vyriausybės 2008 m. spalio 1 d. nutarimu Nr. 1047</w:t>
            </w:r>
            <w:r w:rsidR="00856408">
              <w:rPr>
                <w:lang w:eastAsia="ar-SA"/>
              </w:rPr>
              <w:t xml:space="preserve"> „Dėl Nacionalinės Lisabonos strategijos įgyvendinimo programos“</w:t>
            </w:r>
            <w:r w:rsidR="00F875F5">
              <w:rPr>
                <w:lang w:eastAsia="ar-SA"/>
              </w:rPr>
              <w:t xml:space="preserve">, </w:t>
            </w:r>
            <w:r w:rsidR="00AF7BE5">
              <w:rPr>
                <w:lang w:eastAsia="ar-SA"/>
              </w:rPr>
              <w:t>Nacionalinę darnaus vystymosi strategiją (iki</w:t>
            </w:r>
            <w:r w:rsidR="00CA1553">
              <w:rPr>
                <w:lang w:eastAsia="ar-SA"/>
              </w:rPr>
              <w:t xml:space="preserve"> </w:t>
            </w:r>
            <w:r w:rsidR="00AF7BE5">
              <w:rPr>
                <w:lang w:eastAsia="ar-SA"/>
              </w:rPr>
              <w:t xml:space="preserve">2020 m.), </w:t>
            </w:r>
            <w:r w:rsidR="00DD2DF5">
              <w:rPr>
                <w:lang w:eastAsia="ar-SA"/>
              </w:rPr>
              <w:t xml:space="preserve">patvirtintą </w:t>
            </w:r>
            <w:r>
              <w:rPr>
                <w:lang w:eastAsia="ar-SA"/>
              </w:rPr>
              <w:t>Lietuvos Respublikos Vyriausybės 2003 m. rugsėjo 11 d. nutarimu Nr. 1160</w:t>
            </w:r>
            <w:r w:rsidR="00856408">
              <w:rPr>
                <w:lang w:eastAsia="ar-SA"/>
              </w:rPr>
              <w:t xml:space="preserve"> „Dėl Nacionalinės darnaus vystymosi strategijos patvirtinimo ir įgyvendinimo“</w:t>
            </w:r>
            <w:r w:rsidR="00DB3611">
              <w:rPr>
                <w:lang w:eastAsia="ar-SA"/>
              </w:rPr>
              <w:t>.</w:t>
            </w:r>
            <w:r>
              <w:rPr>
                <w:lang w:eastAsia="ar-SA"/>
              </w:rPr>
              <w:t xml:space="preserve"> </w:t>
            </w:r>
          </w:p>
          <w:p w:rsidR="009A5788" w:rsidRDefault="009A5788">
            <w:pPr>
              <w:autoSpaceDE w:val="0"/>
              <w:ind w:firstLine="498"/>
              <w:jc w:val="both"/>
              <w:rPr>
                <w:lang w:eastAsia="ar-SA"/>
              </w:rPr>
            </w:pPr>
            <w:r>
              <w:rPr>
                <w:lang w:eastAsia="ar-SA"/>
              </w:rPr>
              <w:t>2007 m. gegužės mėn</w:t>
            </w:r>
            <w:r w:rsidR="008A7EC5">
              <w:rPr>
                <w:lang w:eastAsia="ar-SA"/>
              </w:rPr>
              <w:t>.</w:t>
            </w:r>
            <w:r>
              <w:rPr>
                <w:lang w:eastAsia="ar-SA"/>
              </w:rPr>
              <w:t xml:space="preserve"> priimtos Lietuvos Respublikos regioninės plėtros įstatymo pataisos</w:t>
            </w:r>
            <w:r w:rsidR="008A7EC5">
              <w:rPr>
                <w:lang w:eastAsia="ar-SA"/>
              </w:rPr>
              <w:t>,</w:t>
            </w:r>
            <w:r w:rsidR="002158B6">
              <w:rPr>
                <w:lang w:eastAsia="ar-SA"/>
              </w:rPr>
              <w:t xml:space="preserve"> ir ES struktūrinės paramos 2014–2020</w:t>
            </w:r>
            <w:r>
              <w:rPr>
                <w:lang w:eastAsia="ar-SA"/>
              </w:rPr>
              <w:t xml:space="preserve"> m. panaudojimo laikotarpiu regiono plėtros taryboms (kurias sudaro regiono savivaldybių merai bei deleguoti savivaldybių tarybų nariai) suteikti įgaliojimai</w:t>
            </w:r>
            <w:r w:rsidR="008A7EC5">
              <w:rPr>
                <w:lang w:eastAsia="ar-SA"/>
              </w:rPr>
              <w:t>,</w:t>
            </w:r>
            <w:r>
              <w:rPr>
                <w:lang w:eastAsia="ar-SA"/>
              </w:rPr>
              <w:t xml:space="preserve"> vadovaujantis nacionalinių ES struktūrinės paramos programavimo dokumentų, kitų strateginio planavimo dokumentų ir teritorijų planavimo dokumentų nuostatomis, Vyriausybės nustatyta tvarka atrinkti socialinės ir ekonominės plėtros projektus (įtrauktus į regiono plėtros planą bei savivaldybių strateginius </w:t>
            </w:r>
            <w:r w:rsidRPr="0016219B">
              <w:rPr>
                <w:lang w:eastAsia="ar-SA"/>
              </w:rPr>
              <w:t>plėtros</w:t>
            </w:r>
            <w:r>
              <w:rPr>
                <w:lang w:eastAsia="ar-SA"/>
              </w:rPr>
              <w:t xml:space="preserve"> planus) ir teikti išvadas finansavimą skiriančioms institucijoms.</w:t>
            </w:r>
          </w:p>
          <w:p w:rsidR="009A5788" w:rsidRDefault="009A5788">
            <w:pPr>
              <w:pStyle w:val="Antrats"/>
              <w:tabs>
                <w:tab w:val="left" w:pos="720"/>
              </w:tabs>
              <w:snapToGrid w:val="0"/>
              <w:ind w:firstLine="498"/>
              <w:rPr>
                <w:b/>
              </w:rPr>
            </w:pPr>
            <w:r>
              <w:rPr>
                <w:b/>
              </w:rPr>
              <w:t>Ekonominiai veiksniai.</w:t>
            </w:r>
          </w:p>
          <w:p w:rsidR="009A5788" w:rsidRDefault="009A5788">
            <w:pPr>
              <w:tabs>
                <w:tab w:val="left" w:pos="900"/>
                <w:tab w:val="left" w:pos="1260"/>
              </w:tabs>
              <w:ind w:firstLine="498"/>
              <w:jc w:val="both"/>
              <w:rPr>
                <w:lang w:eastAsia="ar-SA"/>
              </w:rPr>
            </w:pPr>
            <w:r>
              <w:rPr>
                <w:lang w:eastAsia="ar-SA"/>
              </w:rPr>
              <w:t xml:space="preserve">Lietuvos bendrojo vidaus produkto augimas keletą metų buvo vienas iš didžiausių ES šalyse. </w:t>
            </w:r>
          </w:p>
          <w:p w:rsidR="009A5788" w:rsidRDefault="009A5788">
            <w:pPr>
              <w:tabs>
                <w:tab w:val="left" w:pos="900"/>
                <w:tab w:val="left" w:pos="1260"/>
              </w:tabs>
              <w:ind w:firstLine="498"/>
              <w:jc w:val="center"/>
              <w:rPr>
                <w:lang w:eastAsia="ar-SA"/>
              </w:rPr>
            </w:pPr>
            <w:r>
              <w:rPr>
                <w:b/>
                <w:lang w:eastAsia="ar-SA"/>
              </w:rPr>
              <w:t>1 lentelė.</w:t>
            </w:r>
            <w:r>
              <w:rPr>
                <w:lang w:eastAsia="ar-SA"/>
              </w:rPr>
              <w:t xml:space="preserve"> </w:t>
            </w:r>
            <w:r w:rsidR="00C900AE">
              <w:rPr>
                <w:b/>
                <w:lang w:eastAsia="ar-SA"/>
              </w:rPr>
              <w:t>201</w:t>
            </w:r>
            <w:r w:rsidR="00EA7AE4">
              <w:rPr>
                <w:b/>
                <w:lang w:eastAsia="ar-SA"/>
              </w:rPr>
              <w:t>5</w:t>
            </w:r>
            <w:r w:rsidR="00C900AE">
              <w:rPr>
                <w:b/>
                <w:lang w:eastAsia="ar-SA"/>
              </w:rPr>
              <w:t>–201</w:t>
            </w:r>
            <w:r w:rsidR="00EA7AE4">
              <w:rPr>
                <w:b/>
                <w:lang w:eastAsia="ar-SA"/>
              </w:rPr>
              <w:t>7</w:t>
            </w:r>
            <w:r>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736F71">
              <w:tc>
                <w:tcPr>
                  <w:tcW w:w="5430" w:type="dxa"/>
                </w:tcPr>
                <w:p w:rsidR="00736F71" w:rsidRPr="00D64319" w:rsidRDefault="00736F71" w:rsidP="00865703">
                  <w:pPr>
                    <w:jc w:val="center"/>
                  </w:pPr>
                  <w:r w:rsidRPr="00D64319">
                    <w:t>Rodiklis</w:t>
                  </w:r>
                </w:p>
              </w:tc>
              <w:tc>
                <w:tcPr>
                  <w:tcW w:w="1080" w:type="dxa"/>
                </w:tcPr>
                <w:p w:rsidR="00736F71" w:rsidRPr="00D64319" w:rsidRDefault="00F1064F" w:rsidP="00865703">
                  <w:pPr>
                    <w:jc w:val="center"/>
                  </w:pPr>
                  <w:r>
                    <w:t>201</w:t>
                  </w:r>
                  <w:r w:rsidR="00EA7AE4">
                    <w:t>5</w:t>
                  </w:r>
                </w:p>
              </w:tc>
              <w:tc>
                <w:tcPr>
                  <w:tcW w:w="1080" w:type="dxa"/>
                </w:tcPr>
                <w:p w:rsidR="00736F71" w:rsidRPr="00D64319" w:rsidRDefault="00F1064F" w:rsidP="00865703">
                  <w:pPr>
                    <w:jc w:val="center"/>
                  </w:pPr>
                  <w:r>
                    <w:t>201</w:t>
                  </w:r>
                  <w:r w:rsidR="00EA7AE4">
                    <w:t>6</w:t>
                  </w:r>
                </w:p>
              </w:tc>
              <w:tc>
                <w:tcPr>
                  <w:tcW w:w="1080" w:type="dxa"/>
                </w:tcPr>
                <w:p w:rsidR="00736F71" w:rsidRPr="00D64319" w:rsidRDefault="00F1064F" w:rsidP="00865703">
                  <w:pPr>
                    <w:jc w:val="center"/>
                  </w:pPr>
                  <w:r>
                    <w:t>201</w:t>
                  </w:r>
                  <w:r w:rsidR="00EA7AE4">
                    <w:t>7</w:t>
                  </w:r>
                </w:p>
              </w:tc>
            </w:tr>
            <w:tr w:rsidR="00736F71">
              <w:tc>
                <w:tcPr>
                  <w:tcW w:w="5430" w:type="dxa"/>
                </w:tcPr>
                <w:p w:rsidR="00736F71" w:rsidRPr="00D64319" w:rsidRDefault="00736F71" w:rsidP="00EA7AE4">
                  <w:pPr>
                    <w:jc w:val="center"/>
                  </w:pPr>
                  <w:r w:rsidRPr="00D64319">
                    <w:t xml:space="preserve">Suderinto </w:t>
                  </w:r>
                  <w:r w:rsidR="00EA7AE4">
                    <w:t>vartotojų</w:t>
                  </w:r>
                  <w:r w:rsidRPr="00D64319">
                    <w:t xml:space="preserve"> kainų indekso pokytis (vidutinis metinis), proc.</w:t>
                  </w:r>
                </w:p>
              </w:tc>
              <w:tc>
                <w:tcPr>
                  <w:tcW w:w="1080" w:type="dxa"/>
                </w:tcPr>
                <w:p w:rsidR="00736F71" w:rsidRPr="00D64319" w:rsidRDefault="00F1064F" w:rsidP="00865703">
                  <w:pPr>
                    <w:jc w:val="center"/>
                  </w:pPr>
                  <w:r>
                    <w:t>1,</w:t>
                  </w:r>
                  <w:r w:rsidR="00EA7AE4">
                    <w:t>2</w:t>
                  </w:r>
                </w:p>
              </w:tc>
              <w:tc>
                <w:tcPr>
                  <w:tcW w:w="1080" w:type="dxa"/>
                </w:tcPr>
                <w:p w:rsidR="00736F71" w:rsidRPr="00D64319" w:rsidRDefault="00EA7AE4" w:rsidP="00865703">
                  <w:pPr>
                    <w:jc w:val="center"/>
                  </w:pPr>
                  <w:r>
                    <w:t>2,0</w:t>
                  </w:r>
                </w:p>
              </w:tc>
              <w:tc>
                <w:tcPr>
                  <w:tcW w:w="1080" w:type="dxa"/>
                </w:tcPr>
                <w:p w:rsidR="00736F71" w:rsidRPr="00D64319" w:rsidRDefault="00F1064F" w:rsidP="00865703">
                  <w:pPr>
                    <w:jc w:val="center"/>
                  </w:pPr>
                  <w:r>
                    <w:t>2,</w:t>
                  </w:r>
                  <w:r w:rsidR="00EA7AE4">
                    <w:t>9</w:t>
                  </w:r>
                </w:p>
              </w:tc>
            </w:tr>
            <w:tr w:rsidR="00736F71">
              <w:tc>
                <w:tcPr>
                  <w:tcW w:w="5430" w:type="dxa"/>
                </w:tcPr>
                <w:p w:rsidR="00736F71" w:rsidRPr="00D64319" w:rsidRDefault="00736F71" w:rsidP="00865703">
                  <w:pPr>
                    <w:jc w:val="center"/>
                  </w:pPr>
                  <w:r w:rsidRPr="00D64319">
                    <w:t xml:space="preserve">BVP augimas / </w:t>
                  </w:r>
                  <w:r>
                    <w:t>grandine susietos apimties augimas</w:t>
                  </w:r>
                  <w:r w:rsidRPr="00D64319">
                    <w:t>, proc.</w:t>
                  </w:r>
                </w:p>
              </w:tc>
              <w:tc>
                <w:tcPr>
                  <w:tcW w:w="1080" w:type="dxa"/>
                </w:tcPr>
                <w:p w:rsidR="00736F71" w:rsidRPr="00D64319" w:rsidRDefault="00EA7AE4" w:rsidP="00865703">
                  <w:pPr>
                    <w:jc w:val="center"/>
                  </w:pPr>
                  <w:r>
                    <w:t>3,4</w:t>
                  </w:r>
                </w:p>
              </w:tc>
              <w:tc>
                <w:tcPr>
                  <w:tcW w:w="1080" w:type="dxa"/>
                </w:tcPr>
                <w:p w:rsidR="00736F71" w:rsidRPr="00D64319" w:rsidRDefault="00EA7AE4" w:rsidP="00865703">
                  <w:pPr>
                    <w:jc w:val="center"/>
                  </w:pPr>
                  <w:r>
                    <w:t>3,8</w:t>
                  </w:r>
                </w:p>
              </w:tc>
              <w:tc>
                <w:tcPr>
                  <w:tcW w:w="1080" w:type="dxa"/>
                </w:tcPr>
                <w:p w:rsidR="00736F71" w:rsidRPr="00D64319" w:rsidRDefault="00EA7AE4" w:rsidP="00865703">
                  <w:pPr>
                    <w:jc w:val="center"/>
                  </w:pPr>
                  <w:r>
                    <w:t>4,3</w:t>
                  </w:r>
                </w:p>
              </w:tc>
            </w:tr>
            <w:tr w:rsidR="00736F71">
              <w:tc>
                <w:tcPr>
                  <w:tcW w:w="5430" w:type="dxa"/>
                </w:tcPr>
                <w:p w:rsidR="00736F71" w:rsidRPr="00D64319" w:rsidRDefault="00736F71" w:rsidP="00633078">
                  <w:pPr>
                    <w:jc w:val="center"/>
                  </w:pPr>
                  <w:r w:rsidRPr="00D64319">
                    <w:t>Vidutinis metinis nedarbo lygis, proc.</w:t>
                  </w:r>
                  <w:r w:rsidR="00633078">
                    <w:t>(pagal Gyventojų užimtumo tyrimo metodologiją)</w:t>
                  </w:r>
                </w:p>
              </w:tc>
              <w:tc>
                <w:tcPr>
                  <w:tcW w:w="1080" w:type="dxa"/>
                </w:tcPr>
                <w:p w:rsidR="00736F71" w:rsidRPr="00D64319" w:rsidRDefault="00EA7AE4" w:rsidP="00865703">
                  <w:pPr>
                    <w:jc w:val="center"/>
                  </w:pPr>
                  <w:r>
                    <w:t>10,4</w:t>
                  </w:r>
                </w:p>
              </w:tc>
              <w:tc>
                <w:tcPr>
                  <w:tcW w:w="1080" w:type="dxa"/>
                </w:tcPr>
                <w:p w:rsidR="00736F71" w:rsidRPr="00D64319" w:rsidRDefault="00EA7AE4" w:rsidP="00865703">
                  <w:pPr>
                    <w:jc w:val="center"/>
                  </w:pPr>
                  <w:r>
                    <w:t>9,6</w:t>
                  </w:r>
                </w:p>
              </w:tc>
              <w:tc>
                <w:tcPr>
                  <w:tcW w:w="1080" w:type="dxa"/>
                </w:tcPr>
                <w:p w:rsidR="00736F71" w:rsidRPr="00D64319" w:rsidRDefault="00EA7AE4" w:rsidP="00865703">
                  <w:pPr>
                    <w:jc w:val="center"/>
                  </w:pPr>
                  <w:r>
                    <w:t>8,6</w:t>
                  </w:r>
                </w:p>
              </w:tc>
            </w:tr>
            <w:tr w:rsidR="00736F71">
              <w:tc>
                <w:tcPr>
                  <w:tcW w:w="5430" w:type="dxa"/>
                </w:tcPr>
                <w:p w:rsidR="00736F71" w:rsidRPr="0016219B" w:rsidRDefault="00736F71" w:rsidP="0016219B">
                  <w:pPr>
                    <w:jc w:val="center"/>
                  </w:pPr>
                  <w:r w:rsidRPr="0016219B">
                    <w:t xml:space="preserve">Vidutinis mėnesinis </w:t>
                  </w:r>
                  <w:proofErr w:type="spellStart"/>
                  <w:r w:rsidRPr="0016219B">
                    <w:t>bruto</w:t>
                  </w:r>
                  <w:proofErr w:type="spellEnd"/>
                  <w:r w:rsidRPr="0016219B">
                    <w:t xml:space="preserve"> darbo užmokestis, </w:t>
                  </w:r>
                  <w:proofErr w:type="spellStart"/>
                  <w:r w:rsidR="00742AD8" w:rsidRPr="0016219B">
                    <w:t>Eur</w:t>
                  </w:r>
                  <w:proofErr w:type="spellEnd"/>
                </w:p>
              </w:tc>
              <w:tc>
                <w:tcPr>
                  <w:tcW w:w="1080" w:type="dxa"/>
                </w:tcPr>
                <w:p w:rsidR="00736F71" w:rsidRPr="0016219B" w:rsidRDefault="00742AD8" w:rsidP="00865703">
                  <w:pPr>
                    <w:jc w:val="center"/>
                  </w:pPr>
                  <w:r w:rsidRPr="0016219B">
                    <w:t>720,11</w:t>
                  </w:r>
                </w:p>
              </w:tc>
              <w:tc>
                <w:tcPr>
                  <w:tcW w:w="1080" w:type="dxa"/>
                </w:tcPr>
                <w:p w:rsidR="00736F71" w:rsidRPr="0016219B" w:rsidRDefault="00742AD8" w:rsidP="00865703">
                  <w:pPr>
                    <w:jc w:val="center"/>
                  </w:pPr>
                  <w:r w:rsidRPr="0016219B">
                    <w:t>763,64</w:t>
                  </w:r>
                </w:p>
              </w:tc>
              <w:tc>
                <w:tcPr>
                  <w:tcW w:w="1080" w:type="dxa"/>
                </w:tcPr>
                <w:p w:rsidR="00736F71" w:rsidRPr="0016219B" w:rsidRDefault="00742AD8" w:rsidP="00865703">
                  <w:pPr>
                    <w:jc w:val="center"/>
                  </w:pPr>
                  <w:r w:rsidRPr="0016219B">
                    <w:t>813,48</w:t>
                  </w:r>
                </w:p>
              </w:tc>
            </w:tr>
          </w:tbl>
          <w:p w:rsidR="009A5788" w:rsidRDefault="009A5788" w:rsidP="00A72E99">
            <w:pPr>
              <w:pStyle w:val="tekst"/>
              <w:spacing w:before="0" w:after="0"/>
              <w:ind w:firstLine="498"/>
              <w:jc w:val="both"/>
            </w:pPr>
            <w:r>
              <w:rPr>
                <w:i/>
                <w:sz w:val="20"/>
                <w:lang w:val="lt-LT"/>
              </w:rPr>
              <w:t>Lietuvos Respublikos finansų ministerijos prognozė</w:t>
            </w:r>
          </w:p>
        </w:tc>
      </w:tr>
      <w:tr w:rsidR="009A5788">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A72E99" w:rsidRDefault="000A1F40" w:rsidP="000A1F40">
            <w:pPr>
              <w:jc w:val="both"/>
              <w:rPr>
                <w:u w:val="single"/>
                <w:lang w:eastAsia="ar-SA"/>
              </w:rPr>
            </w:pPr>
            <w:r w:rsidRPr="00A72E99">
              <w:lastRenderedPageBreak/>
              <w:t xml:space="preserve">         </w:t>
            </w:r>
            <w:r w:rsidR="009A5788" w:rsidRPr="00A72E99">
              <w:rPr>
                <w:u w:val="single"/>
                <w:lang w:eastAsia="ar-SA"/>
              </w:rPr>
              <w:t>ES parama</w:t>
            </w:r>
          </w:p>
          <w:p w:rsidR="00024FB3" w:rsidRDefault="00CF0C72" w:rsidP="00024FB3">
            <w:pPr>
              <w:ind w:firstLine="498"/>
              <w:jc w:val="both"/>
            </w:pPr>
            <w:r w:rsidRPr="009B6B38">
              <w:t>Europos Sąjungos šalys, tarp</w:t>
            </w:r>
            <w:r w:rsidR="009B6B38" w:rsidRPr="009B6B38">
              <w:t xml:space="preserve"> jų</w:t>
            </w:r>
            <w:r w:rsidRPr="009B6B38">
              <w:t xml:space="preserve"> ir Lietuva, 2013 m. vasario 8 d. pasiekė susitarimą dėl </w:t>
            </w:r>
            <w:r w:rsidR="00F875F5">
              <w:br/>
            </w:r>
            <w:r w:rsidRPr="009B6B38">
              <w:t xml:space="preserve">2014–2020 metų ES finansinės programos. </w:t>
            </w:r>
            <w:r w:rsidR="009B6B38">
              <w:t>I</w:t>
            </w:r>
            <w:r w:rsidR="009B6B38" w:rsidRPr="00DD5A97">
              <w:t>š trijų Baltijos valstybių</w:t>
            </w:r>
            <w:r w:rsidR="009B6B38" w:rsidRPr="009B6B38">
              <w:t xml:space="preserve"> </w:t>
            </w:r>
            <w:r w:rsidRPr="009B6B38">
              <w:t>Lietuva 2014–2020 m. laikotarp</w:t>
            </w:r>
            <w:r w:rsidR="009B6B38">
              <w:t>iu</w:t>
            </w:r>
            <w:r w:rsidRPr="009B6B38">
              <w:t xml:space="preserve"> turėtų gauti daugiausia ES struktūrinės paramos lėšų.  </w:t>
            </w:r>
          </w:p>
          <w:p w:rsidR="00024FB3" w:rsidRDefault="00633078" w:rsidP="00E1242C">
            <w:pPr>
              <w:ind w:firstLine="498"/>
              <w:jc w:val="both"/>
            </w:pPr>
            <w:r w:rsidRPr="00633078">
              <w:t xml:space="preserve">2014–2020 m. ES sanglaudos politikos tikslams įgyvendinti Lietuvai skirta 23,16 mlrd. litų iš ES struktūrinių fondų, </w:t>
            </w:r>
            <w:r w:rsidR="008A7EC5">
              <w:t>iš jų</w:t>
            </w:r>
            <w:r w:rsidRPr="00633078">
              <w:t xml:space="preserve"> Europos teritorinio bendradarbiavimo tikslui – apie 392,67 mln. </w:t>
            </w:r>
            <w:proofErr w:type="spellStart"/>
            <w:r w:rsidRPr="00633078">
              <w:t>litų.Lietuvoje</w:t>
            </w:r>
            <w:proofErr w:type="spellEnd"/>
            <w:r w:rsidRPr="00633078">
              <w:t xml:space="preserve"> 2014–2020 m. finansiniu laikotarpiu didelis dėmesys numatomas skirti į aukštą pridėtinę vertę orientuotai ekonomikai. Apie 10 proc. planuojama skirti mokslinių tyrimų, technologinės plėtros ir inovacijų skatinimui, apie 8 proc. – smulkių ir vidutinių įmonių skatinimui. Tikimasi, kad investicijos į technologinę plėtrą bei inovacijų skatinimą prisidės prie sąlygų vietinių ir užsienio investicijų pritraukimui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633078" w:rsidRDefault="00633078" w:rsidP="00024FB3">
            <w:pPr>
              <w:pStyle w:val="prastasiniatinklio"/>
              <w:shd w:val="clear" w:color="auto" w:fill="FFFFFF"/>
              <w:spacing w:before="0" w:beforeAutospacing="0" w:after="0" w:afterAutospacing="0"/>
              <w:ind w:firstLine="464"/>
              <w:jc w:val="both"/>
            </w:pPr>
            <w:r w:rsidRPr="00633078">
              <w:t>Veiksmų programoje numatyti šie investicijų prioritetai:</w:t>
            </w:r>
          </w:p>
          <w:p w:rsidR="00633078" w:rsidRPr="00633078" w:rsidRDefault="00633078" w:rsidP="00157664">
            <w:pPr>
              <w:numPr>
                <w:ilvl w:val="0"/>
                <w:numId w:val="15"/>
              </w:numPr>
              <w:shd w:val="clear" w:color="auto" w:fill="FFFFFF"/>
              <w:tabs>
                <w:tab w:val="clear" w:pos="720"/>
                <w:tab w:val="num" w:pos="464"/>
              </w:tabs>
              <w:ind w:hanging="540"/>
            </w:pPr>
            <w:r w:rsidRPr="00633078">
              <w:t>Mokslinių tyrimų, eksperimentinės plėtros ir inovacijų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Informacinės visuomenės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Smulkiojo ir vidutinio verslo konkurencingumo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Energijos efektyvumo ir atsinaujinančių išteklių energijos gamybos ir naudojimo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Aplinkosauga, gamtos išteklių darnus naudojimas ir prisitaikymas prie klimato kaitos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Darniojo transporto, pagrindinių tinklų infrastruktūros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Kokybiško užimtumo ir dalyvavimo darbo rinkoje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 xml:space="preserve">Socialinės </w:t>
            </w:r>
            <w:proofErr w:type="spellStart"/>
            <w:r w:rsidRPr="00633078">
              <w:t>įtraukties</w:t>
            </w:r>
            <w:proofErr w:type="spellEnd"/>
            <w:r w:rsidRPr="00633078">
              <w:t xml:space="preserve"> didinimas ir kova su skurdu</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Visuomenės švietimas ir žmogiškųjų išteklių potencialo didinimas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Visuomenės poreikius atitinkantis ir pažangus viešasis valdymas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Techninė parama.</w:t>
            </w:r>
          </w:p>
          <w:p w:rsidR="00BE0EE6" w:rsidRPr="00BE0EE6" w:rsidRDefault="00BE0EE6" w:rsidP="00157664">
            <w:pPr>
              <w:ind w:firstLine="464"/>
              <w:jc w:val="both"/>
            </w:pPr>
            <w:r w:rsidRPr="00BE0EE6">
              <w:rPr>
                <w:shd w:val="clear" w:color="auto" w:fill="FFFFFF"/>
              </w:rPr>
              <w:t>2014–2020 m. laikotarpiu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BE0EE6">
              <w:t xml:space="preserve"> </w:t>
            </w:r>
          </w:p>
          <w:p w:rsidR="00CF0C72" w:rsidRDefault="00CF0C72" w:rsidP="00157664">
            <w:pPr>
              <w:ind w:firstLine="464"/>
              <w:jc w:val="both"/>
            </w:pPr>
            <w:r w:rsidRPr="009B6B38">
              <w:t xml:space="preserve">Vienas iš pagrindinių dokumentų, kurio pagrindu Lietuvoje </w:t>
            </w:r>
            <w:r w:rsidR="00BE0EE6">
              <w:t xml:space="preserve">parengti </w:t>
            </w:r>
            <w:r w:rsidRPr="009B6B38">
              <w:t>2014–2020 m. ES struktūrinės paramos programavimo dokumenta</w:t>
            </w:r>
            <w:r w:rsidR="00BE0EE6">
              <w:t>i</w:t>
            </w:r>
            <w:r w:rsidRPr="009B6B38">
              <w:t xml:space="preserve"> (Partnerystės sutartis ir veiksmų programa) yra </w:t>
            </w:r>
            <w:r w:rsidR="007A747A">
              <w:br/>
              <w:t>2014–2020 m. n</w:t>
            </w:r>
            <w:r w:rsidR="007A747A" w:rsidRPr="00DD5A97">
              <w:t>acionalinės pažangos programa</w:t>
            </w:r>
            <w:r w:rsidR="007A747A">
              <w:t>, patvirtinta</w:t>
            </w:r>
            <w:r w:rsidR="007A747A" w:rsidRPr="007A747A">
              <w:t xml:space="preserve"> </w:t>
            </w:r>
            <w:r w:rsidRPr="009B6B38">
              <w:t xml:space="preserve">Lietuvos Respublikos Vyriausybės </w:t>
            </w:r>
            <w:r w:rsidR="00F875F5">
              <w:br/>
            </w:r>
            <w:r w:rsidR="007A747A" w:rsidRPr="00DD5A97">
              <w:t xml:space="preserve">2012 m. lapkričio 28 d. </w:t>
            </w:r>
            <w:r w:rsidRPr="009B6B38">
              <w:t>nutarimu Nr. 1482</w:t>
            </w:r>
            <w:r w:rsidR="00937719">
              <w:t xml:space="preserve"> „</w:t>
            </w:r>
            <w:hyperlink r:id="rId7" w:tgtFrame="FTurinys" w:history="1">
              <w:r w:rsidR="00F839B0" w:rsidRPr="00F839B0">
                <w:rPr>
                  <w:rStyle w:val="Hipersaitas"/>
                  <w:color w:val="auto"/>
                  <w:u w:val="none"/>
                </w:rPr>
                <w:t>Dėl 2014–2020 metų nacionalinės pažangos programos patvirtinimo</w:t>
              </w:r>
            </w:hyperlink>
            <w:r w:rsidR="00F839B0">
              <w:t>“</w:t>
            </w:r>
            <w:r w:rsidR="007A747A">
              <w:t>.</w:t>
            </w:r>
            <w:r w:rsidRPr="009B6B38">
              <w:t xml:space="preserve"> </w:t>
            </w:r>
          </w:p>
          <w:p w:rsidR="00BE0EE6" w:rsidRPr="00BE0EE6" w:rsidRDefault="00BE0EE6" w:rsidP="00157664">
            <w:pPr>
              <w:ind w:firstLine="464"/>
              <w:jc w:val="both"/>
              <w:rPr>
                <w:lang w:eastAsia="ar-SA"/>
              </w:rPr>
            </w:pPr>
            <w:r w:rsidRPr="00BE0EE6">
              <w:rPr>
                <w:shd w:val="clear" w:color="auto" w:fill="FFFFFF"/>
              </w:rPr>
              <w:t>Pagal Lietuvos partnerystės sutartį rengiamos trys veiksmų programos:</w:t>
            </w:r>
            <w:r w:rsidRPr="00BE0EE6">
              <w:t xml:space="preserve"> </w:t>
            </w:r>
            <w:hyperlink r:id="rId8" w:tgtFrame="_blank" w:history="1">
              <w:r w:rsidRPr="00BE0EE6">
                <w:rPr>
                  <w:shd w:val="clear" w:color="auto" w:fill="F7F7F7"/>
                </w:rPr>
                <w:t>2014–2020 m. ES fondų investicijų veiksmų programa</w:t>
              </w:r>
            </w:hyperlink>
            <w:r w:rsidRPr="00BE0EE6">
              <w:t xml:space="preserve">, </w:t>
            </w:r>
            <w:hyperlink r:id="rId9" w:tgtFrame="_blank" w:history="1">
              <w:r w:rsidRPr="00BE0EE6">
                <w:t>Lietuvos 2014–2020 m. kaimo plėtros programa</w:t>
              </w:r>
            </w:hyperlink>
            <w:r w:rsidRPr="00BE0EE6">
              <w:t xml:space="preserve"> ir </w:t>
            </w:r>
            <w:r w:rsidRPr="00BE0EE6">
              <w:rPr>
                <w:shd w:val="clear" w:color="auto" w:fill="F7F7F7"/>
              </w:rPr>
              <w:t>Žuvininkystės sektoriaus veiksmų programa.</w:t>
            </w:r>
          </w:p>
          <w:p w:rsidR="001942C4" w:rsidRDefault="001942C4" w:rsidP="00B0431B">
            <w:pPr>
              <w:pStyle w:val="Antrats"/>
              <w:tabs>
                <w:tab w:val="clear" w:pos="4320"/>
                <w:tab w:val="clear" w:pos="8640"/>
              </w:tabs>
              <w:ind w:firstLine="720"/>
              <w:jc w:val="both"/>
              <w:rPr>
                <w:u w:val="single"/>
              </w:rPr>
            </w:pPr>
          </w:p>
          <w:p w:rsidR="00B0431B" w:rsidRDefault="009A5788" w:rsidP="00B0431B">
            <w:pPr>
              <w:pStyle w:val="Antrats"/>
              <w:tabs>
                <w:tab w:val="clear" w:pos="4320"/>
                <w:tab w:val="clear" w:pos="8640"/>
              </w:tabs>
              <w:ind w:firstLine="720"/>
              <w:jc w:val="both"/>
              <w:rPr>
                <w:u w:val="single"/>
              </w:rPr>
            </w:pPr>
            <w:r w:rsidRPr="00A97EBC">
              <w:rPr>
                <w:u w:val="single"/>
              </w:rPr>
              <w:t>Investicijos</w:t>
            </w:r>
          </w:p>
          <w:p w:rsidR="00F80CF5" w:rsidRDefault="00F80CF5" w:rsidP="00F80CF5">
            <w:pPr>
              <w:pStyle w:val="Antrats"/>
              <w:ind w:firstLine="747"/>
              <w:jc w:val="both"/>
            </w:pPr>
            <w:r>
              <w:t xml:space="preserve">2014 m. pirmą ketvirtį tiesioginių užsienio investicijų (TUI) srautas į Lietuvą buvo neigiamas, tačiau Lietuvos tiesioginės investicijos (TI) užsienyje didėjo, skelbia Lietuvos bankas ir Lietuvos statistikos departamentas. </w:t>
            </w:r>
          </w:p>
          <w:p w:rsidR="00F80CF5" w:rsidRDefault="00F80CF5" w:rsidP="00F80CF5">
            <w:pPr>
              <w:pStyle w:val="Antrats"/>
              <w:ind w:firstLine="747"/>
              <w:jc w:val="both"/>
            </w:pPr>
            <w:r>
              <w:t xml:space="preserve">Išankstiniais duomenimis, 2014 m. pirmą ketvirtį TUI srautas Lietuvoje sudarė 291,8 mln. litų, t. y. investicijos Lietuvoje mažėjo. Šį TUI nutekėjimą lėmė 742,8 mln. litų mažėjusios investicijos į skolos priemones. Palyginti su 2013 m. pirmuoju ketvirčiu, TUI srauto neigiamas pokytis buvo beveik 1 mlrd. litų. </w:t>
            </w:r>
          </w:p>
          <w:p w:rsidR="00F80CF5" w:rsidRDefault="00F80CF5" w:rsidP="00C11C06">
            <w:pPr>
              <w:pStyle w:val="Antrats"/>
              <w:ind w:firstLine="720"/>
              <w:jc w:val="both"/>
            </w:pPr>
            <w:r>
              <w:t>2014 m. pirmą ketvirtį Lietuvoje sparčiausiai didėjo Švedijos (466,8 mln. Lt), Didžiosios</w:t>
            </w:r>
            <w:r w:rsidR="00C11C06">
              <w:t xml:space="preserve"> </w:t>
            </w:r>
            <w:r>
              <w:t>Britanijos (164,1 mln. Lt) ir Estijos (114,8 mln. Lt) TUI, o daugiausia mažėjo Danijos</w:t>
            </w:r>
            <w:r w:rsidR="00CA1553">
              <w:t xml:space="preserve"> </w:t>
            </w:r>
            <w:r>
              <w:t>(–618,3 mln. Lt), Lenkijos (–408,1 mln. Lt) ir Vokietijos (–116,3 mln. Lt) TUI.</w:t>
            </w:r>
          </w:p>
          <w:p w:rsidR="00F80CF5" w:rsidRDefault="00F80CF5" w:rsidP="00F80CF5">
            <w:pPr>
              <w:pStyle w:val="Antrats"/>
              <w:ind w:firstLine="720"/>
              <w:jc w:val="both"/>
            </w:pPr>
            <w:r>
              <w:t>Per pirmą ketvirtį daugiausia investuota į didmeninę ir mažmeninę prekybą, variklinių transporto priemonių ir motociklų remontą (130,6 mln. Lt), nekilnojamojo turto operacijų veiklą</w:t>
            </w:r>
            <w:r w:rsidR="00CA1553">
              <w:t xml:space="preserve"> </w:t>
            </w:r>
            <w:r>
              <w:t xml:space="preserve"> (55,7 mln. Lt), o labiausiai mažėjo investicijos į finansinę ir draudimo veiklą (–491,7 mln. Lt).</w:t>
            </w:r>
          </w:p>
          <w:p w:rsidR="00F80CF5" w:rsidRDefault="00F80CF5" w:rsidP="00F80CF5">
            <w:pPr>
              <w:pStyle w:val="Antrats"/>
              <w:ind w:firstLine="720"/>
              <w:jc w:val="both"/>
            </w:pPr>
            <w:r>
              <w:lastRenderedPageBreak/>
              <w:t xml:space="preserve">Vienam šalies gyventojui vidutiniškai teko 14 555 litai (4 215 eurų) TUI (2013 m. gruodžio </w:t>
            </w:r>
            <w:r w:rsidR="00CA1553">
              <w:t xml:space="preserve">      </w:t>
            </w:r>
            <w:r>
              <w:t xml:space="preserve">31 d. – 14 537 Lt, arba 4 210 eurų). 2014 m. kovo 31 d. duomenimis, Lietuvoje daugiausia yra investavę šių šalių investuotojai: Švedijos – 10,7 mlrd. litų (25 proc.), Vokietijos – 4,3 mlrd. litų (10 proc.), Lenkijos – 3,9 mlrd. litų (9,2 proc.), Nyderlandų – 3,8 mlrd. litų (8,8 proc. ), Norvegijos – 2,6 mlrd. litų (6,2 proc.) ir Estijos – 2,2 mlrd. litų (5,2 proc. visų TUI). </w:t>
            </w:r>
          </w:p>
          <w:p w:rsidR="00F80CF5" w:rsidRDefault="00590E16" w:rsidP="00590E16">
            <w:pPr>
              <w:pStyle w:val="Antrats"/>
              <w:ind w:firstLine="720"/>
              <w:jc w:val="both"/>
            </w:pPr>
            <w:r>
              <w:t xml:space="preserve">Lietuvos banko ir Statistikos departamento </w:t>
            </w:r>
            <w:r w:rsidR="00F80CF5">
              <w:t>2014 m. kovo 31 d. duomenimis, daugiausia investuota į apdirbamąją gamybą – 24,5 procento,</w:t>
            </w:r>
            <w:r>
              <w:t xml:space="preserve"> </w:t>
            </w:r>
            <w:r w:rsidR="00F80CF5">
              <w:t>finansinę ir draudimo veiklą – 22,6, nekilnojamojo turto operacijų veiklą – 13,1, didmeninę ir mažmeninę prekybą, variklinių transporto priemonių ir motociklų remontą – 10,7, informacijos ir ryšių veiklą – 9,7 procento visų TUI. Iš apdirbamosios gamybos daugiausia investuota į rafinuotų naftos, chemijos ir farmacinių preparatų gamybą – 6,1 mlrd. litų (58,2 proc. visų apdirbamosios gamybos TUI) ir maisto produktų, gėrimų ir tabako gaminių gamybą – 1,1 mlrd. litų (10,3 proc.).</w:t>
            </w:r>
          </w:p>
          <w:p w:rsidR="009A5788" w:rsidRPr="00A97EBC" w:rsidRDefault="002158B6" w:rsidP="00F80CF5">
            <w:pPr>
              <w:pStyle w:val="Antrats"/>
              <w:ind w:firstLine="747"/>
              <w:jc w:val="both"/>
            </w:pPr>
            <w:r w:rsidRPr="001860E3">
              <w:t>Panevėžio rajone</w:t>
            </w:r>
            <w:r w:rsidR="00A72931" w:rsidRPr="001860E3">
              <w:t xml:space="preserve"> </w:t>
            </w:r>
            <w:r w:rsidR="009A5788" w:rsidRPr="001860E3">
              <w:t>šalia Ramygalos esančios</w:t>
            </w:r>
            <w:r w:rsidR="00FD71BC" w:rsidRPr="001860E3">
              <w:t xml:space="preserve"> </w:t>
            </w:r>
            <w:r w:rsidR="00D80D32" w:rsidRPr="001860E3">
              <w:t>12</w:t>
            </w:r>
            <w:r w:rsidR="00FD71BC" w:rsidRPr="001860E3">
              <w:t>,4 h</w:t>
            </w:r>
            <w:r w:rsidR="00FC04A8">
              <w:t>a</w:t>
            </w:r>
            <w:r w:rsidR="00FD71BC" w:rsidRPr="001860E3">
              <w:t xml:space="preserve"> valstybinės žemės </w:t>
            </w:r>
            <w:r w:rsidR="00CA3553" w:rsidRPr="001860E3">
              <w:t>paverstos</w:t>
            </w:r>
            <w:r w:rsidR="009A5788" w:rsidRPr="001860E3">
              <w:t xml:space="preserve"> pramonei tinkamais sklypais su visa reikia</w:t>
            </w:r>
            <w:r w:rsidR="00FD71BC" w:rsidRPr="001860E3">
              <w:t>ma infrastruktūra</w:t>
            </w:r>
            <w:r w:rsidR="00CA3553" w:rsidRPr="001860E3">
              <w:t>.</w:t>
            </w:r>
            <w:r w:rsidR="00CC34FF" w:rsidRPr="001860E3">
              <w:t xml:space="preserve"> Verslui vystyti pritaikytų sklypų atsiradimas daro teritoriją patrauklesnę investuotojams ir pagyvina ekonominę aplinką.</w:t>
            </w:r>
            <w:r w:rsidR="00CC34FF" w:rsidRPr="00CC34FF">
              <w:t xml:space="preserve"> </w:t>
            </w:r>
            <w:r w:rsidR="00CA3553" w:rsidRPr="00CC34FF">
              <w:t xml:space="preserve"> </w:t>
            </w:r>
          </w:p>
          <w:p w:rsidR="009A5788" w:rsidRPr="00A97EBC" w:rsidRDefault="009A5788">
            <w:pPr>
              <w:ind w:firstLine="709"/>
              <w:jc w:val="both"/>
              <w:rPr>
                <w:u w:val="single"/>
              </w:rPr>
            </w:pPr>
          </w:p>
          <w:p w:rsidR="009A5788" w:rsidRPr="00197E9C" w:rsidRDefault="005728C0">
            <w:pPr>
              <w:ind w:firstLine="709"/>
              <w:jc w:val="both"/>
              <w:rPr>
                <w:u w:val="single"/>
              </w:rPr>
            </w:pPr>
            <w:r w:rsidRPr="00197E9C">
              <w:rPr>
                <w:u w:val="single"/>
              </w:rPr>
              <w:t>Verslas</w:t>
            </w:r>
            <w:r w:rsidR="00197E9C" w:rsidRPr="00197E9C">
              <w:rPr>
                <w:u w:val="single"/>
              </w:rPr>
              <w:t>, pramonė</w:t>
            </w:r>
          </w:p>
          <w:p w:rsidR="0092430B" w:rsidRPr="00197E9C" w:rsidRDefault="0092430B">
            <w:pPr>
              <w:ind w:firstLine="709"/>
              <w:jc w:val="both"/>
            </w:pPr>
            <w:r w:rsidRPr="00197E9C">
              <w:t xml:space="preserve">Panevėžio rajone prioritetinės žemės ūkio veiklos šakos yra javų, rapsų auginimas. </w:t>
            </w:r>
            <w:r w:rsidR="00EF4A04" w:rsidRPr="00956E43">
              <w:t xml:space="preserve">Rajone yra  įregistruota 2114 ūkininkų ūkių ir veikia </w:t>
            </w:r>
            <w:r w:rsidR="00956E43" w:rsidRPr="00956E43">
              <w:t>daugiau nei 2</w:t>
            </w:r>
            <w:r w:rsidR="00EF4A04" w:rsidRPr="00956E43">
              <w:t xml:space="preserve">0 žemės ūkio įmonių, stambiausios </w:t>
            </w:r>
            <w:r w:rsidR="00956E43" w:rsidRPr="00956E43">
              <w:t xml:space="preserve">iš jų </w:t>
            </w:r>
            <w:r w:rsidR="00EF4A04" w:rsidRPr="00956E43">
              <w:t>yra</w:t>
            </w:r>
            <w:r w:rsidR="00956E43" w:rsidRPr="00956E43">
              <w:t xml:space="preserve"> UAB „Krekenava“, </w:t>
            </w:r>
            <w:proofErr w:type="spellStart"/>
            <w:r w:rsidR="00956E43" w:rsidRPr="00956E43">
              <w:t>Žibartonių</w:t>
            </w:r>
            <w:proofErr w:type="spellEnd"/>
            <w:r w:rsidR="00956E43" w:rsidRPr="00956E43">
              <w:t>, Ėriškių ir Jotainių žemės ūkio bendrovės</w:t>
            </w:r>
            <w:r w:rsidR="00EF4A04" w:rsidRPr="00956E43">
              <w:t>.</w:t>
            </w:r>
            <w:r w:rsidR="00EF4A04">
              <w:t xml:space="preserve"> </w:t>
            </w:r>
            <w:r w:rsidRPr="00197E9C">
              <w:t>Nors augalininkystė – didžiausias rajono ūkininkų pajam</w:t>
            </w:r>
            <w:r w:rsidR="00CD2528">
              <w:t>ų šaltinis, rajone užauginama</w:t>
            </w:r>
            <w:r w:rsidRPr="00197E9C">
              <w:t xml:space="preserve"> daug bulvių, vaisių, uogų, plėtojama ekologinė žemdirbystė. Rajone plėtojamos ir netradicinės ūkio šakos: kailinių žvėrelių, sraigių, sliekų, danielių, tauriųjų elnių ir alpakų auginimas, yra ir vaistažolių augintojų.</w:t>
            </w:r>
          </w:p>
          <w:p w:rsidR="0092430B" w:rsidRPr="00197E9C" w:rsidRDefault="0092430B">
            <w:pPr>
              <w:ind w:firstLine="709"/>
              <w:jc w:val="both"/>
            </w:pPr>
            <w:r w:rsidRPr="00197E9C">
              <w:t>Svarbiausios pramonės produkcijos rūšys: medienos ir baldų gamyba, mėsos, duonos ir pyrag</w:t>
            </w:r>
            <w:r w:rsidR="00FC04A8">
              <w:t>o</w:t>
            </w:r>
            <w:r w:rsidRPr="00197E9C">
              <w:t xml:space="preserve"> gaminių gamyba.</w:t>
            </w:r>
            <w:r w:rsidR="00CD2528">
              <w:t xml:space="preserve"> </w:t>
            </w:r>
            <w:r w:rsidRPr="00EF1DEB">
              <w:t xml:space="preserve">Rajone </w:t>
            </w:r>
            <w:r w:rsidR="00CD2528">
              <w:t>veikia</w:t>
            </w:r>
            <w:r w:rsidRPr="00EF1DEB">
              <w:t xml:space="preserve"> tokios didelės</w:t>
            </w:r>
            <w:r w:rsidRPr="00197E9C">
              <w:t xml:space="preserve"> ir žinomos įmonės kaip „Linas </w:t>
            </w:r>
            <w:proofErr w:type="spellStart"/>
            <w:r w:rsidRPr="00197E9C">
              <w:t>Agro</w:t>
            </w:r>
            <w:proofErr w:type="spellEnd"/>
            <w:r w:rsidRPr="00197E9C">
              <w:t xml:space="preserve"> Group“, „Palink</w:t>
            </w:r>
            <w:r w:rsidRPr="00EF1DEB">
              <w:t>“,</w:t>
            </w:r>
            <w:r w:rsidR="00EF1DEB" w:rsidRPr="00EF1DEB">
              <w:t xml:space="preserve"> A. Povilausko įmonė „</w:t>
            </w:r>
            <w:proofErr w:type="spellStart"/>
            <w:r w:rsidR="00EF1DEB" w:rsidRPr="00EF1DEB">
              <w:t>Kadex</w:t>
            </w:r>
            <w:proofErr w:type="spellEnd"/>
            <w:r w:rsidR="00EF1DEB" w:rsidRPr="00EF1DEB">
              <w:t xml:space="preserve">“, UAB „Raguvos baldai“ ir ko, </w:t>
            </w:r>
            <w:r w:rsidRPr="00EF1DEB">
              <w:t>žuvies perdirbimo įmonė „</w:t>
            </w:r>
            <w:proofErr w:type="spellStart"/>
            <w:r w:rsidRPr="00EF1DEB">
              <w:t>Grundalas</w:t>
            </w:r>
            <w:proofErr w:type="spellEnd"/>
            <w:r w:rsidRPr="00EF1DEB">
              <w:t>“, AB „</w:t>
            </w:r>
            <w:proofErr w:type="spellStart"/>
            <w:r w:rsidRPr="00EF1DEB">
              <w:t>Dembavos</w:t>
            </w:r>
            <w:proofErr w:type="spellEnd"/>
            <w:r w:rsidRPr="00EF1DEB">
              <w:t xml:space="preserve"> medelynas“, popieriaus i</w:t>
            </w:r>
            <w:r w:rsidRPr="00197E9C">
              <w:t>r jo gaminių įmonė UAB „</w:t>
            </w:r>
            <w:proofErr w:type="spellStart"/>
            <w:r w:rsidRPr="00197E9C">
              <w:t>Eseira</w:t>
            </w:r>
            <w:proofErr w:type="spellEnd"/>
            <w:r w:rsidRPr="00197E9C">
              <w:t>“, dailiosios keramikos gaminių gamintoja „</w:t>
            </w:r>
            <w:proofErr w:type="spellStart"/>
            <w:r w:rsidRPr="00197E9C">
              <w:t>Midenė</w:t>
            </w:r>
            <w:proofErr w:type="spellEnd"/>
            <w:r w:rsidRPr="00197E9C">
              <w:t xml:space="preserve">“, </w:t>
            </w:r>
            <w:r w:rsidR="00CD2528">
              <w:t>či</w:t>
            </w:r>
            <w:r w:rsidR="00FC04A8">
              <w:t>u</w:t>
            </w:r>
            <w:r w:rsidR="00CD2528">
              <w:t>žinių</w:t>
            </w:r>
            <w:r w:rsidRPr="00197E9C">
              <w:t xml:space="preserve"> gamybos bendrovė „</w:t>
            </w:r>
            <w:proofErr w:type="spellStart"/>
            <w:r w:rsidRPr="00197E9C">
              <w:t>Dominari</w:t>
            </w:r>
            <w:proofErr w:type="spellEnd"/>
            <w:r w:rsidRPr="00197E9C">
              <w:t xml:space="preserve">“. </w:t>
            </w:r>
          </w:p>
          <w:p w:rsidR="00DB3611" w:rsidRDefault="00DB3611">
            <w:pPr>
              <w:pStyle w:val="Pagrindinistekstas"/>
              <w:spacing w:after="0"/>
              <w:ind w:firstLine="709"/>
              <w:jc w:val="both"/>
              <w:rPr>
                <w:u w:val="single"/>
              </w:rPr>
            </w:pPr>
          </w:p>
          <w:p w:rsidR="009A5788" w:rsidRDefault="009A5788">
            <w:pPr>
              <w:pStyle w:val="Pagrindinistekstas"/>
              <w:spacing w:after="0"/>
              <w:ind w:firstLine="709"/>
              <w:jc w:val="both"/>
              <w:rPr>
                <w:u w:val="single"/>
              </w:rPr>
            </w:pPr>
            <w:r>
              <w:rPr>
                <w:u w:val="single"/>
              </w:rPr>
              <w:t>Turizmas</w:t>
            </w:r>
          </w:p>
          <w:p w:rsidR="00A65C04" w:rsidRDefault="00A65C04" w:rsidP="002223B1">
            <w:pPr>
              <w:pStyle w:val="Pagrindinistekstas"/>
              <w:spacing w:after="0"/>
              <w:ind w:firstLine="709"/>
              <w:jc w:val="both"/>
            </w:pPr>
            <w:r>
              <w:t>Statistikos departamento duomenimis</w:t>
            </w:r>
            <w:r w:rsidR="00FC04A8">
              <w:t>,</w:t>
            </w:r>
            <w:r>
              <w:t xml:space="preserve"> </w:t>
            </w:r>
            <w:r w:rsidR="007466E6">
              <w:t>apgyvendintų turistų skaičius 2014</w:t>
            </w:r>
            <w:r>
              <w:t xml:space="preserve"> m.</w:t>
            </w:r>
            <w:r w:rsidR="007466E6">
              <w:t xml:space="preserve"> pirmą pusmetį</w:t>
            </w:r>
            <w:r>
              <w:t xml:space="preserve"> </w:t>
            </w:r>
            <w:r w:rsidR="007466E6">
              <w:t>buvo 3,2 tūkst., 900 turistų daugiau nei 2013 m. tuo pačiu laikotarpiu.</w:t>
            </w:r>
          </w:p>
          <w:p w:rsidR="00A65C04" w:rsidRDefault="00A65C04" w:rsidP="002223B1">
            <w:pPr>
              <w:pStyle w:val="Pagrindinistekstas"/>
              <w:spacing w:after="0"/>
              <w:ind w:firstLine="709"/>
              <w:jc w:val="both"/>
            </w:pPr>
            <w:r>
              <w:t xml:space="preserve">Kitas svarbus rodiklis, nusakantis turizmo tendencijas, yra apgyvendinimo įstaigų užimtumas. Statistikos departamento prie Lietuvos Respublikos Vyriausybės duomenimis, </w:t>
            </w:r>
            <w:r w:rsidR="007466E6">
              <w:t>2014</w:t>
            </w:r>
            <w:r>
              <w:t xml:space="preserve"> m. </w:t>
            </w:r>
            <w:r w:rsidR="007466E6">
              <w:t xml:space="preserve">pirmą pusmetį </w:t>
            </w:r>
            <w:r>
              <w:t>Panevėžio rajone veikiančių apgyvendinimo įstaigų</w:t>
            </w:r>
            <w:r w:rsidR="007466E6">
              <w:t xml:space="preserve"> numerių</w:t>
            </w:r>
            <w:r>
              <w:t xml:space="preserve"> užimtumas sudarė</w:t>
            </w:r>
            <w:r w:rsidR="00CA1553">
              <w:t xml:space="preserve"> </w:t>
            </w:r>
            <w:r w:rsidR="007466E6">
              <w:t>14,2 proc.</w:t>
            </w:r>
          </w:p>
          <w:p w:rsidR="00AF2487" w:rsidRPr="005C29E3" w:rsidRDefault="00AF2487" w:rsidP="00AF2487">
            <w:pPr>
              <w:pStyle w:val="Pagrindinistekstas"/>
              <w:spacing w:after="0"/>
              <w:ind w:firstLine="709"/>
              <w:jc w:val="both"/>
            </w:pPr>
            <w:r>
              <w:t xml:space="preserve">Vertingi išskirtiniai rajono turizmo objektai – </w:t>
            </w:r>
            <w:proofErr w:type="spellStart"/>
            <w:r>
              <w:t>Bistrampolio</w:t>
            </w:r>
            <w:proofErr w:type="spellEnd"/>
            <w:r>
              <w:t xml:space="preserve"> dvaro </w:t>
            </w:r>
            <w:r w:rsidRPr="005C29E3">
              <w:t>sodybos ansamblis</w:t>
            </w:r>
            <w:r>
              <w:t xml:space="preserve">, Siaurojo geležinkelio kompleksas, Upytės </w:t>
            </w:r>
            <w:r w:rsidR="00FC04A8">
              <w:t xml:space="preserve">tradicinių </w:t>
            </w:r>
            <w:r>
              <w:t>amatų centras,</w:t>
            </w:r>
            <w:r w:rsidR="005F0D28">
              <w:t xml:space="preserve"> Krekenavos regioninis parkas,</w:t>
            </w:r>
            <w:r>
              <w:t xml:space="preserve"> </w:t>
            </w:r>
            <w:r w:rsidR="00FC04A8">
              <w:t>K</w:t>
            </w:r>
            <w:r>
              <w:t xml:space="preserve">alėdinių žaisliukų muziejus Miežiškiuose </w:t>
            </w:r>
            <w:r w:rsidRPr="005C29E3">
              <w:t>ir daugelis kitų objektų</w:t>
            </w:r>
            <w:r w:rsidR="00FC04A8">
              <w:t>,</w:t>
            </w:r>
            <w:r w:rsidRPr="005C29E3">
              <w:t xml:space="preserve"> pritaikytų turizmui bei jų lankymui.</w:t>
            </w:r>
          </w:p>
          <w:p w:rsidR="002223B1" w:rsidRDefault="00173B99" w:rsidP="002223B1">
            <w:pPr>
              <w:pStyle w:val="Pagrindinistekstas"/>
              <w:spacing w:after="0"/>
              <w:ind w:firstLine="709"/>
              <w:jc w:val="both"/>
            </w:pPr>
            <w:r>
              <w:t>Šiuo metu rajone yra 239 kultūros paveldo objekt</w:t>
            </w:r>
            <w:r w:rsidR="00FC04A8">
              <w:t>ai</w:t>
            </w:r>
            <w:r>
              <w:t xml:space="preserve">: 58 iš jų pripažinti valstybės saugomais, </w:t>
            </w:r>
            <w:r w:rsidR="00CA1553">
              <w:t xml:space="preserve">     </w:t>
            </w:r>
            <w:r>
              <w:t>181 įrašyt</w:t>
            </w:r>
            <w:r w:rsidR="00FC04A8">
              <w:t>as</w:t>
            </w:r>
            <w:r>
              <w:t xml:space="preserve"> į Lietuvos Respublikos nekilnojamųjų kultūros vertybių registrą. </w:t>
            </w:r>
          </w:p>
          <w:p w:rsidR="00AF2487" w:rsidRDefault="00AF2487" w:rsidP="002223B1">
            <w:pPr>
              <w:pStyle w:val="Pagrindinistekstas"/>
              <w:spacing w:after="0"/>
              <w:ind w:firstLine="709"/>
              <w:jc w:val="both"/>
            </w:pPr>
          </w:p>
          <w:p w:rsidR="002223B1" w:rsidRPr="003C30C8" w:rsidRDefault="002223B1" w:rsidP="002223B1">
            <w:pPr>
              <w:pStyle w:val="Pagrindinistekstas"/>
              <w:spacing w:after="0"/>
              <w:ind w:firstLine="709"/>
              <w:jc w:val="both"/>
              <w:rPr>
                <w:bCs/>
                <w:u w:val="single"/>
              </w:rPr>
            </w:pPr>
            <w:r w:rsidRPr="003C30C8">
              <w:rPr>
                <w:bCs/>
                <w:u w:val="single"/>
              </w:rPr>
              <w:t>Susisiekimas</w:t>
            </w:r>
          </w:p>
          <w:p w:rsidR="00BA2A84" w:rsidRDefault="002223B1" w:rsidP="00BA2A84">
            <w:pPr>
              <w:pStyle w:val="Pagrindinistekstas"/>
              <w:spacing w:after="0"/>
              <w:ind w:firstLine="709"/>
              <w:jc w:val="both"/>
            </w:pPr>
            <w:r>
              <w:t xml:space="preserve">Panevėžio rajono teritoriją </w:t>
            </w:r>
            <w:r w:rsidR="00FC04A8">
              <w:t>š</w:t>
            </w:r>
            <w:r>
              <w:t>iaurės–</w:t>
            </w:r>
            <w:r w:rsidR="00FC04A8">
              <w:t>p</w:t>
            </w:r>
            <w:r>
              <w:t xml:space="preserve">ietų kryptimi kerta I </w:t>
            </w:r>
            <w:proofErr w:type="spellStart"/>
            <w:r>
              <w:t>transeuropinis</w:t>
            </w:r>
            <w:proofErr w:type="spellEnd"/>
            <w:r>
              <w:t xml:space="preserve"> transporto koridorius Via </w:t>
            </w:r>
            <w:proofErr w:type="spellStart"/>
            <w:r>
              <w:t>Baltica</w:t>
            </w:r>
            <w:proofErr w:type="spellEnd"/>
            <w:r>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esamas transporto priemonių eismas pagrindiniuose apskrities keliuose (automobilių ir geležinkelio) santykinai nėra didelis ir turi didelį pralaidumo rezervą. Panevėžio rajone yra 1 695,37 km kelių, iš jų asfaltuotų – </w:t>
            </w:r>
            <w:r w:rsidR="00BA2A84">
              <w:t>253,04</w:t>
            </w:r>
            <w:r>
              <w:t xml:space="preserve"> km, žvyruotų – </w:t>
            </w:r>
            <w:r w:rsidR="00BA2A84">
              <w:t>1 229,68</w:t>
            </w:r>
            <w:r>
              <w:t xml:space="preserve"> km, </w:t>
            </w:r>
            <w:proofErr w:type="spellStart"/>
            <w:r>
              <w:t>gruntkelių</w:t>
            </w:r>
            <w:proofErr w:type="spellEnd"/>
            <w:r>
              <w:t xml:space="preserve"> </w:t>
            </w:r>
            <w:r>
              <w:lastRenderedPageBreak/>
              <w:t>– 212,65 km. Jų eksploatacija brangiai kainuoja, be to, tam tikrais metų laikotarpiais jie tampa sunkiai išvažiuojami, nesaugūs, transporto sukeliamos dulkės teršia aplinką. Aktuali eismo saugumo problema.</w:t>
            </w:r>
          </w:p>
          <w:p w:rsidR="00BA2A84" w:rsidRDefault="00BA2A84" w:rsidP="00BA2A84">
            <w:pPr>
              <w:pStyle w:val="Pagrindinistekstas"/>
              <w:spacing w:after="0"/>
              <w:ind w:firstLine="709"/>
              <w:jc w:val="both"/>
              <w:rPr>
                <w:color w:val="000000"/>
              </w:rPr>
            </w:pPr>
            <w:r w:rsidRPr="00BA2A84">
              <w:t xml:space="preserve">Nacionalinėje susisiekimo plėtros 2014–2022 metų programoje, patvirtintoje Lietuvos Respublikos </w:t>
            </w:r>
            <w:r w:rsidRPr="00F839B0">
              <w:t>Vyriausybės 2013 m. gruodžio 18 d. nutarimu Nr. 1253</w:t>
            </w:r>
            <w:r w:rsidR="00F839B0">
              <w:t xml:space="preserve"> </w:t>
            </w:r>
            <w:r w:rsidR="00F839B0" w:rsidRPr="00F839B0">
              <w:t>„</w:t>
            </w:r>
            <w:hyperlink r:id="rId10" w:tgtFrame="FTurinys" w:history="1">
              <w:r w:rsidR="00F839B0" w:rsidRPr="00F839B0">
                <w:rPr>
                  <w:lang w:eastAsia="lt-LT"/>
                </w:rPr>
                <w:t>Dėl Nacionalinės susisiekimo plėtros 2014</w:t>
              </w:r>
              <w:r w:rsidR="00FC04A8">
                <w:rPr>
                  <w:lang w:eastAsia="lt-LT"/>
                </w:rPr>
                <w:t>–</w:t>
              </w:r>
              <w:r w:rsidR="00F839B0" w:rsidRPr="00F839B0">
                <w:rPr>
                  <w:lang w:eastAsia="lt-LT"/>
                </w:rPr>
                <w:t>2022 metų programos patvirtinimo</w:t>
              </w:r>
            </w:hyperlink>
            <w:r w:rsidR="00F839B0" w:rsidRPr="00F839B0">
              <w:rPr>
                <w:lang w:eastAsia="lt-LT"/>
              </w:rPr>
              <w:t>“</w:t>
            </w:r>
            <w:r w:rsidRPr="00BA2A84">
              <w:t>, numatyta</w:t>
            </w:r>
            <w:r w:rsidRPr="00BA2A84">
              <w:rPr>
                <w:rFonts w:ascii="Calibri" w:hAnsi="Calibri"/>
                <w:color w:val="000000"/>
                <w:sz w:val="20"/>
                <w:szCs w:val="20"/>
              </w:rPr>
              <w:t xml:space="preserve"> </w:t>
            </w:r>
            <w:r w:rsidRPr="00BA2A84">
              <w:rPr>
                <w:color w:val="000000"/>
              </w:rPr>
              <w:t xml:space="preserve">plėtoti ir modernizuoti </w:t>
            </w:r>
            <w:proofErr w:type="spellStart"/>
            <w:r w:rsidRPr="00BA2A84">
              <w:rPr>
                <w:color w:val="000000"/>
              </w:rPr>
              <w:t>transeuropinės</w:t>
            </w:r>
            <w:proofErr w:type="spellEnd"/>
            <w:r w:rsidRPr="00BA2A84">
              <w:rPr>
                <w:color w:val="000000"/>
              </w:rPr>
              <w:t>, valstybinės ir vietinės reikšmės kelių transporto infrastruktūrą</w:t>
            </w:r>
            <w:r w:rsidRPr="00BA2A84">
              <w:t xml:space="preserve"> (</w:t>
            </w:r>
            <w:r w:rsidRPr="00BA2A84">
              <w:rPr>
                <w:color w:val="000000"/>
              </w:rPr>
              <w:t>modernizuoti automagistrales, gerinti jung</w:t>
            </w:r>
            <w:r w:rsidR="00FC04A8">
              <w:rPr>
                <w:color w:val="000000"/>
              </w:rPr>
              <w:t>imąsi</w:t>
            </w:r>
            <w:r w:rsidRPr="00BA2A84">
              <w:rPr>
                <w:color w:val="000000"/>
              </w:rPr>
              <w:t xml:space="preserve"> su tarptautiniais koridoriais, toliau rekonstruoti krašto ir rajoninius kelius, plėtoti miestų ir miestelių aplinkkelius, diegti eismo saugos ir aplinkosaugos priemones).</w:t>
            </w:r>
          </w:p>
          <w:p w:rsidR="002223B1" w:rsidRDefault="002223B1" w:rsidP="00BA2A84">
            <w:pPr>
              <w:pStyle w:val="Pagrindinistekstas"/>
              <w:spacing w:after="0"/>
              <w:ind w:firstLine="709"/>
              <w:jc w:val="both"/>
            </w:pPr>
            <w:r>
              <w:t>Panevėžio mieste ir jo priemiesčiuose gerai iš</w:t>
            </w:r>
            <w:r w:rsidR="00FC04A8">
              <w:t>plėtot</w:t>
            </w:r>
            <w:r>
              <w:t>as dviračių takų tinklas – nenutrūkstamai galima dviračiu išvažiuoti iš miesto iki pagrindinių sodų bendrijų, poilsio zonų, magistralinių kelių. Rajone įrengti pėsčiųjų</w:t>
            </w:r>
            <w:r w:rsidR="00FC04A8">
              <w:t xml:space="preserve"> ir </w:t>
            </w:r>
            <w:r>
              <w:t>dviračių takai į Berčiūn</w:t>
            </w:r>
            <w:r w:rsidR="00FC04A8">
              <w:t>ų</w:t>
            </w:r>
            <w:r>
              <w:t>, Bernatoni</w:t>
            </w:r>
            <w:r w:rsidR="00FC04A8">
              <w:t>ų</w:t>
            </w:r>
            <w:r>
              <w:t>, Vaivad</w:t>
            </w:r>
            <w:r w:rsidR="00FC04A8">
              <w:t>ų</w:t>
            </w:r>
            <w:r>
              <w:t xml:space="preserve">, </w:t>
            </w:r>
            <w:proofErr w:type="spellStart"/>
            <w:r>
              <w:t>Velž</w:t>
            </w:r>
            <w:r w:rsidR="00FC04A8">
              <w:t>io</w:t>
            </w:r>
            <w:proofErr w:type="spellEnd"/>
            <w:r w:rsidR="00BA2A84">
              <w:t xml:space="preserve">, </w:t>
            </w:r>
            <w:proofErr w:type="spellStart"/>
            <w:r w:rsidR="00BA2A84">
              <w:t>Paliūnišk</w:t>
            </w:r>
            <w:r w:rsidR="00FC04A8">
              <w:t>io</w:t>
            </w:r>
            <w:proofErr w:type="spellEnd"/>
            <w:r w:rsidR="00FC04A8">
              <w:t xml:space="preserve"> k</w:t>
            </w:r>
            <w:r>
              <w:t>.</w:t>
            </w:r>
          </w:p>
          <w:p w:rsidR="002223B1" w:rsidRDefault="002223B1" w:rsidP="002223B1">
            <w:pPr>
              <w:jc w:val="both"/>
              <w:rPr>
                <w:b/>
                <w:bCs/>
                <w:u w:val="single"/>
              </w:rPr>
            </w:pPr>
          </w:p>
          <w:p w:rsidR="002223B1" w:rsidRPr="003C30C8" w:rsidRDefault="002223B1" w:rsidP="002223B1">
            <w:pPr>
              <w:ind w:firstLine="720"/>
              <w:jc w:val="both"/>
            </w:pPr>
            <w:r w:rsidRPr="003C30C8">
              <w:rPr>
                <w:bCs/>
                <w:u w:val="single"/>
              </w:rPr>
              <w:t>Inžinerinė infrastruktūra</w:t>
            </w:r>
          </w:p>
          <w:p w:rsidR="002223B1" w:rsidRDefault="002223B1" w:rsidP="002223B1">
            <w:pPr>
              <w:ind w:firstLine="720"/>
              <w:jc w:val="both"/>
            </w:pPr>
            <w:r>
              <w:t xml:space="preserve">Vandenvietėse išgaunamo vandens kokybė gera bakteriologiniu požiūriu, bet turi padidėjusį geležies kiekį, todėl geros kokybės vanduo tiekiamas tik ten, kur yra </w:t>
            </w:r>
            <w:proofErr w:type="spellStart"/>
            <w:r>
              <w:t>nugeležinimo</w:t>
            </w:r>
            <w:proofErr w:type="spellEnd"/>
            <w:r>
              <w:t xml:space="preserve"> įrenginiai (vandens gerinimo įrenginiai yra </w:t>
            </w:r>
            <w:proofErr w:type="spellStart"/>
            <w:r>
              <w:t>Velžio</w:t>
            </w:r>
            <w:proofErr w:type="spellEnd"/>
            <w:r>
              <w:t xml:space="preserve">, </w:t>
            </w:r>
            <w:proofErr w:type="spellStart"/>
            <w:r>
              <w:t>Liūdynės</w:t>
            </w:r>
            <w:proofErr w:type="spellEnd"/>
            <w:r>
              <w:t xml:space="preserve">, Šilų, Raguvos, </w:t>
            </w:r>
            <w:proofErr w:type="spellStart"/>
            <w:r>
              <w:t>Naujarodžių</w:t>
            </w:r>
            <w:proofErr w:type="spellEnd"/>
            <w:r>
              <w:t xml:space="preserve">, </w:t>
            </w:r>
            <w:proofErr w:type="spellStart"/>
            <w:r>
              <w:t>Užunevėžio</w:t>
            </w:r>
            <w:proofErr w:type="spellEnd"/>
            <w:r>
              <w:t xml:space="preserve">, Katinų, Berniūnų, </w:t>
            </w:r>
            <w:proofErr w:type="spellStart"/>
            <w:r>
              <w:t>Daniūnų</w:t>
            </w:r>
            <w:proofErr w:type="spellEnd"/>
            <w:r>
              <w:t xml:space="preserve">, </w:t>
            </w:r>
            <w:proofErr w:type="spellStart"/>
            <w:r>
              <w:t>Liber</w:t>
            </w:r>
            <w:r w:rsidR="00BA2A84">
              <w:t>iškio</w:t>
            </w:r>
            <w:proofErr w:type="spellEnd"/>
            <w:r w:rsidR="00BA2A84">
              <w:t xml:space="preserve">, Mikėnų, Nevėžio, Smilgių, Vadoklių, </w:t>
            </w:r>
            <w:proofErr w:type="spellStart"/>
            <w:r w:rsidR="00BA2A84">
              <w:t>Trakiškio</w:t>
            </w:r>
            <w:proofErr w:type="spellEnd"/>
            <w:r w:rsidR="00BA2A84">
              <w:t xml:space="preserve"> ir Bernatonių </w:t>
            </w:r>
            <w:r>
              <w:t>vandenvietėse).</w:t>
            </w:r>
          </w:p>
          <w:p w:rsidR="002223B1" w:rsidRDefault="00E30651" w:rsidP="002223B1">
            <w:pPr>
              <w:ind w:firstLine="720"/>
              <w:jc w:val="both"/>
            </w:pPr>
            <w:r>
              <w:t>D</w:t>
            </w:r>
            <w:r w:rsidR="002223B1">
              <w:t xml:space="preserve">alis Panevėžio rajono gyventojų yra prisijungę prie centralizuoto nuotekų tinklo. Panevėžio rajone dalis nuotekų tinklų jau yra renovuota, o kita dalis yra fiziškai ir morališkai pasenusi. Yra gyvenviečių, kaimų, individualių gyvenamųjų namų kvartalų, kuriuose visiškai nėra nuotekų valymo tinklų bei jų valymo įrenginių. </w:t>
            </w:r>
          </w:p>
          <w:p w:rsidR="002223B1" w:rsidRDefault="002223B1" w:rsidP="002223B1">
            <w:pPr>
              <w:ind w:firstLine="720"/>
              <w:jc w:val="both"/>
            </w:pPr>
            <w:r>
              <w:t xml:space="preserve">Lietaus nuotekų sistema Panevėžio rajone išplėtota nepakankamai. Esamos sistemos vamzdynai neremontuoti. Dažnai nevalytos nuotekos išleidžiamos į atvirus vandens telkinius. </w:t>
            </w:r>
            <w:r w:rsidR="00E30651">
              <w:t>Lietaus nuotekų s</w:t>
            </w:r>
            <w:r>
              <w:t>istema apleista.</w:t>
            </w:r>
          </w:p>
          <w:p w:rsidR="009A5788" w:rsidRDefault="009A5788" w:rsidP="003C35C6">
            <w:pPr>
              <w:pStyle w:val="Sraopastraipa"/>
              <w:tabs>
                <w:tab w:val="left" w:pos="2325"/>
              </w:tabs>
              <w:ind w:left="0" w:firstLine="709"/>
              <w:jc w:val="both"/>
              <w:rPr>
                <w:lang w:eastAsia="lt-LT"/>
              </w:rPr>
            </w:pPr>
          </w:p>
          <w:p w:rsidR="009A5788" w:rsidRPr="00FA6B71" w:rsidRDefault="009A5788" w:rsidP="003C35C6">
            <w:pPr>
              <w:pStyle w:val="Sraopastraipa"/>
              <w:tabs>
                <w:tab w:val="left" w:pos="2325"/>
              </w:tabs>
              <w:ind w:left="0" w:firstLine="709"/>
              <w:jc w:val="both"/>
              <w:rPr>
                <w:u w:val="single"/>
                <w:lang w:eastAsia="lt-LT"/>
              </w:rPr>
            </w:pPr>
            <w:r w:rsidRPr="00FA6B71">
              <w:rPr>
                <w:u w:val="single"/>
                <w:lang w:eastAsia="lt-LT"/>
              </w:rPr>
              <w:t>Atliekų tvarkymas</w:t>
            </w:r>
          </w:p>
          <w:p w:rsidR="009A5788" w:rsidRPr="00FA6B71" w:rsidRDefault="009A5788" w:rsidP="003C35C6">
            <w:pPr>
              <w:pStyle w:val="Sraopastraipa"/>
              <w:tabs>
                <w:tab w:val="left" w:pos="2325"/>
              </w:tabs>
              <w:ind w:left="0" w:firstLine="709"/>
              <w:jc w:val="both"/>
              <w:rPr>
                <w:lang w:eastAsia="lt-LT"/>
              </w:rPr>
            </w:pPr>
            <w:r w:rsidRPr="00FA6B71">
              <w:rPr>
                <w:lang w:eastAsia="lt-LT"/>
              </w:rPr>
              <w:t>Panevėžio r</w:t>
            </w:r>
            <w:r w:rsidR="00B90881" w:rsidRPr="00FA6B71">
              <w:rPr>
                <w:lang w:eastAsia="lt-LT"/>
              </w:rPr>
              <w:t>ajono</w:t>
            </w:r>
            <w:r w:rsidRPr="00FA6B71">
              <w:rPr>
                <w:lang w:eastAsia="lt-LT"/>
              </w:rPr>
              <w:t xml:space="preserve"> savivaldybė privalo užtikrinti, kad viešąja komunalinių atliekų tvarkymo sistema naudotųsi ne mažiau kaip 95 proc. savivaldybės teritorijos gyventojų, kuriems toje </w:t>
            </w:r>
            <w:r w:rsidR="00EB47F0" w:rsidRPr="00FA6B71">
              <w:rPr>
                <w:lang w:eastAsia="lt-LT"/>
              </w:rPr>
              <w:t>teritorijoje priklauso nuosavybė</w:t>
            </w:r>
            <w:r w:rsidRPr="00FA6B71">
              <w:rPr>
                <w:lang w:eastAsia="lt-LT"/>
              </w:rPr>
              <w:t>s teise nekilnojamojo turto objektai.</w:t>
            </w:r>
          </w:p>
          <w:p w:rsidR="00D30CEC" w:rsidRPr="00FA6B71" w:rsidRDefault="001208E0" w:rsidP="00D30CEC">
            <w:pPr>
              <w:autoSpaceDE w:val="0"/>
              <w:autoSpaceDN w:val="0"/>
              <w:adjustRightInd w:val="0"/>
              <w:ind w:firstLine="720"/>
              <w:jc w:val="both"/>
            </w:pPr>
            <w:r w:rsidRPr="00FA6B71">
              <w:t>Nuo 2007 m. rajone pradėjus veikti regioninei atliekų tvarkymo sistemai</w:t>
            </w:r>
            <w:r w:rsidR="009425F2">
              <w:t>,</w:t>
            </w:r>
            <w:r w:rsidRPr="00FA6B71">
              <w:t xml:space="preserve"> uždar</w:t>
            </w:r>
            <w:r w:rsidR="00507E15" w:rsidRPr="00FA6B71">
              <w:t>yti</w:t>
            </w:r>
            <w:r w:rsidRPr="00FA6B71">
              <w:t xml:space="preserve"> ir  rekultivuo</w:t>
            </w:r>
            <w:r w:rsidR="00507E15" w:rsidRPr="00FA6B71">
              <w:t>ti</w:t>
            </w:r>
            <w:r w:rsidRPr="00FA6B71">
              <w:t xml:space="preserve"> </w:t>
            </w:r>
            <w:r w:rsidR="00507E15" w:rsidRPr="00FA6B71">
              <w:t>visi rajono teritorijoje buvę</w:t>
            </w:r>
            <w:r w:rsidRPr="00FA6B71">
              <w:t xml:space="preserve"> sąvartynai, neatitinkantys aplinkos</w:t>
            </w:r>
            <w:r w:rsidR="00BC7CF4" w:rsidRPr="00FA6B71">
              <w:t xml:space="preserve"> aps</w:t>
            </w:r>
            <w:r w:rsidRPr="00FA6B71">
              <w:t>aug</w:t>
            </w:r>
            <w:r w:rsidR="00BC7CF4" w:rsidRPr="00FA6B71">
              <w:t>os</w:t>
            </w:r>
            <w:r w:rsidRPr="00FA6B71">
              <w:t xml:space="preserve"> reikalavimų. </w:t>
            </w:r>
            <w:r w:rsidR="009A5788" w:rsidRPr="00FA6B71">
              <w:t>Atliekų tvarkymą regione organizuoja Panevėžio regiono atliekų tvarkymo centras (PRATC)</w:t>
            </w:r>
            <w:r w:rsidR="00801BE6" w:rsidRPr="00FA6B71">
              <w:t>, savivaldybės</w:t>
            </w:r>
            <w:r w:rsidR="009A5788" w:rsidRPr="00FA6B71">
              <w:t xml:space="preserve"> bei atliekų tvarkytojai.</w:t>
            </w:r>
            <w:r w:rsidR="005C194C" w:rsidRPr="00FA6B71">
              <w:t xml:space="preserve"> Savivaldybės teritorijoje surinktos ir netinkamos naudoti atliekos šalinamos regioniniame sąvartyne, kurį eksploatuoja regioninio sąvartyno operatorius. </w:t>
            </w:r>
          </w:p>
          <w:p w:rsidR="001251A4" w:rsidRDefault="001251A4" w:rsidP="00D30CEC">
            <w:pPr>
              <w:autoSpaceDE w:val="0"/>
              <w:autoSpaceDN w:val="0"/>
              <w:adjustRightInd w:val="0"/>
              <w:ind w:firstLine="720"/>
              <w:jc w:val="both"/>
            </w:pPr>
            <w:r w:rsidRPr="00FA6B71">
              <w:t xml:space="preserve">Panevėžio rajono savivaldybės duomenimis, komunalinių atliekų tvarkymo paslaugas gauna apie 85 proc. rajono gyventojų. Rajone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FA6B71">
              <w:t>bioskaidžių</w:t>
            </w:r>
            <w:proofErr w:type="spellEnd"/>
            <w:r w:rsidRPr="00FA6B71">
              <w:t xml:space="preserve"> atliekų kompostavimas vietoje.</w:t>
            </w:r>
            <w:r w:rsidR="00D30CEC" w:rsidRPr="00FA6B71">
              <w:t xml:space="preserve"> </w:t>
            </w:r>
            <w:r w:rsidRPr="00FA6B71">
              <w:t>Atskirai surenkamos buitinės pavojingos atliekos (akumuliatoriai, liuminescencinės lempos, baterijos, elektrolitas, tepalinė alyva, dažai, lakai, elektroninė įranga) ir išvežamos utilizuoti.</w:t>
            </w:r>
          </w:p>
          <w:p w:rsidR="009A5788" w:rsidRDefault="009A5788" w:rsidP="003C35C6">
            <w:pPr>
              <w:ind w:firstLine="498"/>
              <w:jc w:val="both"/>
              <w:rPr>
                <w:b/>
                <w:lang w:eastAsia="ar-SA"/>
              </w:rPr>
            </w:pPr>
          </w:p>
          <w:p w:rsidR="009A5788" w:rsidRPr="003C30C8" w:rsidRDefault="003C30C8" w:rsidP="003C35C6">
            <w:pPr>
              <w:ind w:firstLine="498"/>
              <w:jc w:val="both"/>
              <w:rPr>
                <w:u w:val="single"/>
                <w:lang w:eastAsia="ar-SA"/>
              </w:rPr>
            </w:pPr>
            <w:r>
              <w:rPr>
                <w:u w:val="single"/>
                <w:lang w:eastAsia="ar-SA"/>
              </w:rPr>
              <w:t>Socialiniai veiksniai</w:t>
            </w:r>
          </w:p>
          <w:p w:rsidR="00B23048" w:rsidRPr="00A74DAA" w:rsidRDefault="00DA03EA" w:rsidP="00A74DAA">
            <w:pPr>
              <w:tabs>
                <w:tab w:val="left" w:pos="900"/>
                <w:tab w:val="left" w:pos="1260"/>
              </w:tabs>
              <w:ind w:firstLine="498"/>
              <w:jc w:val="both"/>
              <w:rPr>
                <w:u w:val="single"/>
              </w:rPr>
            </w:pPr>
            <w:r>
              <w:t>Gyventojų registro tarnybos</w:t>
            </w:r>
            <w:r w:rsidR="00B6026C">
              <w:t xml:space="preserve"> duomenimis, </w:t>
            </w:r>
            <w:r w:rsidR="00795C46">
              <w:t>201</w:t>
            </w:r>
            <w:r w:rsidR="00495E48">
              <w:t>4</w:t>
            </w:r>
            <w:r w:rsidR="00795C46">
              <w:t xml:space="preserve"> m</w:t>
            </w:r>
            <w:r w:rsidR="00260754">
              <w:t>.</w:t>
            </w:r>
            <w:r w:rsidR="00795C46">
              <w:t xml:space="preserve"> </w:t>
            </w:r>
            <w:r w:rsidR="005B2A77">
              <w:t>pradžioje</w:t>
            </w:r>
            <w:r w:rsidR="00795C46">
              <w:t xml:space="preserve"> </w:t>
            </w:r>
            <w:r w:rsidR="00B6026C">
              <w:t>Panevėžio rajone gyveno</w:t>
            </w:r>
            <w:r w:rsidR="00495E48">
              <w:t xml:space="preserve"> </w:t>
            </w:r>
            <w:r w:rsidR="00CA1553">
              <w:t xml:space="preserve">                             </w:t>
            </w:r>
            <w:r w:rsidR="000B2720">
              <w:t>42 038</w:t>
            </w:r>
            <w:r w:rsidR="00DB3611">
              <w:t xml:space="preserve"> </w:t>
            </w:r>
            <w:r w:rsidR="00B6026C">
              <w:t>gyventoj</w:t>
            </w:r>
            <w:r w:rsidR="00495E48">
              <w:t>ai, 2015</w:t>
            </w:r>
            <w:r w:rsidR="00DB3611">
              <w:t xml:space="preserve"> m. pradžioje –</w:t>
            </w:r>
            <w:r w:rsidR="000739F1">
              <w:t xml:space="preserve"> 41 806</w:t>
            </w:r>
            <w:r w:rsidR="00865021">
              <w:t>.</w:t>
            </w:r>
          </w:p>
          <w:p w:rsidR="00A64FDE" w:rsidRDefault="009A5788" w:rsidP="009949F4">
            <w:pPr>
              <w:autoSpaceDE w:val="0"/>
              <w:autoSpaceDN w:val="0"/>
              <w:adjustRightInd w:val="0"/>
              <w:ind w:firstLine="498"/>
              <w:jc w:val="both"/>
            </w:pPr>
            <w:r>
              <w:t xml:space="preserve">Socialines paslaugas (daugiausia skalbimo) kaimiškose vietovėse teikia Panevėžio rajono neįgaliųjų draugija. </w:t>
            </w:r>
            <w:r w:rsidR="00BA6138">
              <w:t>Ši</w:t>
            </w:r>
            <w:r>
              <w:t xml:space="preserve"> draugija taip pat teikia informavimo, konsultavimo, laisvalaikio užimtumo, kultūrines paslaugas.</w:t>
            </w:r>
            <w:r w:rsidR="001B63B8">
              <w:t xml:space="preserve"> </w:t>
            </w:r>
          </w:p>
          <w:p w:rsidR="00A64FDE" w:rsidRDefault="00A64FDE" w:rsidP="00A64FDE">
            <w:pPr>
              <w:autoSpaceDE w:val="0"/>
              <w:autoSpaceDN w:val="0"/>
              <w:adjustRightInd w:val="0"/>
              <w:ind w:firstLine="498"/>
              <w:jc w:val="both"/>
            </w:pPr>
            <w:r>
              <w:t>Rajone veikia Panevėžio rajono socialinių paslaugų centras, kuris turi penkis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w:t>
            </w:r>
          </w:p>
          <w:p w:rsidR="00A64FDE" w:rsidRPr="00FE6438" w:rsidRDefault="00A64FDE" w:rsidP="00A64FDE">
            <w:pPr>
              <w:autoSpaceDE w:val="0"/>
              <w:autoSpaceDN w:val="0"/>
              <w:adjustRightInd w:val="0"/>
              <w:ind w:firstLine="498"/>
              <w:jc w:val="both"/>
            </w:pPr>
            <w:r w:rsidRPr="00FE6438">
              <w:lastRenderedPageBreak/>
              <w:t>Savivaldybės seniūnijose dirba socialiniai darbuotojai bei socialinės priežiūros darbuotojai darbui su socialinės rizikos šeimomis, kurie rūpinasi įvairiomis gyventojų grupėmis ir sprendžia jų socialines problemas. Rajono gyventojų socialinių paslaugų poreikiai tenkinami tik iš dalies. Labiausiai trūksta tokių socialinių paslaugų: 1) socialinės globos paslaugų namuose; 2) dienos socialinės globos paslaugų neįgaliems asmenims bei socialinės rizikos asmenims (šeimoms).</w:t>
            </w:r>
          </w:p>
          <w:p w:rsidR="009A5788" w:rsidRDefault="009A5788">
            <w:pPr>
              <w:autoSpaceDE w:val="0"/>
              <w:autoSpaceDN w:val="0"/>
              <w:adjustRightInd w:val="0"/>
              <w:ind w:firstLine="720"/>
              <w:jc w:val="both"/>
            </w:pPr>
          </w:p>
          <w:p w:rsidR="00F0717E" w:rsidRPr="00090BCD" w:rsidRDefault="00F0717E" w:rsidP="00CE5A03">
            <w:pPr>
              <w:tabs>
                <w:tab w:val="left" w:pos="720"/>
                <w:tab w:val="center" w:pos="4320"/>
                <w:tab w:val="right" w:pos="8640"/>
              </w:tabs>
              <w:autoSpaceDE w:val="0"/>
              <w:snapToGrid w:val="0"/>
              <w:ind w:firstLine="540"/>
              <w:jc w:val="both"/>
              <w:rPr>
                <w:highlight w:val="green"/>
                <w:u w:val="single"/>
              </w:rPr>
            </w:pPr>
            <w:r w:rsidRPr="00A4497E">
              <w:rPr>
                <w:u w:val="single"/>
              </w:rPr>
              <w:t>Švietimas</w:t>
            </w:r>
          </w:p>
          <w:p w:rsidR="00A4497E" w:rsidRDefault="00A4497E" w:rsidP="00A4497E">
            <w:pPr>
              <w:autoSpaceDE w:val="0"/>
              <w:ind w:firstLine="540"/>
              <w:jc w:val="both"/>
            </w:pPr>
            <w:r>
              <w:t>2014–2015 m</w:t>
            </w:r>
            <w:r w:rsidR="00BA6138">
              <w:t>.</w:t>
            </w:r>
            <w:r>
              <w:t xml:space="preserve"> m</w:t>
            </w:r>
            <w:r w:rsidR="00BA6138">
              <w:t>.</w:t>
            </w:r>
            <w:r>
              <w:t xml:space="preserve"> Panevėžio rajone veikia šios švietimo įstaigos: 6 gimnazijos,</w:t>
            </w:r>
            <w:r w:rsidR="00D2593D">
              <w:t xml:space="preserve"> </w:t>
            </w:r>
            <w:r>
              <w:t xml:space="preserve">2 vidurinės mokyklos, 1 progimnazija, 10 pagrindinių mokyklų, 3 mokyklos-darželiai, 6 lopšeliai-darželiai, </w:t>
            </w:r>
            <w:r w:rsidR="00D2593D">
              <w:t xml:space="preserve">                 </w:t>
            </w:r>
            <w:r>
              <w:t xml:space="preserve">1 neformaliojo vaikų švietimo mokykla (Muzikos mokykla), Pedagoginė psichologinė tarnyba, Švietimo centras. </w:t>
            </w:r>
          </w:p>
          <w:p w:rsidR="00A4497E" w:rsidRDefault="00A4497E" w:rsidP="00A4497E">
            <w:pPr>
              <w:autoSpaceDE w:val="0"/>
              <w:ind w:firstLine="540"/>
              <w:jc w:val="both"/>
              <w:rPr>
                <w:color w:val="000000"/>
                <w:shd w:val="clear" w:color="auto" w:fill="FFFFFF"/>
              </w:rPr>
            </w:pPr>
            <w:r>
              <w:t xml:space="preserve">Vienuoliktosios klasės sudarytos visose gimnazijose ir Naujamiesčio vidurinėje mokykloje. </w:t>
            </w:r>
            <w:r>
              <w:rPr>
                <w:color w:val="000000"/>
              </w:rPr>
              <w:t xml:space="preserve">Katinų pagrindinėje mokykloje nesudaroma 9 klasė, nes ši mokykla nuo 2015 m. rugsėjo 1 d. bus reorganizuojama į </w:t>
            </w:r>
            <w:proofErr w:type="spellStart"/>
            <w:r>
              <w:rPr>
                <w:color w:val="000000"/>
              </w:rPr>
              <w:t>Velžio</w:t>
            </w:r>
            <w:proofErr w:type="spellEnd"/>
            <w:r>
              <w:rPr>
                <w:color w:val="000000"/>
              </w:rPr>
              <w:t xml:space="preserve"> gimnazijos skyrių, </w:t>
            </w:r>
            <w:proofErr w:type="spellStart"/>
            <w:r>
              <w:rPr>
                <w:color w:val="000000"/>
              </w:rPr>
              <w:t>Kurganavos</w:t>
            </w:r>
            <w:proofErr w:type="spellEnd"/>
            <w:r>
              <w:rPr>
                <w:color w:val="000000"/>
                <w:shd w:val="clear" w:color="auto" w:fill="FFFFFF"/>
              </w:rPr>
              <w:t xml:space="preserve"> pagrindinėje mokykloje nesudaroma 9 klasė, nes ši mokykla nuo 2015 m. rugsėjo 1 d. bus reorganizuojama į Miežiškių pagrindinės mokyklos skyrių, Vadoklių vidurinėje mokykloje nesudaroma 11 klasė, nes ši mokykla nuo 2015 m. rugsėjo 1 d. bus reorganizuojama į pagrindinę mokyklą. Lietuvos Respublikos </w:t>
            </w:r>
            <w:r w:rsidR="00BA6138">
              <w:rPr>
                <w:color w:val="000000"/>
                <w:shd w:val="clear" w:color="auto" w:fill="FFFFFF"/>
              </w:rPr>
              <w:t>š</w:t>
            </w:r>
            <w:r>
              <w:rPr>
                <w:color w:val="000000"/>
                <w:shd w:val="clear" w:color="auto" w:fill="FFFFFF"/>
              </w:rPr>
              <w:t>vietimo ir mokslo ministerija 2015 m. vykdys vidurinio ugdymo programos akreditaciją Naujamiesčio vidurinėje mokykloje.</w:t>
            </w:r>
          </w:p>
          <w:p w:rsidR="00A4497E" w:rsidRDefault="00A4497E" w:rsidP="00A4497E">
            <w:pPr>
              <w:autoSpaceDE w:val="0"/>
              <w:ind w:firstLine="540"/>
              <w:jc w:val="both"/>
              <w:rPr>
                <w:rFonts w:cs="TimesNewRomanPSMT"/>
              </w:rPr>
            </w:pPr>
            <w:r>
              <w:t>2014–2015 m</w:t>
            </w:r>
            <w:r w:rsidR="00BA6138">
              <w:t>.</w:t>
            </w:r>
            <w:r>
              <w:t xml:space="preserve"> m</w:t>
            </w:r>
            <w:r w:rsidR="00BA6138">
              <w:t>.</w:t>
            </w:r>
            <w:r>
              <w:t xml:space="preserve"> bendrojo ugdymo mokyklose mokosi 3 339 mokiniai</w:t>
            </w:r>
            <w:r>
              <w:rPr>
                <w:rFonts w:cs="TimesNewRomanPSMT"/>
              </w:rPr>
              <w:t xml:space="preserve">, ikimokyklinio ugdymo grupes lanko 695 vaikai, priešmokyklinio ugdymo grupes lanko 230 </w:t>
            </w:r>
            <w:r w:rsidR="00BA6138">
              <w:rPr>
                <w:rFonts w:cs="TimesNewRomanPSMT"/>
              </w:rPr>
              <w:t>vaik</w:t>
            </w:r>
            <w:r>
              <w:rPr>
                <w:rFonts w:cs="TimesNewRomanPSMT"/>
              </w:rPr>
              <w:t>ų.</w:t>
            </w:r>
          </w:p>
          <w:p w:rsidR="00A4497E" w:rsidRDefault="00A4497E" w:rsidP="00A4497E">
            <w:pPr>
              <w:autoSpaceDE w:val="0"/>
              <w:ind w:firstLine="540"/>
              <w:jc w:val="both"/>
              <w:rPr>
                <w:rFonts w:cs="TimesNewRomanPSMT"/>
              </w:rPr>
            </w:pPr>
            <w:r>
              <w:rPr>
                <w:rFonts w:cs="TimesNewRomanPSMT"/>
              </w:rPr>
              <w:t xml:space="preserve">Panevėžio rajono švietimo būklė kokybės aspektu įvertinama analizuojant šalies ir Panevėžio rajono švietimo būklės rodiklius. Įvertinus ir palyginus švietimo būklę apibūdinančius rodiklius </w:t>
            </w:r>
            <w:r w:rsidR="00CA1553">
              <w:rPr>
                <w:rFonts w:cs="TimesNewRomanPSMT"/>
              </w:rPr>
              <w:t xml:space="preserve">             </w:t>
            </w:r>
            <w:r>
              <w:rPr>
                <w:rFonts w:cs="TimesNewRomanPSMT"/>
              </w:rPr>
              <w:t>(11 finansavimo ir aprūpinimo, 10 personalo, 9 procesų, 12 rezultatų) – 34 proc. Panevėžio r. švietimo būklę nusakančių rodiklių yra aukštesni už šalies vidurkį, 32 proc. atitinka šalies vidurkį</w:t>
            </w:r>
            <w:r w:rsidR="00BA6138">
              <w:rPr>
                <w:rFonts w:cs="TimesNewRomanPSMT"/>
              </w:rPr>
              <w:t>,</w:t>
            </w:r>
            <w:r w:rsidR="009C51AF">
              <w:rPr>
                <w:rFonts w:cs="TimesNewRomanPSMT"/>
              </w:rPr>
              <w:t xml:space="preserve"> </w:t>
            </w:r>
            <w:r>
              <w:rPr>
                <w:rFonts w:cs="TimesNewRomanPSMT"/>
              </w:rPr>
              <w:t xml:space="preserve">34 proc. rodiklių yra žemesni už šalies vidurkį. </w:t>
            </w:r>
          </w:p>
          <w:p w:rsidR="00BB0D92" w:rsidRDefault="00A4497E" w:rsidP="00A4497E">
            <w:pPr>
              <w:autoSpaceDE w:val="0"/>
              <w:ind w:firstLine="540"/>
              <w:jc w:val="both"/>
              <w:rPr>
                <w:rFonts w:cs="TimesNewRomanPSMT"/>
              </w:rPr>
            </w:pPr>
            <w:r>
              <w:rPr>
                <w:rFonts w:cs="TimesNewRomanPSMT"/>
              </w:rPr>
              <w:t>2014–2015 m</w:t>
            </w:r>
            <w:r w:rsidR="00BA6138">
              <w:rPr>
                <w:rFonts w:cs="TimesNewRomanPSMT"/>
              </w:rPr>
              <w:t>.</w:t>
            </w:r>
            <w:r>
              <w:rPr>
                <w:rFonts w:cs="TimesNewRomanPSMT"/>
              </w:rPr>
              <w:t xml:space="preserve"> m</w:t>
            </w:r>
            <w:r w:rsidR="00BA6138">
              <w:rPr>
                <w:rFonts w:cs="TimesNewRomanPSMT"/>
              </w:rPr>
              <w:t>.</w:t>
            </w:r>
            <w:r>
              <w:rPr>
                <w:rFonts w:cs="TimesNewRomanPSMT"/>
              </w:rPr>
              <w:t xml:space="preserve"> švietimo srities veiklos prioritetai: </w:t>
            </w:r>
          </w:p>
          <w:p w:rsidR="00BB0D92" w:rsidRDefault="00A4497E" w:rsidP="00A4497E">
            <w:pPr>
              <w:autoSpaceDE w:val="0"/>
              <w:ind w:firstLine="540"/>
              <w:jc w:val="both"/>
              <w:rPr>
                <w:rFonts w:cs="TimesNewRomanPSMT"/>
              </w:rPr>
            </w:pPr>
            <w:r>
              <w:rPr>
                <w:rFonts w:cs="TimesNewRomanPSMT"/>
              </w:rPr>
              <w:t>1. Mokymo(</w:t>
            </w:r>
            <w:proofErr w:type="spellStart"/>
            <w:r>
              <w:rPr>
                <w:rFonts w:cs="TimesNewRomanPSMT"/>
              </w:rPr>
              <w:t>si</w:t>
            </w:r>
            <w:proofErr w:type="spellEnd"/>
            <w:r>
              <w:rPr>
                <w:rFonts w:cs="TimesNewRomanPSMT"/>
              </w:rPr>
              <w:t>) kokybė</w:t>
            </w:r>
            <w:r w:rsidR="00BA6138">
              <w:rPr>
                <w:rFonts w:cs="TimesNewRomanPSMT"/>
              </w:rPr>
              <w:t xml:space="preserve"> (</w:t>
            </w:r>
            <w:r>
              <w:rPr>
                <w:rFonts w:cs="TimesNewRomanPSMT"/>
              </w:rPr>
              <w:t>mokymosi pasiekimai, ugdymo planai ir tvarkaraščiai, dalykų ryšiai ir integracija, specialiųjų mokymosi poreikių tenkinimas</w:t>
            </w:r>
            <w:r w:rsidR="00BA6138">
              <w:rPr>
                <w:rFonts w:cs="TimesNewRomanPSMT"/>
              </w:rPr>
              <w:t>)</w:t>
            </w:r>
            <w:r>
              <w:rPr>
                <w:rFonts w:cs="TimesNewRomanPSMT"/>
              </w:rPr>
              <w:t xml:space="preserve">. </w:t>
            </w:r>
          </w:p>
          <w:p w:rsidR="00A4497E" w:rsidRDefault="00A4497E" w:rsidP="00A4497E">
            <w:pPr>
              <w:autoSpaceDE w:val="0"/>
              <w:ind w:firstLine="540"/>
              <w:jc w:val="both"/>
              <w:rPr>
                <w:rFonts w:cs="TimesNewRomanPSMT"/>
              </w:rPr>
            </w:pPr>
            <w:r>
              <w:rPr>
                <w:rFonts w:cs="TimesNewRomanPSMT"/>
              </w:rPr>
              <w:t>2. Savivaldybės ir ugdymo įstaigų veiksmingos komunikacijos sistema siekiant geresnės mokymo(</w:t>
            </w:r>
            <w:proofErr w:type="spellStart"/>
            <w:r>
              <w:rPr>
                <w:rFonts w:cs="TimesNewRomanPSMT"/>
              </w:rPr>
              <w:t>si</w:t>
            </w:r>
            <w:proofErr w:type="spellEnd"/>
            <w:r>
              <w:rPr>
                <w:rFonts w:cs="TimesNewRomanPSMT"/>
              </w:rPr>
              <w:t xml:space="preserve">) kokybės – susitarimai dėl įstaigų finansavimo ir materialinio aprūpinimo, įstaigų renovacijos bei pastatų atnaujinimo, savivaldybės administracijos atstovavimas </w:t>
            </w:r>
            <w:r w:rsidR="001A2022">
              <w:rPr>
                <w:rFonts w:cs="TimesNewRomanPSMT"/>
              </w:rPr>
              <w:t>reng</w:t>
            </w:r>
            <w:r>
              <w:rPr>
                <w:rFonts w:cs="TimesNewRomanPSMT"/>
              </w:rPr>
              <w:t>iant įstaigų strateginius planus.</w:t>
            </w:r>
          </w:p>
          <w:p w:rsidR="00A4497E" w:rsidRDefault="00A4497E" w:rsidP="00A4497E">
            <w:pPr>
              <w:autoSpaceDE w:val="0"/>
              <w:ind w:firstLine="540"/>
              <w:jc w:val="both"/>
              <w:rPr>
                <w:rFonts w:cs="TimesNewRomanPSMT"/>
              </w:rPr>
            </w:pPr>
            <w:r>
              <w:rPr>
                <w:rFonts w:cs="TimesNewRomanPSMT"/>
              </w:rPr>
              <w:t>2014–2015 m</w:t>
            </w:r>
            <w:r w:rsidR="001A2022">
              <w:rPr>
                <w:rFonts w:cs="TimesNewRomanPSMT"/>
              </w:rPr>
              <w:t>.</w:t>
            </w:r>
            <w:r>
              <w:rPr>
                <w:rFonts w:cs="TimesNewRomanPSMT"/>
              </w:rPr>
              <w:t xml:space="preserve"> m</w:t>
            </w:r>
            <w:r w:rsidR="001A2022">
              <w:rPr>
                <w:rFonts w:cs="TimesNewRomanPSMT"/>
              </w:rPr>
              <w:t>.</w:t>
            </w:r>
            <w:r>
              <w:rPr>
                <w:rFonts w:cs="TimesNewRomanPSMT"/>
              </w:rPr>
              <w:t xml:space="preserve"> švietimo srities veiklos prioritetai įgyvendinami vykdant Švietimo, kultūros ir sporto skyriaus 2014–2015 m</w:t>
            </w:r>
            <w:r w:rsidR="001A2022">
              <w:rPr>
                <w:rFonts w:cs="TimesNewRomanPSMT"/>
              </w:rPr>
              <w:t>.</w:t>
            </w:r>
            <w:r>
              <w:rPr>
                <w:rFonts w:cs="TimesNewRomanPSMT"/>
              </w:rPr>
              <w:t xml:space="preserve"> m</w:t>
            </w:r>
            <w:r w:rsidR="001A2022">
              <w:rPr>
                <w:rFonts w:cs="TimesNewRomanPSMT"/>
              </w:rPr>
              <w:t>.</w:t>
            </w:r>
            <w:r>
              <w:rPr>
                <w:rFonts w:cs="TimesNewRomanPSMT"/>
              </w:rPr>
              <w:t xml:space="preserve"> veiklos programą (priedai </w:t>
            </w:r>
            <w:r w:rsidR="001A2022">
              <w:rPr>
                <w:rFonts w:cs="TimesNewRomanPSMT"/>
              </w:rPr>
              <w:t>–</w:t>
            </w:r>
            <w:r>
              <w:rPr>
                <w:rFonts w:cs="TimesNewRomanPSMT"/>
              </w:rPr>
              <w:t xml:space="preserve"> švietimo įstaigų veiklos kokybės užtikrinimas, bendroji priežiūra, metodinės ir vadybinės paramos teikimas). 2014–2015 m</w:t>
            </w:r>
            <w:r w:rsidR="001A2022">
              <w:rPr>
                <w:rFonts w:cs="TimesNewRomanPSMT"/>
              </w:rPr>
              <w:t>.</w:t>
            </w:r>
            <w:r>
              <w:rPr>
                <w:rFonts w:cs="TimesNewRomanPSMT"/>
              </w:rPr>
              <w:t xml:space="preserve"> m</w:t>
            </w:r>
            <w:r w:rsidR="001A2022">
              <w:rPr>
                <w:rFonts w:cs="TimesNewRomanPSMT"/>
              </w:rPr>
              <w:t>.</w:t>
            </w:r>
            <w:r>
              <w:rPr>
                <w:rFonts w:cs="TimesNewRomanPSMT"/>
              </w:rPr>
              <w:t xml:space="preserve"> švietimo srities veiklos prioritetus įgyvendina Švietimo centras, Pedagoginė psichologinė tarnyba, mokyklos.</w:t>
            </w:r>
          </w:p>
          <w:p w:rsidR="00FE0C90" w:rsidRPr="00A4497E" w:rsidRDefault="00FE0C90" w:rsidP="00F0717E">
            <w:pPr>
              <w:tabs>
                <w:tab w:val="left" w:pos="720"/>
                <w:tab w:val="center" w:pos="4320"/>
                <w:tab w:val="right" w:pos="8640"/>
              </w:tabs>
              <w:autoSpaceDE w:val="0"/>
              <w:snapToGrid w:val="0"/>
              <w:ind w:firstLine="720"/>
              <w:jc w:val="both"/>
              <w:rPr>
                <w:u w:val="single"/>
                <w:shd w:val="clear" w:color="auto" w:fill="FFFFFF"/>
              </w:rPr>
            </w:pPr>
          </w:p>
          <w:p w:rsidR="00F0717E" w:rsidRDefault="00F0717E" w:rsidP="003D3A98">
            <w:pPr>
              <w:autoSpaceDE w:val="0"/>
              <w:ind w:firstLine="720"/>
              <w:jc w:val="both"/>
              <w:rPr>
                <w:u w:val="single"/>
                <w:shd w:val="clear" w:color="auto" w:fill="FFFFFF"/>
                <w:lang w:val="pt-BR"/>
              </w:rPr>
            </w:pPr>
            <w:r>
              <w:rPr>
                <w:u w:val="single"/>
                <w:shd w:val="clear" w:color="auto" w:fill="FFFFFF"/>
                <w:lang w:val="pt-BR"/>
              </w:rPr>
              <w:t>Kultūra</w:t>
            </w:r>
          </w:p>
          <w:p w:rsidR="00A91564" w:rsidRPr="00A91564" w:rsidRDefault="00A91564" w:rsidP="00A91564">
            <w:pPr>
              <w:autoSpaceDE w:val="0"/>
              <w:ind w:firstLine="720"/>
              <w:jc w:val="both"/>
              <w:rPr>
                <w:shd w:val="clear" w:color="auto" w:fill="FFFFFF"/>
              </w:rPr>
            </w:pPr>
            <w:r>
              <w:rPr>
                <w:shd w:val="clear" w:color="auto" w:fill="FFFFFF"/>
              </w:rPr>
              <w:t>Panevėžio r</w:t>
            </w:r>
            <w:r w:rsidR="00616D96">
              <w:rPr>
                <w:shd w:val="clear" w:color="auto" w:fill="FFFFFF"/>
              </w:rPr>
              <w:t>ajono</w:t>
            </w:r>
            <w:r>
              <w:rPr>
                <w:shd w:val="clear" w:color="auto" w:fill="FFFFFF"/>
              </w:rPr>
              <w:t xml:space="preserve"> savivaldybė turi pakankamai gerai išplėtotą kultūros centrų tinklą. 2014 m. Panevėžio rajone veikė 12 kultūros centrų ir 20 jų padalinių, juose 190 įvairių meno kolektyvų, </w:t>
            </w:r>
            <w:r w:rsidR="00CA1553">
              <w:rPr>
                <w:shd w:val="clear" w:color="auto" w:fill="FFFFFF"/>
              </w:rPr>
              <w:t xml:space="preserve">                  </w:t>
            </w:r>
            <w:r>
              <w:rPr>
                <w:shd w:val="clear" w:color="auto" w:fill="FFFFFF"/>
              </w:rPr>
              <w:t xml:space="preserve">2 057 dalyviai. </w:t>
            </w:r>
            <w:r w:rsidRPr="00A91564">
              <w:rPr>
                <w:shd w:val="clear" w:color="auto" w:fill="FFFFFF"/>
              </w:rPr>
              <w:t>Kultūros centruose dirbo 155 darbuotojai, iš jų 111 kultūros ir meno darbuotojų.</w:t>
            </w:r>
          </w:p>
          <w:p w:rsidR="00A91564" w:rsidRPr="00A91564" w:rsidRDefault="00A91564" w:rsidP="00A91564">
            <w:pPr>
              <w:autoSpaceDE w:val="0"/>
              <w:ind w:firstLine="720"/>
              <w:jc w:val="both"/>
            </w:pPr>
            <w:r w:rsidRPr="00A91564">
              <w:rPr>
                <w:shd w:val="clear" w:color="auto" w:fill="FFFFFF"/>
              </w:rPr>
              <w:t>Rajone yra 33 žiūrovų salės, kuriose telpa 5 220 žiūrovų; veikia 8 visuomeniniai ir 2 privatūs muziejai, 5 galerijos.</w:t>
            </w:r>
          </w:p>
          <w:p w:rsidR="003D3A98" w:rsidRPr="00950981" w:rsidRDefault="003D3A98" w:rsidP="00A91564">
            <w:pPr>
              <w:autoSpaceDE w:val="0"/>
              <w:ind w:firstLine="720"/>
              <w:jc w:val="both"/>
            </w:pPr>
            <w:r>
              <w:rPr>
                <w:shd w:val="clear" w:color="auto" w:fill="FFFFFF"/>
              </w:rPr>
              <w:t>2014 m. Panevėžio rajone veikė 36 bibliotekos – Panevėžio rajono savivaldybės viešoji biblioteka ir 35 jos filialai. Visos bibliotekos kompiuterizuotos. Bibliotekose veikia viešieji interneto prieigos taškai, juose vyksta gyventojų kompiuterinio raštingumo mokymai, teikiamos kopijavimo, spausdinimo, skenavimo ir kt. paslaugos.</w:t>
            </w:r>
            <w:r>
              <w:rPr>
                <w:color w:val="1F497D"/>
                <w:shd w:val="clear" w:color="auto" w:fill="FFFFFF"/>
              </w:rPr>
              <w:t xml:space="preserve"> </w:t>
            </w:r>
            <w:r w:rsidRPr="00950981">
              <w:rPr>
                <w:shd w:val="clear" w:color="auto" w:fill="FFFFFF"/>
              </w:rPr>
              <w:t xml:space="preserve">Išplėstas bibliotekos vykdomų paslaugų spektras. Bibliotekos padalinys </w:t>
            </w:r>
            <w:proofErr w:type="spellStart"/>
            <w:r w:rsidRPr="00950981">
              <w:rPr>
                <w:shd w:val="clear" w:color="auto" w:fill="FFFFFF"/>
              </w:rPr>
              <w:t>Gustonių</w:t>
            </w:r>
            <w:proofErr w:type="spellEnd"/>
            <w:r w:rsidRPr="00950981">
              <w:rPr>
                <w:shd w:val="clear" w:color="auto" w:fill="FFFFFF"/>
              </w:rPr>
              <w:t xml:space="preserve"> biblioteka pertvarkyta į </w:t>
            </w:r>
            <w:proofErr w:type="spellStart"/>
            <w:r w:rsidRPr="00950981">
              <w:rPr>
                <w:shd w:val="clear" w:color="auto" w:fill="FFFFFF"/>
              </w:rPr>
              <w:t>Gustonių</w:t>
            </w:r>
            <w:proofErr w:type="spellEnd"/>
            <w:r w:rsidRPr="00950981">
              <w:rPr>
                <w:shd w:val="clear" w:color="auto" w:fill="FFFFFF"/>
              </w:rPr>
              <w:t xml:space="preserve"> biblioteką-universalų daugiafunkcį centrą, vykdantį kultūrinio švietimo, soc</w:t>
            </w:r>
            <w:r w:rsidR="00616D96">
              <w:rPr>
                <w:shd w:val="clear" w:color="auto" w:fill="FFFFFF"/>
              </w:rPr>
              <w:t>io</w:t>
            </w:r>
            <w:r w:rsidRPr="00950981">
              <w:rPr>
                <w:shd w:val="clear" w:color="auto" w:fill="FFFFFF"/>
              </w:rPr>
              <w:t>kultūrinės edukacijos, neformal</w:t>
            </w:r>
            <w:r w:rsidR="00616D96">
              <w:rPr>
                <w:shd w:val="clear" w:color="auto" w:fill="FFFFFF"/>
              </w:rPr>
              <w:t>iojo</w:t>
            </w:r>
            <w:r w:rsidRPr="00950981">
              <w:rPr>
                <w:shd w:val="clear" w:color="auto" w:fill="FFFFFF"/>
              </w:rPr>
              <w:t xml:space="preserve"> švietimo veiklas. </w:t>
            </w:r>
          </w:p>
          <w:p w:rsidR="003D3A98" w:rsidRDefault="003D3A98" w:rsidP="003D3A98">
            <w:pPr>
              <w:autoSpaceDE w:val="0"/>
              <w:ind w:firstLine="720"/>
              <w:jc w:val="both"/>
            </w:pPr>
            <w:r>
              <w:rPr>
                <w:shd w:val="clear" w:color="auto" w:fill="FFFFFF"/>
              </w:rPr>
              <w:t xml:space="preserve">Viešojoje bibliotekoje įdiegta LIBIS sistema ir 11 posistemės modulių. Skaitytojai naudojasi internetine knygų užsakymo, rezervavimo sistema. Įdiegtas </w:t>
            </w:r>
            <w:r w:rsidRPr="00950981">
              <w:rPr>
                <w:shd w:val="clear" w:color="auto" w:fill="FFFFFF"/>
              </w:rPr>
              <w:t>ir jau metus veikia</w:t>
            </w:r>
            <w:r>
              <w:rPr>
                <w:shd w:val="clear" w:color="auto" w:fill="FFFFFF"/>
              </w:rPr>
              <w:t xml:space="preserve"> knygų grąžinimo savitarnos įrenginys. Bibliotekos teikia e-valdžios paslaugas, organizuojamos konsultacijos bei </w:t>
            </w:r>
            <w:r>
              <w:rPr>
                <w:shd w:val="clear" w:color="auto" w:fill="FFFFFF"/>
              </w:rPr>
              <w:lastRenderedPageBreak/>
              <w:t xml:space="preserve">mokymai teikiant deklaracijas mokesčių inspekcijai. Biblioteka dalyvauja įvairiuose projektuose, vykdo kultūrines veiklas. </w:t>
            </w:r>
          </w:p>
          <w:p w:rsidR="00CA1553"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Default="00BF6AD3" w:rsidP="00BF6AD3">
            <w:pPr>
              <w:autoSpaceDE w:val="0"/>
              <w:ind w:firstLine="720"/>
              <w:jc w:val="both"/>
              <w:rPr>
                <w:u w:val="single"/>
                <w:shd w:val="clear" w:color="auto" w:fill="FFFFFF"/>
              </w:rPr>
            </w:pPr>
            <w:r>
              <w:rPr>
                <w:u w:val="single"/>
                <w:shd w:val="clear" w:color="auto" w:fill="FFFFFF"/>
              </w:rPr>
              <w:t>Sportas</w:t>
            </w:r>
          </w:p>
          <w:p w:rsidR="00CA1553" w:rsidRDefault="00A77040" w:rsidP="00CA1553">
            <w:pPr>
              <w:autoSpaceDE w:val="0"/>
              <w:ind w:firstLine="720"/>
              <w:jc w:val="both"/>
              <w:rPr>
                <w:lang w:eastAsia="ar-SA"/>
              </w:rPr>
            </w:pPr>
            <w:r w:rsidRPr="00A77040">
              <w:rPr>
                <w:lang w:eastAsia="ar-SA"/>
              </w:rPr>
              <w:t xml:space="preserve">Panevėžio rajone veikia 15 sporto klubų, kuriuose sportuoja 500 rajono gyventojų. Daugiausia naudojamasi mokyklų sporto bazėmis. </w:t>
            </w:r>
          </w:p>
          <w:p w:rsidR="00A77040" w:rsidRPr="00A77040" w:rsidRDefault="00A77040" w:rsidP="00CA1553">
            <w:pPr>
              <w:autoSpaceDE w:val="0"/>
              <w:ind w:firstLine="720"/>
              <w:jc w:val="both"/>
              <w:rPr>
                <w:lang w:eastAsia="ar-SA"/>
              </w:rPr>
            </w:pPr>
            <w:r w:rsidRPr="00A77040">
              <w:rPr>
                <w:lang w:eastAsia="ar-SA"/>
              </w:rPr>
              <w:t xml:space="preserve">Rajone yra 10 sporto aikštynų, 16 sporto salių, 21 krepšinio, 9 tinklinio aikštelės, 4 futbolo aikštės, 1 kartodromas, 5 universalios daugiafunkcės aikštelės. Sporto salių neturi Karsakiškio Strazdelio, Miežiškių, </w:t>
            </w:r>
            <w:proofErr w:type="spellStart"/>
            <w:r w:rsidRPr="00A77040">
              <w:rPr>
                <w:lang w:eastAsia="ar-SA"/>
              </w:rPr>
              <w:t>Žibartonių</w:t>
            </w:r>
            <w:proofErr w:type="spellEnd"/>
            <w:r w:rsidRPr="00A77040">
              <w:rPr>
                <w:lang w:eastAsia="ar-SA"/>
              </w:rPr>
              <w:t xml:space="preserve"> pagrindinės mokyklos, Paįstrio Juozo Zikaro gimnazijos Skaistgirių skyrius. Suremontuotos Krekenavos Mykolo Antanaičio gimnazijos, Upytės Antano </w:t>
            </w:r>
            <w:proofErr w:type="spellStart"/>
            <w:r w:rsidRPr="00A77040">
              <w:rPr>
                <w:lang w:eastAsia="ar-SA"/>
              </w:rPr>
              <w:t>Belazaro</w:t>
            </w:r>
            <w:proofErr w:type="spellEnd"/>
            <w:r w:rsidRPr="00A77040">
              <w:rPr>
                <w:lang w:eastAsia="ar-SA"/>
              </w:rPr>
              <w:t xml:space="preserve"> pagrindinės mokyklos sporto salės</w:t>
            </w:r>
            <w:r w:rsidRPr="003F6B48">
              <w:rPr>
                <w:lang w:eastAsia="ar-SA"/>
              </w:rPr>
              <w:t xml:space="preserve">. 2012 m. </w:t>
            </w:r>
            <w:r w:rsidR="003F6B48" w:rsidRPr="003F6B48">
              <w:rPr>
                <w:lang w:eastAsia="ar-SA"/>
              </w:rPr>
              <w:t>parengtas</w:t>
            </w:r>
            <w:r w:rsidRPr="003F6B48">
              <w:rPr>
                <w:lang w:eastAsia="ar-SA"/>
              </w:rPr>
              <w:t xml:space="preserve"> Raguvos kartodromo rekonstrukcijos projektas, projekto įg</w:t>
            </w:r>
            <w:r w:rsidR="003F6B48" w:rsidRPr="003F6B48">
              <w:rPr>
                <w:lang w:eastAsia="ar-SA"/>
              </w:rPr>
              <w:t>yvendinimas planuojamas iki 2017</w:t>
            </w:r>
            <w:r w:rsidRPr="003F6B48">
              <w:rPr>
                <w:lang w:eastAsia="ar-SA"/>
              </w:rPr>
              <w:t xml:space="preserve"> m.</w:t>
            </w:r>
          </w:p>
          <w:p w:rsidR="00A77040" w:rsidRDefault="00A77040" w:rsidP="00BF6AD3">
            <w:pPr>
              <w:autoSpaceDE w:val="0"/>
              <w:ind w:firstLine="720"/>
              <w:jc w:val="both"/>
              <w:rPr>
                <w:shd w:val="clear" w:color="auto" w:fill="FFFFFF"/>
              </w:rPr>
            </w:pPr>
          </w:p>
          <w:p w:rsidR="009A5788" w:rsidRDefault="009A5788">
            <w:pPr>
              <w:autoSpaceDE w:val="0"/>
              <w:autoSpaceDN w:val="0"/>
              <w:adjustRightInd w:val="0"/>
              <w:ind w:firstLine="720"/>
              <w:rPr>
                <w:u w:val="single"/>
              </w:rPr>
            </w:pPr>
            <w:r>
              <w:rPr>
                <w:u w:val="single"/>
              </w:rPr>
              <w:t>Būstas</w:t>
            </w:r>
          </w:p>
          <w:p w:rsidR="009229F5" w:rsidRDefault="009229F5" w:rsidP="009229F5">
            <w:pPr>
              <w:pStyle w:val="Pagrindinistekstas"/>
              <w:spacing w:after="0"/>
              <w:ind w:firstLine="709"/>
              <w:jc w:val="both"/>
            </w:pPr>
            <w:r w:rsidRPr="009229F5">
              <w:t xml:space="preserve">2014 m. asmenų (šeimų), turinčių teisę į socialinį būstą ir įrašytų į Panevėžio rajono savivaldybės socialiniam būstui išsinuomoti sąrašus, skaičius yra 272. </w:t>
            </w:r>
          </w:p>
          <w:p w:rsidR="009229F5" w:rsidRPr="009229F5" w:rsidRDefault="009229F5" w:rsidP="009229F5">
            <w:pPr>
              <w:pStyle w:val="Pagrindinistekstas"/>
              <w:spacing w:after="0"/>
              <w:ind w:firstLine="709"/>
              <w:jc w:val="both"/>
            </w:pPr>
            <w:r w:rsidRPr="009229F5">
              <w:t>2014 m. suteikta 17 socialinių būstų</w:t>
            </w:r>
            <w:r w:rsidR="00191650">
              <w:t>,</w:t>
            </w:r>
            <w:r w:rsidRPr="009229F5">
              <w:t xml:space="preserve"> iš jų pagal sąrašus: 5 – jaunoms šeimoms, 7 – šeimoms, auginančioms tris ir daugiau vaikų (įvaikių); 3 – neįgaliems asmenims ir šeimoms, kuriose yra neįgalių asmenų; 2 – asmenims iš bendrojo sąrašo. Palyginti su ankstesniais metais būstų suteikta daugiau, nes pastaraisiais metais Vyriausybė skyrė lėšų socialinio būsto fondo plėtrai. </w:t>
            </w:r>
          </w:p>
          <w:p w:rsidR="009A5788" w:rsidRPr="000001D1" w:rsidRDefault="009A5788">
            <w:pPr>
              <w:pStyle w:val="Pagrindinistekstas"/>
              <w:spacing w:after="0"/>
              <w:ind w:firstLine="709"/>
              <w:jc w:val="both"/>
            </w:pPr>
          </w:p>
          <w:p w:rsidR="009A5788" w:rsidRDefault="009A5788">
            <w:pPr>
              <w:pStyle w:val="Pagrindinistekstas"/>
              <w:spacing w:after="0"/>
              <w:ind w:firstLine="709"/>
              <w:jc w:val="both"/>
              <w:rPr>
                <w:u w:val="single"/>
              </w:rPr>
            </w:pPr>
            <w:r>
              <w:rPr>
                <w:u w:val="single"/>
              </w:rPr>
              <w:t>Sveikata</w:t>
            </w:r>
          </w:p>
          <w:p w:rsidR="0043688C" w:rsidRPr="00F742E0" w:rsidRDefault="00215BE3" w:rsidP="00364B06">
            <w:pPr>
              <w:tabs>
                <w:tab w:val="left" w:pos="709"/>
              </w:tabs>
              <w:ind w:firstLine="720"/>
              <w:jc w:val="both"/>
            </w:pPr>
            <w:r w:rsidRPr="0058395F">
              <w:t xml:space="preserve">VšĮ Panevėžio rajono savivaldybės </w:t>
            </w:r>
            <w:r w:rsidR="0043688C" w:rsidRPr="0058395F">
              <w:t>polikliniko</w:t>
            </w:r>
            <w:r w:rsidR="00364B06" w:rsidRPr="0058395F">
              <w:t>s</w:t>
            </w:r>
            <w:r w:rsidR="0043688C" w:rsidRPr="0058395F">
              <w:t xml:space="preserve"> įstaigos nurodytos </w:t>
            </w:r>
            <w:r w:rsidR="00364B06" w:rsidRPr="0058395F">
              <w:t xml:space="preserve">teikiamos </w:t>
            </w:r>
            <w:r w:rsidR="0043688C" w:rsidRPr="0058395F">
              <w:t xml:space="preserve">pirminio lygio ambulatorinės ir stacionarinės (palaikomojo gydymo ir slaugos) bei antrinio lygio ambulatorinės asmens sveikatos priežiūros paslaugos. </w:t>
            </w:r>
            <w:r w:rsidRPr="0058395F">
              <w:t>VšĮ Panevėžio rajono savivaldybės poliklinika turi teisę verstis asmens sveikatos priežiūros veikla ir teikti licen</w:t>
            </w:r>
            <w:r w:rsidR="00364B06" w:rsidRPr="0058395F">
              <w:t>c</w:t>
            </w:r>
            <w:r w:rsidRPr="0058395F">
              <w:t>ijos priede nurodytas odontologinės priežiūros pagalbos ir/ar burnos priežiūros paslaugas. VšĮ Panevėžio rajono s</w:t>
            </w:r>
            <w:r>
              <w:t>avivaldybės poliklinikos Naujamiesčio ir Ramygalos palaikomojo gydymo ir slaugos ligoninės teikia pirminės stacionarinės sveikatos priežiūros</w:t>
            </w:r>
            <w:r w:rsidR="00364B06">
              <w:t>,</w:t>
            </w:r>
            <w:r>
              <w:t xml:space="preserve"> palaikomojo gydymo ir slaugos paslaugas. VšĮ </w:t>
            </w:r>
            <w:r w:rsidRPr="00F742E0">
              <w:t>Krekenavos pirminės sveikatos priežiūros centras teikia pirminės ambulatorinės sveikatos priežiūros ir pirminės stacionarinės palaikomojo gydymo ir slaugos paslaugas.</w:t>
            </w:r>
            <w:r w:rsidR="0043688C" w:rsidRPr="00F742E0">
              <w:t xml:space="preserve"> </w:t>
            </w:r>
          </w:p>
          <w:p w:rsidR="009A5788" w:rsidRDefault="009A5788" w:rsidP="00364B06">
            <w:pPr>
              <w:pStyle w:val="prastasiniatinklio"/>
              <w:spacing w:before="0" w:beforeAutospacing="0" w:after="0" w:afterAutospacing="0"/>
              <w:ind w:firstLine="720"/>
              <w:jc w:val="both"/>
            </w:pPr>
            <w:r w:rsidRPr="00F742E0">
              <w:t>2008 m. įsteigtas Panevėžio rajono visuomenės sveikatos biuras</w:t>
            </w:r>
            <w:r w:rsidR="000D7E6B">
              <w:t xml:space="preserve"> (toliau – Biuras)</w:t>
            </w:r>
            <w:r w:rsidRPr="00F742E0">
              <w:t xml:space="preserve"> – įstaiga, kurios paskirtis yra vykdyti visuomenės sveikatos priežiūros funkcijas.</w:t>
            </w:r>
            <w:r w:rsidR="00F742E0" w:rsidRPr="00F742E0">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364B06" w:rsidRPr="00F742E0" w:rsidRDefault="00364B06" w:rsidP="00364B06">
            <w:pPr>
              <w:pStyle w:val="prastasiniatinklio"/>
              <w:spacing w:before="0" w:beforeAutospacing="0" w:after="0" w:afterAutospacing="0"/>
              <w:ind w:firstLine="720"/>
              <w:jc w:val="both"/>
            </w:pPr>
          </w:p>
          <w:p w:rsidR="0001393A" w:rsidRDefault="009A5788" w:rsidP="0001393A">
            <w:pPr>
              <w:tabs>
                <w:tab w:val="left" w:pos="900"/>
                <w:tab w:val="left" w:pos="1260"/>
              </w:tabs>
              <w:ind w:firstLine="498"/>
              <w:jc w:val="both"/>
              <w:rPr>
                <w:u w:val="single"/>
                <w:lang w:eastAsia="ar-SA"/>
              </w:rPr>
            </w:pPr>
            <w:r w:rsidRPr="00F742E0">
              <w:rPr>
                <w:u w:val="single"/>
                <w:lang w:eastAsia="ar-SA"/>
              </w:rPr>
              <w:t>Nusikalstamumas</w:t>
            </w:r>
          </w:p>
          <w:p w:rsidR="0001393A" w:rsidRPr="0001393A" w:rsidRDefault="0001393A" w:rsidP="0001393A">
            <w:pPr>
              <w:tabs>
                <w:tab w:val="left" w:pos="900"/>
                <w:tab w:val="left" w:pos="1260"/>
              </w:tabs>
              <w:ind w:firstLine="498"/>
              <w:jc w:val="both"/>
              <w:rPr>
                <w:u w:val="single"/>
                <w:lang w:eastAsia="ar-SA"/>
              </w:rPr>
            </w:pPr>
            <w:r>
              <w:t xml:space="preserve">Oficialiais Informatikos ir ryšių departamento prie Lietuvos Respublikos </w:t>
            </w:r>
            <w:r w:rsidR="00191650">
              <w:t>v</w:t>
            </w:r>
            <w:r>
              <w:t>idaus reikalų ministerijos statistinių ataskaitų duomenimis, 2014 m. sausio–spalio mėn</w:t>
            </w:r>
            <w:r w:rsidR="00191650">
              <w:t>.</w:t>
            </w:r>
            <w:r>
              <w:t xml:space="preserve"> Panevėžio apskrityje registruotos 5 526 nusikalstamos veikos (ištirta – 3 350, arba 60,6 proc.). Registruotų nusikalstamų veikų skaičius 2014 m. sausio–spalio mėn</w:t>
            </w:r>
            <w:r w:rsidR="00191650">
              <w:t>.</w:t>
            </w:r>
            <w:r>
              <w:t xml:space="preserve"> palygin</w:t>
            </w:r>
            <w:r w:rsidR="00191650">
              <w:t>ti</w:t>
            </w:r>
            <w:r>
              <w:t xml:space="preserve"> su 2013 m. tuo pačiu laikotarpiu Panevėžio apskrityje padidėjo 16,3 proc.</w:t>
            </w:r>
          </w:p>
          <w:p w:rsidR="009A5788" w:rsidRDefault="0058395F">
            <w:pPr>
              <w:tabs>
                <w:tab w:val="left" w:pos="900"/>
                <w:tab w:val="left" w:pos="1260"/>
              </w:tabs>
              <w:ind w:firstLine="498"/>
              <w:jc w:val="both"/>
            </w:pPr>
            <w:r>
              <w:t>B</w:t>
            </w:r>
            <w:r w:rsidR="009A5788" w:rsidRPr="00F0717E">
              <w:t>endras nusikalsta</w:t>
            </w:r>
            <w:r w:rsidR="00E5754A" w:rsidRPr="00F0717E">
              <w:t xml:space="preserve">mumo lygis Panevėžio rajone </w:t>
            </w:r>
            <w:r w:rsidRPr="0058395F">
              <w:t>išlieka gana nemažas</w:t>
            </w:r>
            <w:r w:rsidR="009A5788" w:rsidRPr="0058395F">
              <w:t>,</w:t>
            </w:r>
            <w:r w:rsidR="009A5788" w:rsidRPr="00F0717E">
              <w:t xml:space="preserve"> gyventojų saugumo problema išlieka aktuali. Nemaža dalis senyvo amžiaus Panevėžio rajono gyventojų gyvena atokiuose vienkiemiuose ir jaučiasi mažiau saugūs, nei žmonės, gyvenantys gyvenvietėse. </w:t>
            </w:r>
          </w:p>
          <w:p w:rsidR="0058395F" w:rsidRDefault="0058395F">
            <w:pPr>
              <w:tabs>
                <w:tab w:val="left" w:pos="900"/>
                <w:tab w:val="left" w:pos="1260"/>
              </w:tabs>
              <w:ind w:firstLine="498"/>
              <w:jc w:val="both"/>
            </w:pPr>
            <w:r>
              <w:t>Ženkliai sumažintas policijos pareigūnų</w:t>
            </w:r>
            <w:r w:rsidR="00191650">
              <w:t>,</w:t>
            </w:r>
            <w:r>
              <w:t xml:space="preserve"> patruliuojančių rajone</w:t>
            </w:r>
            <w:r w:rsidR="00191650">
              <w:t>,</w:t>
            </w:r>
            <w:r>
              <w:t xml:space="preserve"> skaičius.</w:t>
            </w:r>
          </w:p>
          <w:p w:rsidR="00191650" w:rsidRDefault="00191650">
            <w:pPr>
              <w:tabs>
                <w:tab w:val="left" w:pos="900"/>
                <w:tab w:val="left" w:pos="1260"/>
              </w:tabs>
              <w:ind w:firstLine="498"/>
              <w:jc w:val="both"/>
              <w:rPr>
                <w:b/>
              </w:rPr>
            </w:pPr>
          </w:p>
          <w:p w:rsidR="003F6B48" w:rsidRDefault="009A5788" w:rsidP="003F6B48">
            <w:pPr>
              <w:pStyle w:val="Antrats"/>
              <w:tabs>
                <w:tab w:val="left" w:pos="720"/>
              </w:tabs>
              <w:snapToGrid w:val="0"/>
              <w:ind w:firstLine="498"/>
              <w:rPr>
                <w:u w:val="single"/>
              </w:rPr>
            </w:pPr>
            <w:r w:rsidRPr="003C30C8">
              <w:rPr>
                <w:u w:val="single"/>
              </w:rPr>
              <w:t>Technologiniai veiksniai</w:t>
            </w:r>
          </w:p>
          <w:p w:rsidR="003F6B48" w:rsidRPr="003F6B48" w:rsidRDefault="00191650" w:rsidP="003F6B48">
            <w:pPr>
              <w:pStyle w:val="Antrats"/>
              <w:tabs>
                <w:tab w:val="left" w:pos="720"/>
              </w:tabs>
              <w:snapToGrid w:val="0"/>
              <w:ind w:firstLine="498"/>
              <w:jc w:val="both"/>
              <w:rPr>
                <w:b/>
                <w:szCs w:val="24"/>
              </w:rPr>
            </w:pPr>
            <w:r>
              <w:rPr>
                <w:szCs w:val="24"/>
              </w:rPr>
              <w:t>I</w:t>
            </w:r>
            <w:r w:rsidRPr="003F6B48">
              <w:rPr>
                <w:szCs w:val="24"/>
              </w:rPr>
              <w:t>nformacinių technologijų naudojimo namų ūkiuose tyrimo duomenimis</w:t>
            </w:r>
            <w:r>
              <w:rPr>
                <w:szCs w:val="24"/>
              </w:rPr>
              <w:t>,</w:t>
            </w:r>
            <w:r w:rsidRPr="003F6B48">
              <w:rPr>
                <w:szCs w:val="24"/>
              </w:rPr>
              <w:t xml:space="preserve"> </w:t>
            </w:r>
            <w:r w:rsidR="003F6B48" w:rsidRPr="003F6B48">
              <w:rPr>
                <w:szCs w:val="24"/>
              </w:rPr>
              <w:t>2014 m. pirmą ketvirtį asmeninius kompiuterius ir interneto prieigą nam</w:t>
            </w:r>
            <w:r>
              <w:rPr>
                <w:szCs w:val="24"/>
              </w:rPr>
              <w:t>i</w:t>
            </w:r>
            <w:r w:rsidR="003F6B48" w:rsidRPr="003F6B48">
              <w:rPr>
                <w:szCs w:val="24"/>
              </w:rPr>
              <w:t xml:space="preserve">e turėjo 66 proc. namų ūkių. Asmeninius kompiuterius </w:t>
            </w:r>
            <w:r w:rsidR="003F6B48" w:rsidRPr="003F6B48">
              <w:rPr>
                <w:szCs w:val="24"/>
              </w:rPr>
              <w:lastRenderedPageBreak/>
              <w:t xml:space="preserve">turinčių namų ūkių dalis per metus beveik nepakito, o turinčių interneto prieigą – padidėjo </w:t>
            </w:r>
            <w:r>
              <w:rPr>
                <w:szCs w:val="24"/>
              </w:rPr>
              <w:t>1</w:t>
            </w:r>
            <w:r w:rsidR="003F6B48" w:rsidRPr="003F6B48">
              <w:rPr>
                <w:szCs w:val="24"/>
              </w:rPr>
              <w:t xml:space="preserve"> proc</w:t>
            </w:r>
            <w:r>
              <w:rPr>
                <w:szCs w:val="24"/>
              </w:rPr>
              <w:t>.</w:t>
            </w:r>
            <w:r w:rsidR="00D2593D">
              <w:rPr>
                <w:szCs w:val="24"/>
              </w:rPr>
              <w:t xml:space="preserve"> </w:t>
            </w:r>
            <w:r w:rsidR="003F6B48">
              <w:rPr>
                <w:szCs w:val="24"/>
              </w:rPr>
              <w:t xml:space="preserve"> </w:t>
            </w:r>
            <w:r w:rsidR="003F6B48" w:rsidRPr="003F6B48">
              <w:rPr>
                <w:szCs w:val="24"/>
              </w:rPr>
              <w:t>Mieste kompiuterius nam</w:t>
            </w:r>
            <w:r>
              <w:rPr>
                <w:szCs w:val="24"/>
              </w:rPr>
              <w:t>i</w:t>
            </w:r>
            <w:r w:rsidR="003F6B48" w:rsidRPr="003F6B48">
              <w:rPr>
                <w:szCs w:val="24"/>
              </w:rPr>
              <w:t>e turėjo 71 proc., kaime – 57 proc. namų ūkių, o interneto prieigą – atitinkamai 70 ir 58 proc.</w:t>
            </w:r>
            <w:r w:rsidR="003F6B48">
              <w:rPr>
                <w:szCs w:val="24"/>
              </w:rPr>
              <w:t xml:space="preserve"> </w:t>
            </w:r>
            <w:r w:rsidR="003F6B48" w:rsidRPr="003F6B48">
              <w:rPr>
                <w:szCs w:val="24"/>
              </w:rPr>
              <w:t>Beveik visi (99 proc.) namų ūkiai, turintys nam</w:t>
            </w:r>
            <w:r>
              <w:rPr>
                <w:szCs w:val="24"/>
              </w:rPr>
              <w:t>i</w:t>
            </w:r>
            <w:r w:rsidR="003F6B48" w:rsidRPr="003F6B48">
              <w:rPr>
                <w:szCs w:val="24"/>
              </w:rPr>
              <w:t>e interneto prieigą, naudojosi plačiajuosčiu ryšiu, įskaitant ir mobilųjį. 2014 m. pirmą ketvirtį kompiuteriu naudojosi 72 proc. 16–74 metų amžiaus gyventojų. Didelė dalis besinaudojančių kompiuteriu asmenų yra jauni žmonės. Kompiuteriu naudojosi 97 proc. 16–24 metų amžiaus ir 94 proc. 25–34 metų amžiaus gyventojų. Iš 65–74 metų amžiaus gyventojų 2014 m. pirmą ketvirtį kompiuteriu naudojosi 22 proc. asmenų, o 74 proc. niekada neteko juo naudotis.</w:t>
            </w:r>
          </w:p>
          <w:p w:rsidR="003F6B48" w:rsidRPr="003F6B48" w:rsidRDefault="003F6B48" w:rsidP="003F6B48">
            <w:pPr>
              <w:pStyle w:val="prastasiniatinklio"/>
              <w:spacing w:before="0" w:beforeAutospacing="0" w:after="0" w:afterAutospacing="0"/>
              <w:ind w:firstLine="540"/>
              <w:jc w:val="both"/>
            </w:pPr>
            <w:r w:rsidRPr="003F6B48">
              <w:t>Bent kartą per metus valstybės institucijų ar kitų viešųjų paslaugų įstaigų elektroninėmis paslaugomis pasinaudojo 55 proc. 16–74 metų amžiaus internautų, arba 40 proc. visų šios amžiaus grupės gyventojų (2013 m. tyrimo duomenimis – atitinkamai 49 ir 34 proc.).</w:t>
            </w:r>
          </w:p>
          <w:p w:rsidR="00491393" w:rsidRPr="003F6B48" w:rsidRDefault="00491393" w:rsidP="003F6B48">
            <w:pPr>
              <w:pStyle w:val="prastasiniatinklio"/>
              <w:spacing w:before="0" w:beforeAutospacing="0" w:after="0" w:afterAutospacing="0"/>
              <w:ind w:firstLine="540"/>
              <w:jc w:val="both"/>
            </w:pPr>
            <w:r w:rsidRPr="003F6B48">
              <w:rPr>
                <w:lang w:eastAsia="ar-SA"/>
              </w:rPr>
              <w:t>Geriausiai iš</w:t>
            </w:r>
            <w:r w:rsidR="00191650">
              <w:rPr>
                <w:lang w:eastAsia="ar-SA"/>
              </w:rPr>
              <w:t>plėto</w:t>
            </w:r>
            <w:r w:rsidRPr="003F6B48">
              <w:rPr>
                <w:lang w:eastAsia="ar-SA"/>
              </w:rPr>
              <w:t>tos elektroninės viešosios paslaugos Lietuvoje – susijusios su gyventojų pajamų deklaravimu, įsidarbinimo paslaugomis, viešųjų bibliotekų saugomos informacijos paieška, socialinėmis įmokomis, muitinės deklaracijomis, statistikos duomenų pateikimu, viešaisiais pirkimais.</w:t>
            </w:r>
          </w:p>
          <w:p w:rsidR="009A5788" w:rsidRDefault="003F6B48" w:rsidP="003F6B48">
            <w:pPr>
              <w:pStyle w:val="prastasiniatinklio"/>
              <w:spacing w:before="0" w:beforeAutospacing="0" w:after="0" w:afterAutospacing="0"/>
              <w:ind w:firstLine="540"/>
              <w:jc w:val="both"/>
            </w:pPr>
            <w:r w:rsidRPr="003F6B48">
              <w:t>Mobiliaisiais telefonais 2014 m. pirmą ketvirtį naudojosi 97 proc. visų 16–74 metų amžiaus gyventojų. Tarp vyresnio amžiaus asmenų judriojo ryšio vartotojų buvo šiek tiek mažiau nei tarp jaunimo. Mobiliaisiais telefonais naudojosi 87 proc. 65–74 metų amžiaus gyventojų, kitose amžiaus grupėse – 95 ir daugiau proc., o tarp 16–24 metų amžiaus jaunimo mobiliaisiais telefonais nesinaudojo tik 2 iš tūkstančio asmenų.</w:t>
            </w:r>
          </w:p>
        </w:tc>
      </w:tr>
      <w:tr w:rsidR="009A5788">
        <w:tc>
          <w:tcPr>
            <w:tcW w:w="9900" w:type="dxa"/>
            <w:gridSpan w:val="2"/>
            <w:tcBorders>
              <w:top w:val="single" w:sz="4" w:space="0" w:color="auto"/>
              <w:left w:val="single" w:sz="4" w:space="0" w:color="000000"/>
              <w:bottom w:val="single" w:sz="4" w:space="0" w:color="auto"/>
              <w:right w:val="single" w:sz="4" w:space="0" w:color="000000"/>
            </w:tcBorders>
          </w:tcPr>
          <w:p w:rsidR="009A5788" w:rsidRDefault="009A5788">
            <w:pPr>
              <w:pStyle w:val="Antrats"/>
              <w:tabs>
                <w:tab w:val="left" w:pos="720"/>
              </w:tabs>
              <w:snapToGrid w:val="0"/>
              <w:ind w:firstLine="38"/>
              <w:jc w:val="center"/>
              <w:rPr>
                <w:b/>
              </w:rPr>
            </w:pPr>
            <w:r>
              <w:rPr>
                <w:b/>
              </w:rPr>
              <w:lastRenderedPageBreak/>
              <w:t>Vidinės aplinkos analizė</w:t>
            </w:r>
          </w:p>
        </w:tc>
      </w:tr>
      <w:tr w:rsidR="009A5788">
        <w:tc>
          <w:tcPr>
            <w:tcW w:w="9900" w:type="dxa"/>
            <w:gridSpan w:val="2"/>
            <w:tcBorders>
              <w:top w:val="single" w:sz="4" w:space="0" w:color="auto"/>
              <w:left w:val="single" w:sz="4" w:space="0" w:color="000000"/>
              <w:bottom w:val="single" w:sz="4" w:space="0" w:color="auto"/>
              <w:right w:val="single" w:sz="4" w:space="0" w:color="000000"/>
            </w:tcBorders>
          </w:tcPr>
          <w:p w:rsidR="009A5788" w:rsidRDefault="009A5788">
            <w:pPr>
              <w:pStyle w:val="Antrats"/>
              <w:tabs>
                <w:tab w:val="left" w:pos="720"/>
              </w:tabs>
              <w:snapToGrid w:val="0"/>
              <w:ind w:firstLine="498"/>
              <w:rPr>
                <w:b/>
              </w:rPr>
            </w:pPr>
            <w:r>
              <w:rPr>
                <w:b/>
              </w:rPr>
              <w:t>Organizacinė struktūra</w:t>
            </w:r>
            <w:r w:rsidR="000D7E6B">
              <w:rPr>
                <w:b/>
              </w:rPr>
              <w:t>.</w:t>
            </w:r>
          </w:p>
          <w:p w:rsidR="009A5788" w:rsidRDefault="009A5788">
            <w:pPr>
              <w:pStyle w:val="Pagrindiniotekstotrauka"/>
              <w:spacing w:after="0"/>
              <w:ind w:left="0" w:firstLine="498"/>
              <w:jc w:val="both"/>
            </w:pPr>
            <w:r>
              <w:t>Panevėžio rajono savivaldybės instituciją sudaro atstovaujamoji institucija, tai yra Savivaldybės taryba, ir vykdomoji institucija, tai yra Savivaldybės administracijos direktorius, turin</w:t>
            </w:r>
            <w:r w:rsidR="00276E36">
              <w:t>ty</w:t>
            </w:r>
            <w:r>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A5788" w:rsidRDefault="009A5788">
            <w:pPr>
              <w:pStyle w:val="Pagrindiniotekstotrauka"/>
              <w:spacing w:after="0"/>
              <w:ind w:left="0" w:firstLine="498"/>
              <w:jc w:val="both"/>
            </w:pPr>
            <w:r>
              <w:t xml:space="preserve">Vietos valdžios funkcijas įstatymų nustatyta tvarka atlieka Savivaldybės taryba. Viešojo administravimo funkcijas įstatymų nustatyta tvarka atlieka Savivaldybės taryba, </w:t>
            </w:r>
            <w:r>
              <w:rPr>
                <w:caps/>
              </w:rPr>
              <w:t>s</w:t>
            </w:r>
            <w:r>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w:t>
            </w:r>
            <w:r w:rsidR="000B1548">
              <w:t>ės</w:t>
            </w:r>
            <w:r>
              <w:t xml:space="preserve"> įsteigti paslaugų teikėjai arba pagal su savivaldyb</w:t>
            </w:r>
            <w:r w:rsidR="000B1548">
              <w:t>e</w:t>
            </w:r>
            <w:r>
              <w:t xml:space="preserve"> sudarytas sutartis kiti fiziniai bei juridiniai asmenys, pasirenkami viešai.</w:t>
            </w:r>
          </w:p>
          <w:p w:rsidR="009A5788" w:rsidRDefault="009A5788">
            <w:pPr>
              <w:pStyle w:val="Antrats"/>
              <w:tabs>
                <w:tab w:val="left" w:pos="720"/>
              </w:tabs>
              <w:snapToGrid w:val="0"/>
              <w:ind w:firstLine="498"/>
              <w:jc w:val="both"/>
            </w:pPr>
            <w:r>
              <w:t xml:space="preserve">Savivaldybės administraciją sudaro: administracijos direktorius, administracijos direktoriaus pavaduotojas, Švietimo, kultūros ir sporto, Socialinės paramos, Investicijų ir užsienio ryšių, Mokesčių administravimo, Finansų, Vietinio ūkio, Vaikų teisių apsaugos, Archyvų, Informacinių technologijų, Ekonomikos ir turto valdymo, Centralizuotas vidaus audito, Architektūros, Žemės ūkio, Personalo </w:t>
            </w:r>
            <w:r w:rsidR="00827A7E">
              <w:t>administravimo</w:t>
            </w:r>
            <w:r>
              <w:t>, Civilinės metrikacijos, Apskaitos, Juridinis</w:t>
            </w:r>
            <w:r w:rsidR="009C65B9">
              <w:t xml:space="preserve"> ir </w:t>
            </w:r>
            <w:r>
              <w:t xml:space="preserve">Kanceliarijos </w:t>
            </w:r>
            <w:r w:rsidR="00827A7E">
              <w:t>skyri</w:t>
            </w:r>
            <w:r w:rsidR="009C65B9">
              <w:t>ai</w:t>
            </w:r>
            <w:r>
              <w:t>,</w:t>
            </w:r>
            <w:r w:rsidR="001208E0">
              <w:t xml:space="preserve"> Ūkio tarnyba,</w:t>
            </w:r>
            <w:r>
              <w:t xml:space="preserve"> </w:t>
            </w:r>
            <w:r w:rsidR="009C65B9">
              <w:t>s</w:t>
            </w:r>
            <w:r>
              <w:t>avivaldybės gydytojas</w:t>
            </w:r>
            <w:r w:rsidR="00A40CCA">
              <w:t xml:space="preserve"> (vyr. specialistas)</w:t>
            </w:r>
            <w:r>
              <w:t xml:space="preserve">, </w:t>
            </w:r>
            <w:r w:rsidR="00827A7E">
              <w:t>v</w:t>
            </w:r>
            <w:r>
              <w:t xml:space="preserve">yr. specialistas paveldui, </w:t>
            </w:r>
            <w:r w:rsidR="00827A7E" w:rsidRPr="00A40CCA">
              <w:t>c</w:t>
            </w:r>
            <w:r w:rsidRPr="00A40CCA">
              <w:t>ivilinė</w:t>
            </w:r>
            <w:r w:rsidR="00093DA3" w:rsidRPr="00A40CCA">
              <w:t>s saugos</w:t>
            </w:r>
            <w:r w:rsidR="009B6E45" w:rsidRPr="00A40CCA">
              <w:t xml:space="preserve"> ir mobilizacijos</w:t>
            </w:r>
            <w:r w:rsidR="00093DA3" w:rsidRPr="00A40CCA">
              <w:t xml:space="preserve"> vyr. specialistas</w:t>
            </w:r>
            <w:r w:rsidR="009B6E45">
              <w:t xml:space="preserve">, </w:t>
            </w:r>
            <w:r w:rsidR="00827A7E">
              <w:t>j</w:t>
            </w:r>
            <w:r w:rsidR="009B6E45">
              <w:t>aunimo reikalų koordinatorius</w:t>
            </w:r>
            <w:r w:rsidR="000B1548">
              <w:t xml:space="preserve"> (vyr. specialistas)</w:t>
            </w:r>
            <w:r w:rsidR="009B6E45">
              <w:t xml:space="preserve"> </w:t>
            </w:r>
            <w:r w:rsidR="00093DA3">
              <w:t>ir 12</w:t>
            </w:r>
            <w:r>
              <w:t xml:space="preserve"> seniūnijų: Krekenavos, Miežiškių, Vadoklių, Smilgių, Ramygalos, Karsakiškio,</w:t>
            </w:r>
            <w:r w:rsidR="00093DA3">
              <w:t xml:space="preserve"> Paįstrio,</w:t>
            </w:r>
            <w:r>
              <w:t xml:space="preserve"> Panevėžio, Raguvos, Upytės, Naujamiesčio, </w:t>
            </w:r>
            <w:proofErr w:type="spellStart"/>
            <w:r>
              <w:t>Velžio</w:t>
            </w:r>
            <w:proofErr w:type="spellEnd"/>
            <w:r w:rsidR="000B4350">
              <w:t>.</w:t>
            </w:r>
          </w:p>
          <w:p w:rsidR="009A5788" w:rsidRPr="004D4B38" w:rsidRDefault="009A5788">
            <w:pPr>
              <w:pStyle w:val="Antrats"/>
              <w:tabs>
                <w:tab w:val="left" w:pos="720"/>
              </w:tabs>
              <w:snapToGrid w:val="0"/>
              <w:ind w:firstLine="498"/>
              <w:rPr>
                <w:b/>
              </w:rPr>
            </w:pPr>
            <w:r w:rsidRPr="004D4B38">
              <w:rPr>
                <w:b/>
              </w:rPr>
              <w:t>Žmogiškieji ištekliai.</w:t>
            </w:r>
          </w:p>
          <w:p w:rsidR="009A5788" w:rsidRPr="00951290" w:rsidRDefault="009A5788">
            <w:pPr>
              <w:shd w:val="clear" w:color="auto" w:fill="FFFFFF"/>
              <w:ind w:firstLine="498"/>
              <w:jc w:val="both"/>
              <w:rPr>
                <w:lang w:eastAsia="ar-SA"/>
              </w:rPr>
            </w:pPr>
            <w:r w:rsidRPr="00951290">
              <w:rPr>
                <w:lang w:eastAsia="ar-SA"/>
              </w:rPr>
              <w:t xml:space="preserve">Savivaldybės administracijoje </w:t>
            </w:r>
            <w:r w:rsidR="006D6F35" w:rsidRPr="00951290">
              <w:rPr>
                <w:lang w:eastAsia="ar-SA"/>
              </w:rPr>
              <w:t>201</w:t>
            </w:r>
            <w:r w:rsidR="00026141">
              <w:rPr>
                <w:lang w:eastAsia="ar-SA"/>
              </w:rPr>
              <w:t>5</w:t>
            </w:r>
            <w:r w:rsidR="006D6F35" w:rsidRPr="00951290">
              <w:rPr>
                <w:lang w:eastAsia="ar-SA"/>
              </w:rPr>
              <w:t xml:space="preserve"> m. </w:t>
            </w:r>
            <w:r w:rsidR="008D0616" w:rsidRPr="00951290">
              <w:rPr>
                <w:lang w:eastAsia="ar-SA"/>
              </w:rPr>
              <w:t xml:space="preserve">sausio </w:t>
            </w:r>
            <w:r w:rsidR="006D6F35" w:rsidRPr="00951290">
              <w:rPr>
                <w:lang w:eastAsia="ar-SA"/>
              </w:rPr>
              <w:t>1 d.</w:t>
            </w:r>
            <w:r w:rsidRPr="00951290">
              <w:rPr>
                <w:lang w:eastAsia="ar-SA"/>
              </w:rPr>
              <w:t xml:space="preserve"> didžiausias leistinas pareigybių skaičius</w:t>
            </w:r>
            <w:r w:rsidR="00951290" w:rsidRPr="00951290">
              <w:rPr>
                <w:lang w:eastAsia="ar-SA"/>
              </w:rPr>
              <w:t xml:space="preserve"> buvo</w:t>
            </w:r>
            <w:r w:rsidRPr="00951290">
              <w:rPr>
                <w:lang w:eastAsia="ar-SA"/>
              </w:rPr>
              <w:t xml:space="preserve"> </w:t>
            </w:r>
            <w:r w:rsidR="006D6F35" w:rsidRPr="00951290">
              <w:rPr>
                <w:lang w:eastAsia="ar-SA"/>
              </w:rPr>
              <w:t>2</w:t>
            </w:r>
            <w:r w:rsidR="00026141">
              <w:rPr>
                <w:lang w:eastAsia="ar-SA"/>
              </w:rPr>
              <w:t>39,5</w:t>
            </w:r>
            <w:r w:rsidRPr="00951290">
              <w:rPr>
                <w:lang w:eastAsia="ar-SA"/>
              </w:rPr>
              <w:t>, iš jų</w:t>
            </w:r>
            <w:r w:rsidR="006D6F35" w:rsidRPr="00951290">
              <w:rPr>
                <w:lang w:eastAsia="ar-SA"/>
              </w:rPr>
              <w:t xml:space="preserve"> patvirtintos: 10</w:t>
            </w:r>
            <w:r w:rsidR="004D4B38" w:rsidRPr="00951290">
              <w:rPr>
                <w:lang w:eastAsia="ar-SA"/>
              </w:rPr>
              <w:t>4</w:t>
            </w:r>
            <w:r w:rsidRPr="00951290">
              <w:rPr>
                <w:lang w:eastAsia="ar-SA"/>
              </w:rPr>
              <w:t xml:space="preserve"> valsty</w:t>
            </w:r>
            <w:r w:rsidR="006D6F35" w:rsidRPr="00951290">
              <w:rPr>
                <w:lang w:eastAsia="ar-SA"/>
              </w:rPr>
              <w:t>bės tarnautojų pareigybės ir 13</w:t>
            </w:r>
            <w:r w:rsidR="00026141">
              <w:rPr>
                <w:lang w:eastAsia="ar-SA"/>
              </w:rPr>
              <w:t>5,5</w:t>
            </w:r>
            <w:r w:rsidRPr="00951290">
              <w:rPr>
                <w:lang w:eastAsia="ar-SA"/>
              </w:rPr>
              <w:t xml:space="preserve"> darbuotojų, dirbančių pagal darbo sutartis ir gaunančių darbo užmokestį iš savivaldybės biudžeto.</w:t>
            </w:r>
          </w:p>
          <w:p w:rsidR="009A5788" w:rsidRDefault="009A5788">
            <w:pPr>
              <w:pStyle w:val="Pagrindinistekstas"/>
              <w:spacing w:after="0"/>
              <w:ind w:firstLine="498"/>
              <w:jc w:val="both"/>
            </w:pPr>
            <w:r w:rsidRPr="00951290">
              <w:t>Didžioji dalis Savivaldybės administracijos valstybės tarnautojų turi 9 ir 12 pareigybinę kate</w:t>
            </w:r>
            <w:r w:rsidR="006D6F35" w:rsidRPr="00951290">
              <w:t>goriją. 96</w:t>
            </w:r>
            <w:r w:rsidRPr="00951290">
              <w:t xml:space="preserve"> proc. savivaldybės administracijos valsty</w:t>
            </w:r>
            <w:r w:rsidR="00951290" w:rsidRPr="00951290">
              <w:t>bės tarnautojų turi nuo 3 iki 23</w:t>
            </w:r>
            <w:r w:rsidRPr="00951290">
              <w:t xml:space="preserve"> metų valstybės tarnybos darbo stažą.</w:t>
            </w:r>
            <w:r w:rsidR="00951290">
              <w:t xml:space="preserve"> Valstybės tarnautojų</w:t>
            </w:r>
            <w:r w:rsidR="00026141">
              <w:t xml:space="preserve"> kvalifikacija įvertinta taip: 4</w:t>
            </w:r>
            <w:r w:rsidR="00951290">
              <w:t xml:space="preserve"> valstybės tarnautojai tu</w:t>
            </w:r>
            <w:r w:rsidR="00026141">
              <w:t>ri pirmą kvalifikacinę klasę, 32</w:t>
            </w:r>
            <w:r w:rsidR="00951290">
              <w:t xml:space="preserve"> – antrą</w:t>
            </w:r>
            <w:r w:rsidR="000D7E6B">
              <w:t>,</w:t>
            </w:r>
            <w:r w:rsidR="00026141">
              <w:t xml:space="preserve"> 54</w:t>
            </w:r>
            <w:r w:rsidR="00951290">
              <w:t xml:space="preserve"> </w:t>
            </w:r>
            <w:r w:rsidR="000D7E6B">
              <w:t>–</w:t>
            </w:r>
            <w:r w:rsidR="00951290">
              <w:t xml:space="preserve"> trečią kvalifikacinę klasę.</w:t>
            </w:r>
          </w:p>
          <w:p w:rsidR="009A5788" w:rsidRDefault="009A5788">
            <w:pPr>
              <w:ind w:firstLine="498"/>
              <w:jc w:val="both"/>
              <w:rPr>
                <w:b/>
                <w:lang w:eastAsia="ar-SA"/>
              </w:rPr>
            </w:pPr>
            <w:r>
              <w:rPr>
                <w:b/>
                <w:lang w:eastAsia="ar-SA"/>
              </w:rPr>
              <w:t>Planavimo sistema.</w:t>
            </w:r>
          </w:p>
          <w:p w:rsidR="009A5788" w:rsidRDefault="009A5788">
            <w:pPr>
              <w:pStyle w:val="prastasistinklapis1"/>
              <w:spacing w:before="0" w:after="0"/>
              <w:ind w:firstLine="498"/>
              <w:jc w:val="both"/>
              <w:rPr>
                <w:lang w:val="lt-LT"/>
              </w:rPr>
            </w:pPr>
            <w:r>
              <w:rPr>
                <w:lang w:val="lt-LT"/>
              </w:rPr>
              <w:t>Rajono plėtra</w:t>
            </w:r>
            <w:r w:rsidR="00AA4E7B">
              <w:rPr>
                <w:lang w:val="lt-LT"/>
              </w:rPr>
              <w:t xml:space="preserve"> planuojama rengiant du svarbiausius</w:t>
            </w:r>
            <w:r>
              <w:rPr>
                <w:lang w:val="lt-LT"/>
              </w:rPr>
              <w:t xml:space="preserve"> dokumentus – strateginį plėtros planą ir teritorijos bendrąjį planą.</w:t>
            </w:r>
          </w:p>
          <w:p w:rsidR="009A5788" w:rsidRDefault="00790884">
            <w:pPr>
              <w:ind w:firstLine="498"/>
              <w:jc w:val="both"/>
              <w:rPr>
                <w:lang w:eastAsia="ar-SA"/>
              </w:rPr>
            </w:pPr>
            <w:r>
              <w:rPr>
                <w:lang w:eastAsia="ar-SA"/>
              </w:rPr>
              <w:lastRenderedPageBreak/>
              <w:t>Rajono 2008</w:t>
            </w:r>
            <w:r w:rsidR="00827A7E">
              <w:rPr>
                <w:lang w:eastAsia="ar-SA"/>
              </w:rPr>
              <w:t>–</w:t>
            </w:r>
            <w:r>
              <w:rPr>
                <w:lang w:eastAsia="ar-SA"/>
              </w:rPr>
              <w:t>2015 m. s</w:t>
            </w:r>
            <w:r w:rsidR="009A5788">
              <w:rPr>
                <w:lang w:eastAsia="ar-SA"/>
              </w:rPr>
              <w:t xml:space="preserve">trateginis plėtros planas </w:t>
            </w:r>
            <w:r>
              <w:rPr>
                <w:lang w:eastAsia="ar-SA"/>
              </w:rPr>
              <w:t xml:space="preserve">patvirtintas </w:t>
            </w:r>
            <w:r w:rsidR="003C5AAF">
              <w:rPr>
                <w:lang w:eastAsia="ar-SA"/>
              </w:rPr>
              <w:t>Savivaldybės t</w:t>
            </w:r>
            <w:r>
              <w:rPr>
                <w:lang w:eastAsia="ar-SA"/>
              </w:rPr>
              <w:t xml:space="preserve">arybos </w:t>
            </w:r>
            <w:r w:rsidR="00827A7E">
              <w:rPr>
                <w:lang w:eastAsia="ar-SA"/>
              </w:rPr>
              <w:t xml:space="preserve">2009 m. sausio 29 d. </w:t>
            </w:r>
            <w:r>
              <w:rPr>
                <w:lang w:eastAsia="ar-SA"/>
              </w:rPr>
              <w:t>sprendimu Nr. T-20</w:t>
            </w:r>
            <w:r w:rsidR="00853C60">
              <w:rPr>
                <w:lang w:eastAsia="ar-SA"/>
              </w:rPr>
              <w:t xml:space="preserve"> „Dėl Panevėžio rajono 2008–2015 metų strateginio plėtros plano patvirtinimo“</w:t>
            </w:r>
            <w:r>
              <w:rPr>
                <w:lang w:eastAsia="ar-SA"/>
              </w:rPr>
              <w:t xml:space="preserve">. </w:t>
            </w:r>
            <w:r w:rsidR="00853C60">
              <w:rPr>
                <w:lang w:eastAsia="ar-SA"/>
              </w:rPr>
              <w:t xml:space="preserve">Savivaldybės tarybos </w:t>
            </w:r>
            <w:r w:rsidR="003C5AAF">
              <w:rPr>
                <w:lang w:eastAsia="ar-SA"/>
              </w:rPr>
              <w:t xml:space="preserve">2014 m. birželio 19 d. </w:t>
            </w:r>
            <w:r w:rsidR="00853C60">
              <w:rPr>
                <w:lang w:eastAsia="ar-SA"/>
              </w:rPr>
              <w:t>sprendimu Nr. T-127 patvirtintas</w:t>
            </w:r>
            <w:r w:rsidR="00A40CCA">
              <w:rPr>
                <w:lang w:eastAsia="ar-SA"/>
              </w:rPr>
              <w:t xml:space="preserve"> Panevėžio rajono 2016–2022 m. strateginis plėtros planas</w:t>
            </w:r>
            <w:r w:rsidR="00853C60">
              <w:rPr>
                <w:lang w:eastAsia="ar-SA"/>
              </w:rPr>
              <w:t>, kuris įsigalios 2016 m. sausio 1 d.</w:t>
            </w:r>
          </w:p>
          <w:p w:rsidR="008D51D2" w:rsidRDefault="008D51D2" w:rsidP="008D51D2">
            <w:pPr>
              <w:ind w:firstLine="498"/>
              <w:jc w:val="both"/>
              <w:rPr>
                <w:lang w:eastAsia="ar-SA"/>
              </w:rPr>
            </w:pPr>
            <w:r>
              <w:rPr>
                <w:lang w:eastAsia="ar-SA"/>
              </w:rPr>
              <w:t>Teritorijos bendrasis planas patvirtintas 2008 m</w:t>
            </w:r>
            <w:r w:rsidR="003C5AAF">
              <w:rPr>
                <w:lang w:eastAsia="ar-SA"/>
              </w:rPr>
              <w:t>.</w:t>
            </w:r>
            <w:r>
              <w:rPr>
                <w:lang w:eastAsia="ar-SA"/>
              </w:rPr>
              <w:t>, jame numatyti svarbiausi teritorinės plėtros sprendiniai.</w:t>
            </w:r>
          </w:p>
          <w:p w:rsidR="009A5788" w:rsidRDefault="009A5788">
            <w:pPr>
              <w:ind w:firstLine="498"/>
              <w:jc w:val="both"/>
              <w:rPr>
                <w:b/>
                <w:lang w:eastAsia="ar-SA"/>
              </w:rPr>
            </w:pPr>
            <w:r>
              <w:rPr>
                <w:b/>
                <w:lang w:eastAsia="ar-SA"/>
              </w:rPr>
              <w:t>Finansiniai ištekliai.</w:t>
            </w:r>
          </w:p>
          <w:p w:rsidR="009A5788" w:rsidRDefault="009A5788">
            <w:pPr>
              <w:ind w:firstLine="498"/>
              <w:jc w:val="both"/>
              <w:rPr>
                <w:lang w:eastAsia="ar-SA"/>
              </w:rPr>
            </w:pPr>
            <w:r>
              <w:rPr>
                <w:lang w:eastAsia="ar-SA"/>
              </w:rPr>
              <w:t>Savivaldybės strateginio veiklos plano programų pagrindinis finansavimo šaltinis –</w:t>
            </w:r>
            <w:r w:rsidR="007E3DF0">
              <w:rPr>
                <w:lang w:eastAsia="ar-SA"/>
              </w:rPr>
              <w:t xml:space="preserve"> </w:t>
            </w:r>
            <w:r>
              <w:rPr>
                <w:lang w:eastAsia="ar-SA"/>
              </w:rPr>
              <w:t xml:space="preserve">savivaldybės lėšos (biudžetas ir privatizavimo fondas), tačiau kasmet pritraukiamas finansavimas iš kitų šaltinių, pvz., Europos Sąjungos paramos lėšos, valstybės biudžeto lėšos ir kt. </w:t>
            </w:r>
          </w:p>
          <w:p w:rsidR="009A5788" w:rsidRDefault="009A5788">
            <w:pPr>
              <w:ind w:firstLine="498"/>
              <w:jc w:val="both"/>
              <w:rPr>
                <w:b/>
                <w:lang w:eastAsia="ar-SA"/>
              </w:rPr>
            </w:pPr>
            <w:r>
              <w:rPr>
                <w:b/>
                <w:lang w:eastAsia="ar-SA"/>
              </w:rPr>
              <w:t>Ryšių sistema, informacinės ir komunikavimo sistemos.</w:t>
            </w:r>
          </w:p>
          <w:p w:rsidR="009A5788" w:rsidRDefault="009A5788">
            <w:pPr>
              <w:pStyle w:val="prastasistinklapis1"/>
              <w:spacing w:before="0" w:after="0"/>
              <w:ind w:firstLine="498"/>
              <w:jc w:val="both"/>
              <w:rPr>
                <w:lang w:val="lt-LT"/>
              </w:rPr>
            </w:pPr>
            <w:r>
              <w:rPr>
                <w:lang w:val="lt-LT"/>
              </w:rPr>
              <w:t xml:space="preserve">Savivaldybės įvaizdžio formavimui ir informacijos sklaidai </w:t>
            </w:r>
            <w:r w:rsidRPr="008172EC">
              <w:rPr>
                <w:lang w:val="lt-LT"/>
              </w:rPr>
              <w:t xml:space="preserve">reikšminga </w:t>
            </w:r>
            <w:hyperlink r:id="rId11" w:history="1">
              <w:r w:rsidRPr="008D51D2">
                <w:rPr>
                  <w:rStyle w:val="Hipersaitas"/>
                  <w:color w:val="auto"/>
                  <w:u w:val="none"/>
                  <w:lang w:val="pt-BR"/>
                </w:rPr>
                <w:t>www.panrs.lt</w:t>
              </w:r>
            </w:hyperlink>
            <w:r>
              <w:rPr>
                <w:lang w:val="pt-BR"/>
              </w:rPr>
              <w:t xml:space="preserve"> </w:t>
            </w:r>
            <w:r>
              <w:rPr>
                <w:lang w:val="lt-LT"/>
              </w:rPr>
              <w:t>internet</w:t>
            </w:r>
            <w:r w:rsidR="003C5AAF">
              <w:rPr>
                <w:lang w:val="lt-LT"/>
              </w:rPr>
              <w:t>inė</w:t>
            </w:r>
            <w:r>
              <w:rPr>
                <w:lang w:val="lt-LT"/>
              </w:rPr>
              <w:t xml:space="preserve"> svetainė. Joje skelbiama</w:t>
            </w:r>
            <w:r>
              <w:rPr>
                <w:color w:val="000000"/>
                <w:lang w:val="lt-LT"/>
              </w:rPr>
              <w:t xml:space="preserve"> informacija apie </w:t>
            </w:r>
            <w:r w:rsidR="002D0263">
              <w:rPr>
                <w:color w:val="000000"/>
                <w:lang w:val="lt-LT"/>
              </w:rPr>
              <w:t>rajoną</w:t>
            </w:r>
            <w:r>
              <w:rPr>
                <w:color w:val="000000"/>
                <w:lang w:val="lt-LT"/>
              </w:rPr>
              <w:t>, verslo aplinką, investicijas, organizacinę struktūrą, renginius, priimtus sprendimus, aktualias bendruomenei naujienas.</w:t>
            </w:r>
          </w:p>
          <w:p w:rsidR="009A5788" w:rsidRDefault="009A5788">
            <w:pPr>
              <w:ind w:firstLine="498"/>
              <w:jc w:val="both"/>
              <w:rPr>
                <w:b/>
                <w:lang w:eastAsia="ar-SA"/>
              </w:rPr>
            </w:pPr>
            <w:r>
              <w:rPr>
                <w:b/>
                <w:lang w:eastAsia="ar-SA"/>
              </w:rPr>
              <w:t>Vidaus darbo kontrolė.</w:t>
            </w:r>
          </w:p>
          <w:p w:rsidR="009A5788" w:rsidRDefault="009A5788" w:rsidP="008D51D2">
            <w:pPr>
              <w:pStyle w:val="Antrats"/>
              <w:tabs>
                <w:tab w:val="left" w:pos="720"/>
              </w:tabs>
              <w:snapToGrid w:val="0"/>
              <w:ind w:firstLine="498"/>
              <w:jc w:val="both"/>
              <w:rPr>
                <w:b/>
              </w:rPr>
            </w:pPr>
            <w:r>
              <w:t xml:space="preserve">Lietuvos Respublikos vidaus kontrolės ir vidaus audito įstatyme numatyta, kad savivaldybių administracijoje turi būti įsteigtos vidaus audito tarnybos. Vykdant šį įstatymą, savivaldybės administracijoje </w:t>
            </w:r>
            <w:r w:rsidR="008D51D2">
              <w:t>yra</w:t>
            </w:r>
            <w:r>
              <w:t xml:space="preserve"> Centralizuota vidaus audito tarnyba.</w:t>
            </w:r>
          </w:p>
        </w:tc>
      </w:tr>
      <w:tr w:rsidR="009A5788">
        <w:tc>
          <w:tcPr>
            <w:tcW w:w="9900" w:type="dxa"/>
            <w:gridSpan w:val="2"/>
            <w:tcBorders>
              <w:top w:val="single" w:sz="4" w:space="0" w:color="auto"/>
              <w:left w:val="single" w:sz="4" w:space="0" w:color="000000"/>
              <w:bottom w:val="single" w:sz="4" w:space="0" w:color="auto"/>
              <w:right w:val="single" w:sz="4" w:space="0" w:color="000000"/>
            </w:tcBorders>
          </w:tcPr>
          <w:p w:rsidR="009A5788" w:rsidRDefault="009A5788">
            <w:pPr>
              <w:pStyle w:val="Antrats"/>
              <w:tabs>
                <w:tab w:val="left" w:pos="720"/>
              </w:tabs>
              <w:snapToGrid w:val="0"/>
              <w:jc w:val="center"/>
              <w:rPr>
                <w:b/>
              </w:rPr>
            </w:pPr>
            <w:r>
              <w:rPr>
                <w:b/>
              </w:rPr>
              <w:lastRenderedPageBreak/>
              <w:t>Stiprybių, silpnybių, grėsmių ir galimybių (SSGG) analizė:</w:t>
            </w:r>
          </w:p>
        </w:tc>
      </w:tr>
      <w:tr w:rsidR="009A5788">
        <w:tc>
          <w:tcPr>
            <w:tcW w:w="9900" w:type="dxa"/>
            <w:gridSpan w:val="2"/>
            <w:tcBorders>
              <w:top w:val="single" w:sz="4" w:space="0" w:color="auto"/>
              <w:left w:val="single" w:sz="4" w:space="0" w:color="000000"/>
              <w:bottom w:val="single" w:sz="4" w:space="0" w:color="000000"/>
              <w:right w:val="single" w:sz="4" w:space="0" w:color="000000"/>
            </w:tcBorders>
          </w:tcPr>
          <w:p w:rsidR="009A5788" w:rsidRDefault="009A5788">
            <w:pPr>
              <w:pStyle w:val="Antrats"/>
              <w:tabs>
                <w:tab w:val="left" w:pos="720"/>
              </w:tabs>
              <w:snapToGrid w:val="0"/>
              <w:ind w:firstLine="540"/>
              <w:rPr>
                <w:b/>
              </w:rPr>
            </w:pPr>
            <w:r>
              <w:rPr>
                <w:b/>
              </w:rPr>
              <w:t>Stiprybės</w:t>
            </w:r>
          </w:p>
          <w:p w:rsidR="009A5788" w:rsidRPr="00A4497E" w:rsidRDefault="00A22FD6">
            <w:pPr>
              <w:pStyle w:val="Antrats"/>
              <w:numPr>
                <w:ilvl w:val="0"/>
                <w:numId w:val="6"/>
              </w:numPr>
              <w:tabs>
                <w:tab w:val="num" w:pos="-2340"/>
                <w:tab w:val="left" w:pos="540"/>
              </w:tabs>
              <w:snapToGrid w:val="0"/>
              <w:ind w:left="540" w:hanging="326"/>
              <w:jc w:val="both"/>
            </w:pPr>
            <w:r w:rsidRPr="00A4497E">
              <w:t>95,5</w:t>
            </w:r>
            <w:r w:rsidR="009A5788" w:rsidRPr="00A4497E">
              <w:t xml:space="preserve"> proc. bendrojo </w:t>
            </w:r>
            <w:r w:rsidR="000B1548" w:rsidRPr="00A4497E">
              <w:t>ugdy</w:t>
            </w:r>
            <w:r w:rsidR="009A5788" w:rsidRPr="00A4497E">
              <w:t xml:space="preserve">mo mokyklų mokytojų </w:t>
            </w:r>
            <w:r w:rsidR="000B1548" w:rsidRPr="00A4497E">
              <w:t>yra</w:t>
            </w:r>
            <w:r w:rsidR="009A5788" w:rsidRPr="00A4497E">
              <w:t xml:space="preserve"> įgiję aukštąjį išsilavinimą.</w:t>
            </w:r>
          </w:p>
          <w:p w:rsidR="009A5788" w:rsidRDefault="009A5788">
            <w:pPr>
              <w:pStyle w:val="Antrats"/>
              <w:numPr>
                <w:ilvl w:val="0"/>
                <w:numId w:val="6"/>
              </w:numPr>
              <w:tabs>
                <w:tab w:val="num" w:pos="-2340"/>
                <w:tab w:val="left" w:pos="540"/>
              </w:tabs>
              <w:snapToGrid w:val="0"/>
              <w:ind w:left="540" w:hanging="326"/>
              <w:jc w:val="both"/>
              <w:rPr>
                <w:lang w:eastAsia="lt-LT"/>
              </w:rPr>
            </w:pPr>
            <w:r w:rsidRPr="00A4497E">
              <w:rPr>
                <w:lang w:eastAsia="lt-LT"/>
              </w:rPr>
              <w:t>Tenkinami moksleivių saviraiškos</w:t>
            </w:r>
            <w:r w:rsidR="000D7E6B" w:rsidRPr="00A4497E">
              <w:rPr>
                <w:lang w:eastAsia="lt-LT"/>
              </w:rPr>
              <w:t xml:space="preserve"> </w:t>
            </w:r>
            <w:r w:rsidRPr="00A4497E">
              <w:rPr>
                <w:lang w:eastAsia="lt-LT"/>
              </w:rPr>
              <w:t>/</w:t>
            </w:r>
            <w:r w:rsidR="000D7E6B" w:rsidRPr="00A4497E">
              <w:rPr>
                <w:lang w:eastAsia="lt-LT"/>
              </w:rPr>
              <w:t xml:space="preserve"> </w:t>
            </w:r>
            <w:r w:rsidRPr="00A4497E">
              <w:rPr>
                <w:lang w:eastAsia="lt-LT"/>
              </w:rPr>
              <w:t xml:space="preserve">neformaliojo </w:t>
            </w:r>
            <w:r w:rsidR="000B1548" w:rsidRPr="00A4497E">
              <w:rPr>
                <w:lang w:eastAsia="lt-LT"/>
              </w:rPr>
              <w:t>švieti</w:t>
            </w:r>
            <w:r w:rsidRPr="00A4497E">
              <w:rPr>
                <w:lang w:eastAsia="lt-LT"/>
              </w:rPr>
              <w:t>mo poreikiai.</w:t>
            </w:r>
          </w:p>
          <w:p w:rsidR="009A5788" w:rsidRDefault="009A5788">
            <w:pPr>
              <w:pStyle w:val="Antrats"/>
              <w:numPr>
                <w:ilvl w:val="0"/>
                <w:numId w:val="6"/>
              </w:numPr>
              <w:tabs>
                <w:tab w:val="num" w:pos="-2340"/>
                <w:tab w:val="left" w:pos="540"/>
              </w:tabs>
              <w:snapToGrid w:val="0"/>
              <w:ind w:left="540" w:hanging="326"/>
              <w:jc w:val="both"/>
            </w:pPr>
            <w:r>
              <w:t>Išplėtotas bibliotekų ir kultūros centrų tinklas, ženkli pažanga modernizuojant bibliotekas, išplėtotas viešųjų interneto prieigų tinklas.</w:t>
            </w:r>
          </w:p>
          <w:p w:rsidR="009A5788" w:rsidRDefault="009A5788">
            <w:pPr>
              <w:pStyle w:val="Antrats"/>
              <w:numPr>
                <w:ilvl w:val="0"/>
                <w:numId w:val="6"/>
              </w:numPr>
              <w:tabs>
                <w:tab w:val="num" w:pos="-2340"/>
                <w:tab w:val="left" w:pos="540"/>
              </w:tabs>
              <w:snapToGrid w:val="0"/>
              <w:ind w:left="540" w:hanging="326"/>
              <w:jc w:val="both"/>
            </w:pPr>
            <w:r>
              <w:t>Svarbią vietą užima Panevėžio rajono verslo konsultacinis centras.</w:t>
            </w:r>
          </w:p>
          <w:p w:rsidR="009A5788" w:rsidRDefault="009A5788">
            <w:pPr>
              <w:pStyle w:val="Antrats"/>
              <w:numPr>
                <w:ilvl w:val="0"/>
                <w:numId w:val="6"/>
              </w:numPr>
              <w:tabs>
                <w:tab w:val="num" w:pos="-2340"/>
                <w:tab w:val="left" w:pos="540"/>
              </w:tabs>
              <w:snapToGrid w:val="0"/>
              <w:ind w:left="540" w:hanging="326"/>
              <w:jc w:val="both"/>
            </w:pPr>
            <w:r>
              <w:t>Didėjantis išduotų leidimų statybai skaičius.</w:t>
            </w:r>
          </w:p>
          <w:p w:rsidR="009A5788" w:rsidRDefault="009A5788">
            <w:pPr>
              <w:pStyle w:val="Antrats"/>
              <w:numPr>
                <w:ilvl w:val="0"/>
                <w:numId w:val="6"/>
              </w:numPr>
              <w:tabs>
                <w:tab w:val="num" w:pos="-2340"/>
                <w:tab w:val="left" w:pos="540"/>
              </w:tabs>
              <w:snapToGrid w:val="0"/>
              <w:ind w:left="540" w:hanging="326"/>
              <w:jc w:val="both"/>
            </w:pPr>
            <w:r>
              <w:t>Įgyvendintas Ramygalos plyno lauko projektas.</w:t>
            </w:r>
          </w:p>
          <w:p w:rsidR="009A5788" w:rsidRDefault="007E3DF0">
            <w:pPr>
              <w:pStyle w:val="Antrats"/>
              <w:numPr>
                <w:ilvl w:val="0"/>
                <w:numId w:val="6"/>
              </w:numPr>
              <w:tabs>
                <w:tab w:val="num" w:pos="-2340"/>
                <w:tab w:val="left" w:pos="540"/>
              </w:tabs>
              <w:snapToGrid w:val="0"/>
              <w:ind w:left="540" w:hanging="326"/>
              <w:jc w:val="both"/>
            </w:pPr>
            <w:r>
              <w:t>Parengtas ir pa</w:t>
            </w:r>
            <w:r w:rsidR="009A5788">
              <w:t>tvirtintas Panevėžio rajono savivaldybės teritorijos bendrasis planas.</w:t>
            </w:r>
          </w:p>
          <w:p w:rsidR="009A5788" w:rsidRDefault="009A5788">
            <w:pPr>
              <w:pStyle w:val="Antrats"/>
              <w:tabs>
                <w:tab w:val="left" w:pos="720"/>
              </w:tabs>
              <w:snapToGrid w:val="0"/>
              <w:ind w:left="639" w:hanging="99"/>
              <w:rPr>
                <w:b/>
              </w:rPr>
            </w:pPr>
            <w:r>
              <w:rPr>
                <w:b/>
              </w:rPr>
              <w:t>Silpnybės</w:t>
            </w:r>
          </w:p>
          <w:p w:rsidR="009A5788" w:rsidRPr="00A4497E" w:rsidRDefault="009A5788">
            <w:pPr>
              <w:pStyle w:val="Antrats"/>
              <w:numPr>
                <w:ilvl w:val="1"/>
                <w:numId w:val="1"/>
              </w:numPr>
              <w:tabs>
                <w:tab w:val="clear" w:pos="1800"/>
                <w:tab w:val="num" w:pos="540"/>
              </w:tabs>
              <w:snapToGrid w:val="0"/>
              <w:ind w:left="540"/>
              <w:jc w:val="both"/>
            </w:pPr>
            <w:r w:rsidRPr="00A4497E">
              <w:t xml:space="preserve">Nepakankamai tolygiai užpildytos bendrojo </w:t>
            </w:r>
            <w:r w:rsidR="000B1548" w:rsidRPr="00A4497E">
              <w:t>ugdy</w:t>
            </w:r>
            <w:r w:rsidRPr="00A4497E">
              <w:t>mo ir ikimokyklinio ugdymo įstaigos.</w:t>
            </w:r>
          </w:p>
          <w:p w:rsidR="009A5788" w:rsidRPr="00A4497E" w:rsidRDefault="009A5788">
            <w:pPr>
              <w:pStyle w:val="Antrats"/>
              <w:numPr>
                <w:ilvl w:val="0"/>
                <w:numId w:val="1"/>
              </w:numPr>
              <w:tabs>
                <w:tab w:val="num" w:pos="-2340"/>
                <w:tab w:val="left" w:pos="540"/>
              </w:tabs>
              <w:snapToGrid w:val="0"/>
              <w:ind w:left="540" w:hanging="326"/>
              <w:jc w:val="both"/>
            </w:pPr>
            <w:r w:rsidRPr="00A4497E">
              <w:t>Nusidėvėjusi švietimo įstaigų materialinė bazė.</w:t>
            </w:r>
          </w:p>
          <w:p w:rsidR="009A5788" w:rsidRPr="00A4497E" w:rsidRDefault="009A5788">
            <w:pPr>
              <w:pStyle w:val="Antrats"/>
              <w:numPr>
                <w:ilvl w:val="0"/>
                <w:numId w:val="1"/>
              </w:numPr>
              <w:tabs>
                <w:tab w:val="num" w:pos="-2340"/>
                <w:tab w:val="left" w:pos="540"/>
              </w:tabs>
              <w:snapToGrid w:val="0"/>
              <w:ind w:left="540" w:hanging="326"/>
              <w:jc w:val="both"/>
            </w:pPr>
            <w:r w:rsidRPr="00A4497E">
              <w:t>Nepakankamai iš</w:t>
            </w:r>
            <w:r w:rsidR="008B50A9" w:rsidRPr="00A4497E">
              <w:t>plėto</w:t>
            </w:r>
            <w:r w:rsidRPr="00A4497E">
              <w:t>ta sporto infrastruktūra.</w:t>
            </w:r>
          </w:p>
          <w:p w:rsidR="009A5788" w:rsidRDefault="009A5788">
            <w:pPr>
              <w:pStyle w:val="Antrats"/>
              <w:numPr>
                <w:ilvl w:val="0"/>
                <w:numId w:val="1"/>
              </w:numPr>
              <w:tabs>
                <w:tab w:val="num" w:pos="-2340"/>
                <w:tab w:val="left" w:pos="540"/>
              </w:tabs>
              <w:snapToGrid w:val="0"/>
              <w:ind w:left="540" w:hanging="326"/>
              <w:jc w:val="both"/>
            </w:pPr>
            <w:r>
              <w:t>Nepakankama būsto kokybė (daug avarinės būklės būstų, nepakankamas jų aprūpinimas patogumais).</w:t>
            </w:r>
          </w:p>
          <w:p w:rsidR="009A5788" w:rsidRDefault="009A5788">
            <w:pPr>
              <w:pStyle w:val="Antrats"/>
              <w:numPr>
                <w:ilvl w:val="0"/>
                <w:numId w:val="1"/>
              </w:numPr>
              <w:tabs>
                <w:tab w:val="num" w:pos="-2340"/>
                <w:tab w:val="left" w:pos="540"/>
              </w:tabs>
              <w:snapToGrid w:val="0"/>
              <w:ind w:left="540" w:hanging="326"/>
              <w:jc w:val="both"/>
            </w:pPr>
            <w:r>
              <w:t>Lėtai vykstanti daugiabučių namų šiluminė renovacija.</w:t>
            </w:r>
          </w:p>
          <w:p w:rsidR="009A5788" w:rsidRDefault="009A5788">
            <w:pPr>
              <w:pStyle w:val="Antrats"/>
              <w:numPr>
                <w:ilvl w:val="0"/>
                <w:numId w:val="1"/>
              </w:numPr>
              <w:tabs>
                <w:tab w:val="num" w:pos="-2340"/>
                <w:tab w:val="left" w:pos="540"/>
              </w:tabs>
              <w:snapToGrid w:val="0"/>
              <w:ind w:left="540" w:hanging="326"/>
              <w:jc w:val="both"/>
            </w:pPr>
            <w:r>
              <w:t>Ilgas laukimo eilėje gauti socialinį būstą laikotarpis.</w:t>
            </w:r>
          </w:p>
          <w:p w:rsidR="009A5788" w:rsidRDefault="009A5788">
            <w:pPr>
              <w:pStyle w:val="Antrats"/>
              <w:numPr>
                <w:ilvl w:val="0"/>
                <w:numId w:val="1"/>
              </w:numPr>
              <w:tabs>
                <w:tab w:val="num" w:pos="-2340"/>
                <w:tab w:val="left" w:pos="540"/>
              </w:tabs>
              <w:snapToGrid w:val="0"/>
              <w:ind w:left="540" w:hanging="326"/>
              <w:jc w:val="both"/>
            </w:pPr>
            <w:r>
              <w:t>Nepakankamai iš</w:t>
            </w:r>
            <w:r w:rsidR="008B50A9">
              <w:t>plėto</w:t>
            </w:r>
            <w:r>
              <w:t>tas socialinių paslaugų tinklas (ypač dienos socialinių centrų ir teikiamų nam</w:t>
            </w:r>
            <w:r w:rsidR="008B50A9">
              <w:t>i</w:t>
            </w:r>
            <w:r>
              <w:t>e paslaugų).</w:t>
            </w:r>
          </w:p>
          <w:p w:rsidR="009A5788" w:rsidRDefault="009A5788">
            <w:pPr>
              <w:pStyle w:val="Antrats"/>
              <w:tabs>
                <w:tab w:val="left" w:pos="720"/>
              </w:tabs>
              <w:snapToGrid w:val="0"/>
              <w:ind w:firstLine="540"/>
              <w:rPr>
                <w:b/>
              </w:rPr>
            </w:pPr>
            <w:r>
              <w:rPr>
                <w:b/>
              </w:rPr>
              <w:t>Galimybės</w:t>
            </w:r>
          </w:p>
          <w:p w:rsidR="009A5788" w:rsidRDefault="009A5788">
            <w:pPr>
              <w:pStyle w:val="Antrats"/>
              <w:numPr>
                <w:ilvl w:val="0"/>
                <w:numId w:val="4"/>
              </w:numPr>
              <w:tabs>
                <w:tab w:val="left" w:pos="540"/>
              </w:tabs>
              <w:snapToGrid w:val="0"/>
              <w:ind w:left="540" w:hanging="326"/>
              <w:jc w:val="both"/>
            </w:pPr>
            <w:r>
              <w:t>Bedarbių perkvalifikavimo ir gyventojų verslumo skatinimo programų (projektų) inicijavimas ir vykdymas siekiant sumažinti nedarbo riziką.</w:t>
            </w:r>
          </w:p>
          <w:p w:rsidR="009A5788" w:rsidRDefault="009A5788">
            <w:pPr>
              <w:pStyle w:val="Antrats"/>
              <w:numPr>
                <w:ilvl w:val="0"/>
                <w:numId w:val="4"/>
              </w:numPr>
              <w:tabs>
                <w:tab w:val="left" w:pos="540"/>
              </w:tabs>
              <w:snapToGrid w:val="0"/>
              <w:ind w:left="540" w:hanging="326"/>
              <w:jc w:val="both"/>
            </w:pPr>
            <w:r>
              <w:t>Nusikalstamumo prevencijos ir vaikų bei jaunimo užimtumo programų (projektų) įgyvendinimas siekiant sumažinti nusikalstamumo augimo riziką.</w:t>
            </w:r>
          </w:p>
          <w:p w:rsidR="009A5788" w:rsidRPr="00A4497E" w:rsidRDefault="009A5788">
            <w:pPr>
              <w:pStyle w:val="Antrats"/>
              <w:numPr>
                <w:ilvl w:val="0"/>
                <w:numId w:val="4"/>
              </w:numPr>
              <w:tabs>
                <w:tab w:val="left" w:pos="540"/>
              </w:tabs>
              <w:snapToGrid w:val="0"/>
              <w:ind w:left="540" w:hanging="326"/>
              <w:jc w:val="both"/>
            </w:pPr>
            <w:proofErr w:type="spellStart"/>
            <w:r>
              <w:t>Vandentiekos</w:t>
            </w:r>
            <w:proofErr w:type="spellEnd"/>
            <w:r>
              <w:t xml:space="preserve"> ir vandenvalos sistemų </w:t>
            </w:r>
            <w:r w:rsidR="008B50A9">
              <w:t>plėtra</w:t>
            </w:r>
            <w:r>
              <w:t xml:space="preserve"> ir modernizavimas bei nuotekų valymo sistemų </w:t>
            </w:r>
            <w:r w:rsidRPr="00A4497E">
              <w:t>įrengimas</w:t>
            </w:r>
            <w:r w:rsidR="00347B9F" w:rsidRPr="00A4497E">
              <w:t xml:space="preserve"> turė</w:t>
            </w:r>
            <w:r w:rsidR="003C5AAF">
              <w:t>tų</w:t>
            </w:r>
            <w:r w:rsidRPr="00A4497E">
              <w:t xml:space="preserve"> teigiam</w:t>
            </w:r>
            <w:r w:rsidR="00347B9F" w:rsidRPr="00A4497E">
              <w:t>os</w:t>
            </w:r>
            <w:r w:rsidRPr="00A4497E">
              <w:t xml:space="preserve"> įtakos gamtin</w:t>
            </w:r>
            <w:r w:rsidR="00347B9F" w:rsidRPr="00A4497E">
              <w:t>ei</w:t>
            </w:r>
            <w:r w:rsidRPr="00A4497E">
              <w:t xml:space="preserve"> aplink</w:t>
            </w:r>
            <w:r w:rsidR="00347B9F" w:rsidRPr="00A4497E">
              <w:t>ai</w:t>
            </w:r>
            <w:r w:rsidRPr="00A4497E">
              <w:t>, ypač vandens kokyb</w:t>
            </w:r>
            <w:r w:rsidR="00347B9F" w:rsidRPr="00A4497E">
              <w:t>ei</w:t>
            </w:r>
            <w:r w:rsidRPr="00A4497E">
              <w:t>.</w:t>
            </w:r>
          </w:p>
          <w:p w:rsidR="009A5788" w:rsidRPr="00A4497E" w:rsidRDefault="009A5788">
            <w:pPr>
              <w:pStyle w:val="Antrats"/>
              <w:numPr>
                <w:ilvl w:val="0"/>
                <w:numId w:val="4"/>
              </w:numPr>
              <w:tabs>
                <w:tab w:val="left" w:pos="540"/>
              </w:tabs>
              <w:snapToGrid w:val="0"/>
              <w:ind w:left="540" w:hanging="326"/>
              <w:jc w:val="both"/>
            </w:pPr>
            <w:r w:rsidRPr="00A4497E">
              <w:t xml:space="preserve">Bendrojo </w:t>
            </w:r>
            <w:r w:rsidR="00C45E82" w:rsidRPr="00A4497E">
              <w:t>ugdy</w:t>
            </w:r>
            <w:r w:rsidRPr="00A4497E">
              <w:t>mo mokyklų ir ikimokyklinio ugdymo įstaigų tinklo pertvarkymas, siekiant padidinti teikiamų paslaugų kokybę ir sumažinti įstaigų išlaikymo kaštus.</w:t>
            </w:r>
          </w:p>
          <w:p w:rsidR="009A5788" w:rsidRPr="00A4497E" w:rsidRDefault="009A5788">
            <w:pPr>
              <w:pStyle w:val="Antrats"/>
              <w:numPr>
                <w:ilvl w:val="0"/>
                <w:numId w:val="4"/>
              </w:numPr>
              <w:tabs>
                <w:tab w:val="left" w:pos="540"/>
              </w:tabs>
              <w:snapToGrid w:val="0"/>
              <w:ind w:left="540" w:hanging="326"/>
              <w:jc w:val="both"/>
            </w:pPr>
            <w:r w:rsidRPr="00A4497E">
              <w:t>Sudaryti rajone sąlygas suaugusiųjų mokymuisi.</w:t>
            </w:r>
          </w:p>
          <w:p w:rsidR="009A5788" w:rsidRDefault="009A5788">
            <w:pPr>
              <w:pStyle w:val="Antrats"/>
              <w:numPr>
                <w:ilvl w:val="0"/>
                <w:numId w:val="4"/>
              </w:numPr>
              <w:tabs>
                <w:tab w:val="left" w:pos="540"/>
              </w:tabs>
              <w:snapToGrid w:val="0"/>
              <w:ind w:left="540" w:hanging="326"/>
              <w:jc w:val="both"/>
            </w:pPr>
            <w:r>
              <w:t>Gyventojų skatinimas burtis į bendrijas ir renovuoti bendro naudojimo objektus.</w:t>
            </w:r>
          </w:p>
          <w:p w:rsidR="009A5788" w:rsidRDefault="009A5788">
            <w:pPr>
              <w:pStyle w:val="Antrats"/>
              <w:numPr>
                <w:ilvl w:val="0"/>
                <w:numId w:val="4"/>
              </w:numPr>
              <w:tabs>
                <w:tab w:val="left" w:pos="540"/>
              </w:tabs>
              <w:snapToGrid w:val="0"/>
              <w:ind w:left="540" w:hanging="326"/>
              <w:jc w:val="both"/>
              <w:rPr>
                <w:lang w:eastAsia="lt-LT"/>
              </w:rPr>
            </w:pPr>
            <w:r>
              <w:rPr>
                <w:lang w:eastAsia="lt-LT"/>
              </w:rPr>
              <w:t>Spartesni socialinio būsto fondo butų remonto tempai, siekiant sumažinti laukiančiųjų socialinio būsto eilę.</w:t>
            </w:r>
          </w:p>
          <w:p w:rsidR="009A5788" w:rsidRDefault="009A5788">
            <w:pPr>
              <w:pStyle w:val="Antrats"/>
              <w:numPr>
                <w:ilvl w:val="0"/>
                <w:numId w:val="4"/>
              </w:numPr>
              <w:tabs>
                <w:tab w:val="left" w:pos="540"/>
              </w:tabs>
              <w:snapToGrid w:val="0"/>
              <w:ind w:left="540" w:hanging="326"/>
              <w:jc w:val="both"/>
            </w:pPr>
            <w:r>
              <w:lastRenderedPageBreak/>
              <w:t>Sveikatos priežiūros ir socialinių paslaugų kokybės gerinimas ir prieinamumo didinimas, sveikos gyvensenos ugdymas siekiant mažinti gyventojų sergamumą ir mirtingumą.</w:t>
            </w:r>
          </w:p>
          <w:p w:rsidR="009A5788" w:rsidRDefault="009A5788">
            <w:pPr>
              <w:pStyle w:val="Antrats"/>
              <w:numPr>
                <w:ilvl w:val="0"/>
                <w:numId w:val="4"/>
              </w:numPr>
              <w:tabs>
                <w:tab w:val="left" w:pos="540"/>
              </w:tabs>
              <w:snapToGrid w:val="0"/>
              <w:ind w:left="540" w:hanging="326"/>
              <w:jc w:val="both"/>
            </w:pPr>
            <w:r>
              <w:t xml:space="preserve">Fizinės ir socialinės infrastruktūros </w:t>
            </w:r>
            <w:r w:rsidR="008B50A9">
              <w:t>plėtra</w:t>
            </w:r>
            <w:r>
              <w:t xml:space="preserve"> didinant rajono gyvenamųjų vietovių patrauklumą ir gyvenimo kokybę.</w:t>
            </w:r>
          </w:p>
          <w:p w:rsidR="009A5788" w:rsidRDefault="009A5788">
            <w:pPr>
              <w:pStyle w:val="Antrats"/>
              <w:numPr>
                <w:ilvl w:val="0"/>
                <w:numId w:val="4"/>
              </w:numPr>
              <w:tabs>
                <w:tab w:val="left" w:pos="540"/>
              </w:tabs>
              <w:snapToGrid w:val="0"/>
              <w:ind w:left="540" w:hanging="326"/>
              <w:jc w:val="both"/>
            </w:pPr>
            <w:r>
              <w:t>Turizmo sektorius turi pakankamą plėtros potencialą, ypač pramoginis, kaimo ir pažintinis.</w:t>
            </w:r>
          </w:p>
          <w:p w:rsidR="009A5788" w:rsidRDefault="009A5788">
            <w:pPr>
              <w:pStyle w:val="Antrats"/>
              <w:tabs>
                <w:tab w:val="left" w:pos="720"/>
              </w:tabs>
              <w:snapToGrid w:val="0"/>
              <w:ind w:firstLine="540"/>
              <w:rPr>
                <w:b/>
              </w:rPr>
            </w:pPr>
            <w:r>
              <w:rPr>
                <w:b/>
              </w:rPr>
              <w:t>Grėsmės</w:t>
            </w:r>
          </w:p>
          <w:p w:rsidR="009A5788" w:rsidRDefault="009A5788">
            <w:pPr>
              <w:pStyle w:val="Antrats"/>
              <w:numPr>
                <w:ilvl w:val="1"/>
                <w:numId w:val="3"/>
              </w:numPr>
              <w:tabs>
                <w:tab w:val="clear" w:pos="4320"/>
                <w:tab w:val="left" w:pos="-2160"/>
                <w:tab w:val="left" w:pos="540"/>
              </w:tabs>
              <w:snapToGrid w:val="0"/>
              <w:ind w:left="540" w:hanging="326"/>
              <w:jc w:val="both"/>
            </w:pPr>
            <w:r>
              <w:t xml:space="preserve">Šalies ekonominė krizė gali </w:t>
            </w:r>
            <w:r w:rsidR="00F60E54">
              <w:t xml:space="preserve">turėti </w:t>
            </w:r>
            <w:r>
              <w:t>neigiam</w:t>
            </w:r>
            <w:r w:rsidR="00F60E54">
              <w:t>os</w:t>
            </w:r>
            <w:r>
              <w:t xml:space="preserve"> įtako</w:t>
            </w:r>
            <w:r w:rsidR="00F60E54">
              <w:t>s</w:t>
            </w:r>
            <w:r>
              <w:t xml:space="preserve"> planuojam</w:t>
            </w:r>
            <w:r w:rsidR="00F60E54">
              <w:t>ai</w:t>
            </w:r>
            <w:r>
              <w:t xml:space="preserve"> plėtr</w:t>
            </w:r>
            <w:r w:rsidR="00F60E54">
              <w:t>ai</w:t>
            </w:r>
            <w:r>
              <w:t>. Dėl infliacijos ir išaugusių energijos kainų mažėjančios gyventojų pajamos, didėjantis socialinių pašalpų gavėjų skaičius, skurdas, didėjanti emigracija, nedarbo lygio augimas.</w:t>
            </w:r>
          </w:p>
          <w:p w:rsidR="009A5788" w:rsidRDefault="009A5788">
            <w:pPr>
              <w:pStyle w:val="Antrats"/>
              <w:numPr>
                <w:ilvl w:val="1"/>
                <w:numId w:val="3"/>
              </w:numPr>
              <w:tabs>
                <w:tab w:val="clear" w:pos="4320"/>
                <w:tab w:val="left" w:pos="-2160"/>
                <w:tab w:val="left" w:pos="540"/>
              </w:tabs>
              <w:snapToGrid w:val="0"/>
              <w:ind w:left="540" w:hanging="326"/>
              <w:jc w:val="both"/>
            </w:pPr>
            <w:r>
              <w:t xml:space="preserve">Spartėjantis gyventojų senėjimas, mažėjantis darbingo amžiaus asmenų skaičius. Didėjant nedarbui, skurdui bei socialinės rizikos šeimų skaičiui ir neplėtojant prevencinių bei užimtumo veiklų, išaugs nusikalstamumo lygis (ypač </w:t>
            </w:r>
            <w:r w:rsidR="00F60E54">
              <w:t xml:space="preserve">tarp </w:t>
            </w:r>
            <w:r>
              <w:t>jaunimo).</w:t>
            </w:r>
          </w:p>
          <w:p w:rsidR="009A5788" w:rsidRDefault="009A5788">
            <w:pPr>
              <w:pStyle w:val="Antrats"/>
              <w:numPr>
                <w:ilvl w:val="1"/>
                <w:numId w:val="3"/>
              </w:numPr>
              <w:tabs>
                <w:tab w:val="clear" w:pos="4320"/>
                <w:tab w:val="left" w:pos="-2160"/>
                <w:tab w:val="left" w:pos="540"/>
              </w:tabs>
              <w:snapToGrid w:val="0"/>
              <w:ind w:left="540" w:hanging="326"/>
              <w:jc w:val="both"/>
            </w:pPr>
            <w:r>
              <w:t>Augaliją ir gyvūniją neigiamai veikia intensyvi žemės ūkio veikla, miškų ūkinis naudojimas, pelkių eksploatavimas ir durpių gavyba, vandens telkinių eksploatacija, rekreacija, urbanizacijos plėtra, privatūs ūkiniai interesai, aplinkos tarša.</w:t>
            </w:r>
          </w:p>
          <w:p w:rsidR="009A5788" w:rsidRPr="00A4497E" w:rsidRDefault="009A5788">
            <w:pPr>
              <w:pStyle w:val="Antrats"/>
              <w:numPr>
                <w:ilvl w:val="1"/>
                <w:numId w:val="3"/>
              </w:numPr>
              <w:tabs>
                <w:tab w:val="clear" w:pos="4320"/>
                <w:tab w:val="left" w:pos="-2160"/>
                <w:tab w:val="left" w:pos="540"/>
              </w:tabs>
              <w:snapToGrid w:val="0"/>
              <w:ind w:left="540" w:hanging="326"/>
              <w:jc w:val="both"/>
            </w:pPr>
            <w:r>
              <w:t xml:space="preserve">Daug Panevėžio rajono savivaldybės gyventojų buityje ir maistui naudoja gruntinį vandenį, kuris </w:t>
            </w:r>
            <w:r w:rsidRPr="00A4497E">
              <w:t>dažnai yra užterštas azoto junginiais (amonio nitratais ir nitritais).</w:t>
            </w:r>
          </w:p>
          <w:p w:rsidR="009A5788" w:rsidRPr="00A4497E" w:rsidRDefault="001F3DA0">
            <w:pPr>
              <w:pStyle w:val="Antrats"/>
              <w:numPr>
                <w:ilvl w:val="1"/>
                <w:numId w:val="3"/>
              </w:numPr>
              <w:tabs>
                <w:tab w:val="clear" w:pos="4320"/>
                <w:tab w:val="left" w:pos="-2160"/>
                <w:tab w:val="left" w:pos="540"/>
              </w:tabs>
              <w:snapToGrid w:val="0"/>
              <w:ind w:left="540" w:hanging="326"/>
              <w:jc w:val="both"/>
            </w:pPr>
            <w:r>
              <w:t>V</w:t>
            </w:r>
            <w:r w:rsidR="009A5788" w:rsidRPr="00A4497E">
              <w:t xml:space="preserve">isuomenės požiūris gali trukdyti optimizuoti bendrojo </w:t>
            </w:r>
            <w:r w:rsidR="00C45E82" w:rsidRPr="00A4497E">
              <w:t>ugdy</w:t>
            </w:r>
            <w:r w:rsidR="009A5788" w:rsidRPr="00A4497E">
              <w:t>mo mokyklų ir ikimokyklinio ugdymo įstaigų tinklą.</w:t>
            </w:r>
          </w:p>
          <w:p w:rsidR="009A5788" w:rsidRDefault="009A5788">
            <w:pPr>
              <w:pStyle w:val="Antrats"/>
              <w:numPr>
                <w:ilvl w:val="1"/>
                <w:numId w:val="3"/>
              </w:numPr>
              <w:tabs>
                <w:tab w:val="clear" w:pos="4320"/>
                <w:tab w:val="left" w:pos="-2160"/>
                <w:tab w:val="left" w:pos="540"/>
              </w:tabs>
              <w:snapToGrid w:val="0"/>
              <w:ind w:left="540" w:hanging="326"/>
              <w:jc w:val="both"/>
            </w:pPr>
            <w:r>
              <w:t>Nevykdant būsto renovacijos, blogės jo techninė būklė ir didės energijos išteklių suvartojimas.</w:t>
            </w:r>
          </w:p>
          <w:p w:rsidR="009A5788" w:rsidRDefault="009A5788">
            <w:pPr>
              <w:pStyle w:val="Antrats"/>
              <w:numPr>
                <w:ilvl w:val="1"/>
                <w:numId w:val="3"/>
              </w:numPr>
              <w:tabs>
                <w:tab w:val="clear" w:pos="4320"/>
                <w:tab w:val="left" w:pos="-2160"/>
                <w:tab w:val="left" w:pos="540"/>
              </w:tabs>
              <w:snapToGrid w:val="0"/>
              <w:ind w:left="540" w:hanging="326"/>
              <w:jc w:val="both"/>
            </w:pPr>
            <w:r>
              <w:t>Dėl lėtų aprūpinimo socialiniu būstu tempų socialiai remtiniems gyventojams ir šeimoms bus sunku pagerinti gyvenimo sąlygas.</w:t>
            </w:r>
          </w:p>
          <w:p w:rsidR="009A5788" w:rsidRDefault="009A5788">
            <w:pPr>
              <w:pStyle w:val="Antrats"/>
              <w:numPr>
                <w:ilvl w:val="1"/>
                <w:numId w:val="3"/>
              </w:numPr>
              <w:tabs>
                <w:tab w:val="clear" w:pos="4320"/>
                <w:tab w:val="left" w:pos="-2160"/>
                <w:tab w:val="left" w:pos="540"/>
              </w:tabs>
              <w:snapToGrid w:val="0"/>
              <w:ind w:left="540" w:hanging="326"/>
              <w:jc w:val="both"/>
            </w:pPr>
            <w:r>
              <w:t>Dėl nekankamo apsirūpinimo sveikatos priežiūros ištekliais bus vėliau diagnozuojamos gyventojų ligos ir blogės bendra gyventojų sveikatos būklė.</w:t>
            </w:r>
          </w:p>
          <w:p w:rsidR="009A5788" w:rsidRDefault="009A5788">
            <w:pPr>
              <w:pStyle w:val="Antrats"/>
              <w:numPr>
                <w:ilvl w:val="1"/>
                <w:numId w:val="3"/>
              </w:numPr>
              <w:tabs>
                <w:tab w:val="clear" w:pos="4320"/>
                <w:tab w:val="left" w:pos="-2160"/>
                <w:tab w:val="left" w:pos="540"/>
              </w:tabs>
              <w:snapToGrid w:val="0"/>
              <w:ind w:left="540" w:hanging="326"/>
              <w:jc w:val="both"/>
            </w:pPr>
            <w:r>
              <w:t xml:space="preserve">Valstybės regioninė politika nėra palanki savivaldybei, kuri, nepatekdama į probleminių teritorijų sąrašą, netenka galimybės gauti ES paramos lėšas kai kuriems projektams vykdyti. </w:t>
            </w:r>
          </w:p>
          <w:p w:rsidR="009A5788" w:rsidRDefault="00A40CCA">
            <w:pPr>
              <w:pStyle w:val="Antrats"/>
              <w:numPr>
                <w:ilvl w:val="1"/>
                <w:numId w:val="3"/>
              </w:numPr>
              <w:tabs>
                <w:tab w:val="clear" w:pos="4320"/>
                <w:tab w:val="left" w:pos="-2160"/>
                <w:tab w:val="left" w:pos="540"/>
              </w:tabs>
              <w:snapToGrid w:val="0"/>
              <w:ind w:left="540" w:hanging="326"/>
              <w:jc w:val="both"/>
            </w:pPr>
            <w:r>
              <w:t xml:space="preserve"> </w:t>
            </w:r>
            <w:r w:rsidR="009A5788">
              <w:t xml:space="preserve">Panevėžio rajono savivaldybės plėtra itin priklauso nuo Panevėžio miesto savivaldybės plėtros, </w:t>
            </w:r>
            <w:r w:rsidR="004A7AC8">
              <w:t>tai</w:t>
            </w:r>
            <w:r w:rsidR="009A5788">
              <w:t xml:space="preserve"> kai kuriais atvejais gali trukdyti suplanuotai rajono plėtrai.</w:t>
            </w:r>
          </w:p>
          <w:p w:rsidR="009A5788" w:rsidRDefault="00A40CCA">
            <w:pPr>
              <w:pStyle w:val="Antrats"/>
              <w:numPr>
                <w:ilvl w:val="1"/>
                <w:numId w:val="3"/>
              </w:numPr>
              <w:tabs>
                <w:tab w:val="clear" w:pos="4320"/>
                <w:tab w:val="left" w:pos="-2160"/>
                <w:tab w:val="left" w:pos="540"/>
              </w:tabs>
              <w:snapToGrid w:val="0"/>
              <w:ind w:left="540" w:hanging="326"/>
              <w:jc w:val="both"/>
            </w:pPr>
            <w:r>
              <w:t xml:space="preserve"> </w:t>
            </w:r>
            <w:r w:rsidR="009A5788">
              <w:t>Ilgai trunkantis ir brangus gyventojų, gyvenančių labai mažose gyvenvietėse, aprūpinimo fizine ir socialine infrastruktūra bei paslaugomis procesas.</w:t>
            </w:r>
          </w:p>
        </w:tc>
      </w:tr>
      <w:tr w:rsidR="009A5788">
        <w:trPr>
          <w:trHeight w:val="386"/>
        </w:trPr>
        <w:tc>
          <w:tcPr>
            <w:tcW w:w="9000" w:type="dxa"/>
            <w:tcBorders>
              <w:top w:val="single" w:sz="4" w:space="0" w:color="000000"/>
              <w:left w:val="single" w:sz="4" w:space="0" w:color="000000"/>
              <w:bottom w:val="single" w:sz="4" w:space="0" w:color="auto"/>
            </w:tcBorders>
          </w:tcPr>
          <w:p w:rsidR="009A5788" w:rsidRDefault="009A5788">
            <w:pPr>
              <w:pStyle w:val="Antrats"/>
              <w:tabs>
                <w:tab w:val="clear" w:pos="4320"/>
                <w:tab w:val="clear" w:pos="8640"/>
              </w:tabs>
              <w:snapToGrid w:val="0"/>
              <w:rPr>
                <w:b/>
              </w:rPr>
            </w:pPr>
            <w:r>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Default="009A5788">
            <w:pPr>
              <w:pStyle w:val="Antrats"/>
              <w:tabs>
                <w:tab w:val="clear" w:pos="4320"/>
                <w:tab w:val="clear" w:pos="8640"/>
              </w:tabs>
              <w:snapToGrid w:val="0"/>
              <w:jc w:val="center"/>
              <w:rPr>
                <w:b/>
              </w:rPr>
            </w:pPr>
            <w:r>
              <w:rPr>
                <w:b/>
              </w:rPr>
              <w:t>Kodas</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pPr>
            <w:r>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r>
              <w:t>01</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t>Strateginio tikslo aprašymas:</w:t>
            </w:r>
          </w:p>
          <w:p w:rsidR="009A5788" w:rsidRDefault="009A5788">
            <w:pPr>
              <w:pStyle w:val="Antrats"/>
              <w:tabs>
                <w:tab w:val="clear" w:pos="4320"/>
                <w:tab w:val="clear" w:pos="8640"/>
              </w:tabs>
              <w:snapToGrid w:val="0"/>
              <w:jc w:val="both"/>
            </w:pPr>
            <w:r>
              <w:t>Įgyvendinant šį tikslą bus vykdomos priemonės</w:t>
            </w:r>
            <w:r w:rsidR="00C45E82">
              <w:t>,</w:t>
            </w:r>
            <w:r>
              <w:t xml:space="preserve"> skirtos savivaldybės valdymo tobulinimui, siekiant savivaldybės įstaigas padaryti atviresnes bendruomenei</w:t>
            </w:r>
            <w:r w:rsidR="001F3DA0">
              <w:t>,</w:t>
            </w:r>
            <w:r>
              <w:t xml:space="preserve"> bei veiklos efektyvumo gerinimui.</w:t>
            </w:r>
          </w:p>
          <w:p w:rsidR="009A5788" w:rsidRDefault="009A5788">
            <w:pPr>
              <w:pStyle w:val="Antrats"/>
              <w:tabs>
                <w:tab w:val="clear" w:pos="4320"/>
                <w:tab w:val="clear" w:pos="8640"/>
              </w:tabs>
              <w:snapToGrid w:val="0"/>
              <w:jc w:val="both"/>
            </w:pPr>
            <w:r>
              <w:t>Ypač didelis dėmesys bus skiriamas ugdymo procesui: sąlygų kokybiškam ugdymuisi sudarymui, programų įvairovei, neformalia</w:t>
            </w:r>
            <w:r w:rsidR="00C45E82">
              <w:t>ja</w:t>
            </w:r>
            <w:r>
              <w:t xml:space="preserve">m </w:t>
            </w:r>
            <w:r w:rsidR="00C45E82">
              <w:t>švieti</w:t>
            </w:r>
            <w:r>
              <w:t>mui.</w:t>
            </w:r>
          </w:p>
          <w:p w:rsidR="009A5788" w:rsidRDefault="009A5788">
            <w:pPr>
              <w:pStyle w:val="Antrats"/>
              <w:tabs>
                <w:tab w:val="clear" w:pos="4320"/>
                <w:tab w:val="clear" w:pos="8640"/>
              </w:tabs>
              <w:snapToGrid w:val="0"/>
              <w:jc w:val="both"/>
              <w:rPr>
                <w:b/>
              </w:rPr>
            </w:pPr>
            <w:r>
              <w:t>Taip pat, siekiant paskatinti Panevėžio rajono bendruomenę būti aktyvią, bus vykdomos priemonės</w:t>
            </w:r>
            <w:r w:rsidR="00C45E82">
              <w:t>,</w:t>
            </w:r>
            <w:r>
              <w:t xml:space="preserve"> susijusios su kultūrine, sportine veikla, jaunimo projektais, bendruomenių iniciatyvų skatinimu.</w:t>
            </w:r>
          </w:p>
          <w:p w:rsidR="009A5788" w:rsidRDefault="009A5788">
            <w:pPr>
              <w:pStyle w:val="Antrats"/>
              <w:tabs>
                <w:tab w:val="clear" w:pos="4320"/>
                <w:tab w:val="clear" w:pos="8640"/>
              </w:tabs>
              <w:snapToGrid w:val="0"/>
              <w:jc w:val="both"/>
              <w:rPr>
                <w:b/>
              </w:rPr>
            </w:pPr>
            <w:r>
              <w:rPr>
                <w:b/>
              </w:rPr>
              <w:t>Efekto kriterijai:</w:t>
            </w:r>
          </w:p>
          <w:p w:rsidR="009A5788" w:rsidRDefault="009A5788">
            <w:pPr>
              <w:pStyle w:val="Antrats"/>
              <w:tabs>
                <w:tab w:val="clear" w:pos="4320"/>
                <w:tab w:val="clear" w:pos="8640"/>
              </w:tabs>
              <w:snapToGrid w:val="0"/>
              <w:jc w:val="both"/>
            </w:pPr>
            <w:r>
              <w:t xml:space="preserve">E-01-01 </w:t>
            </w:r>
            <w:r w:rsidR="00827A7E">
              <w:t>–</w:t>
            </w:r>
            <w:r>
              <w:t xml:space="preserve"> gyventojų išsilavinimo lygis savivaldybėje (1</w:t>
            </w:r>
            <w:r w:rsidR="00827A7E">
              <w:t xml:space="preserve"> </w:t>
            </w:r>
            <w:r>
              <w:t>000</w:t>
            </w:r>
            <w:r w:rsidR="00827A7E">
              <w:t>-</w:t>
            </w:r>
            <w:r>
              <w:t>iui 10 metų ir vyresnių gyventojų tenka turinčių aukštąjį išsilavinimą);</w:t>
            </w:r>
          </w:p>
          <w:p w:rsidR="009A5788" w:rsidRDefault="009A5788">
            <w:pPr>
              <w:pStyle w:val="Antrats"/>
              <w:tabs>
                <w:tab w:val="clear" w:pos="4320"/>
                <w:tab w:val="clear" w:pos="8640"/>
              </w:tabs>
              <w:snapToGrid w:val="0"/>
              <w:jc w:val="both"/>
            </w:pPr>
            <w:r>
              <w:t xml:space="preserve">E-01-02 </w:t>
            </w:r>
            <w:r w:rsidR="00827A7E">
              <w:t>–</w:t>
            </w:r>
            <w:r>
              <w:t xml:space="preserve"> savivaldyb</w:t>
            </w:r>
            <w:r w:rsidR="009621AC">
              <w:t>ės</w:t>
            </w:r>
            <w:r>
              <w:t xml:space="preserve"> tarybos rinkimuose dalyvaujančių rajono gyventojų procentas;</w:t>
            </w:r>
          </w:p>
          <w:p w:rsidR="009A5788" w:rsidRDefault="009A5788">
            <w:pPr>
              <w:pStyle w:val="Antrats"/>
              <w:tabs>
                <w:tab w:val="clear" w:pos="4320"/>
                <w:tab w:val="clear" w:pos="8640"/>
              </w:tabs>
              <w:snapToGrid w:val="0"/>
              <w:jc w:val="both"/>
              <w:rPr>
                <w:b/>
              </w:rPr>
            </w:pPr>
            <w:r>
              <w:t xml:space="preserve">E-01-03 </w:t>
            </w:r>
            <w:r w:rsidR="00827A7E">
              <w:t>–</w:t>
            </w:r>
            <w:r>
              <w:t xml:space="preserve"> </w:t>
            </w:r>
            <w:r w:rsidR="00827A7E">
              <w:t>k</w:t>
            </w:r>
            <w:r>
              <w:t xml:space="preserve">ultūros centruose veikiančių meno </w:t>
            </w:r>
            <w:r w:rsidR="001F3DA0">
              <w:t xml:space="preserve">mėgėjų </w:t>
            </w:r>
            <w:r>
              <w:t>kolektyvų dalyvių skaičius.</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t>Įgyvendinant šį strateginį tikslą vykdomos programos:</w:t>
            </w:r>
          </w:p>
          <w:p w:rsidR="009A5788" w:rsidRDefault="009A5788">
            <w:pPr>
              <w:pStyle w:val="Antrats"/>
              <w:tabs>
                <w:tab w:val="clear" w:pos="4320"/>
                <w:tab w:val="clear" w:pos="8640"/>
              </w:tabs>
              <w:snapToGrid w:val="0"/>
              <w:jc w:val="both"/>
            </w:pPr>
            <w:r>
              <w:t>01 Savivaldybės valdymo programa</w:t>
            </w:r>
            <w:r w:rsidR="00C45E82">
              <w:t>;</w:t>
            </w:r>
          </w:p>
          <w:p w:rsidR="009A5788" w:rsidRDefault="009A5788">
            <w:pPr>
              <w:pStyle w:val="Antrats"/>
              <w:tabs>
                <w:tab w:val="clear" w:pos="4320"/>
                <w:tab w:val="clear" w:pos="8640"/>
              </w:tabs>
              <w:snapToGrid w:val="0"/>
              <w:jc w:val="both"/>
            </w:pPr>
            <w:r>
              <w:t>02 Ugdymo proceso ir kokybiškos ugdymosi aplinkos užtikrinimo programa</w:t>
            </w:r>
            <w:r w:rsidR="00C45E82">
              <w:t>;</w:t>
            </w:r>
          </w:p>
          <w:p w:rsidR="009A5788" w:rsidRDefault="009A5788">
            <w:pPr>
              <w:pStyle w:val="Antrats"/>
              <w:tabs>
                <w:tab w:val="clear" w:pos="4320"/>
                <w:tab w:val="clear" w:pos="8640"/>
              </w:tabs>
              <w:snapToGrid w:val="0"/>
              <w:jc w:val="both"/>
            </w:pPr>
            <w:r>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rPr>
                <w:b/>
              </w:rPr>
            </w:pPr>
            <w:r>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rPr>
                <w:b/>
              </w:rPr>
            </w:pPr>
            <w:r>
              <w:rPr>
                <w:b/>
              </w:rPr>
              <w:t>Kodas</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pPr>
            <w:r>
              <w:lastRenderedPageBreak/>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r>
              <w:t>02</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t>Strateginio tikslo aprašymas:</w:t>
            </w:r>
          </w:p>
          <w:p w:rsidR="009A5788" w:rsidRDefault="009A5788">
            <w:pPr>
              <w:pStyle w:val="Antrats"/>
              <w:tabs>
                <w:tab w:val="clear" w:pos="4320"/>
                <w:tab w:val="clear" w:pos="8640"/>
              </w:tabs>
              <w:snapToGrid w:val="0"/>
              <w:jc w:val="both"/>
              <w:rPr>
                <w:b/>
              </w:rPr>
            </w:pPr>
            <w:r>
              <w:t>Įgyvendinant šį tikslą bus vykdomos priemonės</w:t>
            </w:r>
            <w:r w:rsidR="00C45E82">
              <w:t>,</w:t>
            </w:r>
            <w:r>
              <w:t xml:space="preserve"> skirtos pagerinti gyventojų gyvenimo, susisiekimo kokybę, modernizuojant šilumos ūkį, gerinant geriamojo vandens kokybę, rekonstruojant ir remontuojant kelius ir gatves ir kt. Ypatingas dėmesys bus skiriamas organizuojant socialinę paramą neįgaliesiems, </w:t>
            </w:r>
            <w:r w:rsidR="0029347B">
              <w:t xml:space="preserve">pagyvenusiems </w:t>
            </w:r>
            <w:r>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t>men</w:t>
            </w:r>
            <w:r>
              <w:t xml:space="preserve">iu, efektyviai formuoti sveikatos priežiūros sistemą, tikslingai paskirstyti lėšas asmens ir visuomenės sveikatos priežiūros įstaigoms ir sveikatos priežiūrai, </w:t>
            </w:r>
            <w:r w:rsidR="00C45E82">
              <w:t>vertin</w:t>
            </w:r>
            <w:r>
              <w:t>ti sveikatos priežiūros paslaugų kokyb</w:t>
            </w:r>
            <w:r w:rsidR="00C45E82">
              <w:t>ę</w:t>
            </w:r>
            <w:r>
              <w:t>, gerinti sveikatos priežiūros paslaugų prieinamumą, nustatyti sveikatos priežiūros įstaigų modernizavimo ir infrastruktūros gerinimo prioritetus.</w:t>
            </w:r>
          </w:p>
          <w:p w:rsidR="009A5788" w:rsidRDefault="009A5788">
            <w:pPr>
              <w:pStyle w:val="Antrats"/>
              <w:tabs>
                <w:tab w:val="clear" w:pos="4320"/>
                <w:tab w:val="clear" w:pos="8640"/>
              </w:tabs>
              <w:snapToGrid w:val="0"/>
              <w:jc w:val="both"/>
              <w:rPr>
                <w:b/>
              </w:rPr>
            </w:pPr>
            <w:r>
              <w:rPr>
                <w:b/>
              </w:rPr>
              <w:t>Efekto kriterijai:</w:t>
            </w:r>
          </w:p>
          <w:p w:rsidR="009A5788" w:rsidRDefault="009A5788">
            <w:pPr>
              <w:pStyle w:val="Antrats"/>
              <w:tabs>
                <w:tab w:val="clear" w:pos="4320"/>
                <w:tab w:val="clear" w:pos="8640"/>
              </w:tabs>
              <w:snapToGrid w:val="0"/>
              <w:jc w:val="both"/>
            </w:pPr>
            <w:r>
              <w:t>E-02-01 – gyventojų skaičiaus metinė kaita (proc.);</w:t>
            </w:r>
          </w:p>
          <w:p w:rsidR="009A5788" w:rsidRDefault="009A5788">
            <w:pPr>
              <w:pStyle w:val="Antrats"/>
              <w:tabs>
                <w:tab w:val="clear" w:pos="4320"/>
                <w:tab w:val="clear" w:pos="8640"/>
              </w:tabs>
              <w:snapToGrid w:val="0"/>
              <w:jc w:val="both"/>
            </w:pPr>
            <w:r>
              <w:t>E-02-02 – mirtingumas (1</w:t>
            </w:r>
            <w:r w:rsidR="00460E56">
              <w:t xml:space="preserve"> </w:t>
            </w:r>
            <w:r>
              <w:t>000-iui gyventojų);</w:t>
            </w:r>
          </w:p>
          <w:p w:rsidR="009A5788" w:rsidRDefault="009A5788">
            <w:pPr>
              <w:pStyle w:val="Antrats"/>
              <w:tabs>
                <w:tab w:val="clear" w:pos="4320"/>
                <w:tab w:val="clear" w:pos="8640"/>
              </w:tabs>
              <w:snapToGrid w:val="0"/>
              <w:jc w:val="both"/>
            </w:pPr>
            <w:r>
              <w:t>E-02-03 – gimstamumas (1</w:t>
            </w:r>
            <w:r w:rsidR="00460E56">
              <w:t xml:space="preserve"> </w:t>
            </w:r>
            <w:r>
              <w:t>000</w:t>
            </w:r>
            <w:r w:rsidR="00460E56">
              <w:t>-</w:t>
            </w:r>
            <w:r>
              <w:t>iui gyventojų);</w:t>
            </w:r>
          </w:p>
          <w:p w:rsidR="009A5788" w:rsidRDefault="009A5788" w:rsidP="00AA4E7B">
            <w:pPr>
              <w:pStyle w:val="Antrats"/>
              <w:tabs>
                <w:tab w:val="clear" w:pos="4320"/>
                <w:tab w:val="clear" w:pos="8640"/>
              </w:tabs>
              <w:snapToGrid w:val="0"/>
              <w:jc w:val="both"/>
              <w:rPr>
                <w:b/>
              </w:rPr>
            </w:pPr>
            <w:r>
              <w:t>E-02-04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t>Įgyvendinant šį strateginį tikslą vykdomos programos:</w:t>
            </w:r>
          </w:p>
          <w:p w:rsidR="009A5788" w:rsidRDefault="009A5788">
            <w:pPr>
              <w:pStyle w:val="Antrats"/>
              <w:tabs>
                <w:tab w:val="clear" w:pos="4320"/>
                <w:tab w:val="clear" w:pos="8640"/>
              </w:tabs>
              <w:snapToGrid w:val="0"/>
              <w:jc w:val="both"/>
            </w:pPr>
            <w:r>
              <w:t>04 Rajono infrastruktūros priežiūros, modernizavimo ir plėtros programa</w:t>
            </w:r>
            <w:r w:rsidR="00C45E82">
              <w:t>;</w:t>
            </w:r>
          </w:p>
          <w:p w:rsidR="009A5788" w:rsidRDefault="009A5788">
            <w:pPr>
              <w:pStyle w:val="Antrats"/>
              <w:tabs>
                <w:tab w:val="clear" w:pos="4320"/>
                <w:tab w:val="clear" w:pos="8640"/>
              </w:tabs>
              <w:snapToGrid w:val="0"/>
              <w:jc w:val="both"/>
            </w:pPr>
            <w:r>
              <w:t>05 Socialinės atskirties mažinimo programa</w:t>
            </w:r>
            <w:r w:rsidR="00C45E82">
              <w:t>;</w:t>
            </w:r>
          </w:p>
          <w:p w:rsidR="009A5788" w:rsidRDefault="009A5788">
            <w:pPr>
              <w:pStyle w:val="Antrats"/>
              <w:tabs>
                <w:tab w:val="clear" w:pos="4320"/>
                <w:tab w:val="clear" w:pos="8640"/>
              </w:tabs>
              <w:snapToGrid w:val="0"/>
              <w:jc w:val="both"/>
            </w:pPr>
            <w:r>
              <w:t>06 Sveikatos apsaugos programa</w:t>
            </w:r>
            <w:r w:rsidR="00C45E82">
              <w:t>;</w:t>
            </w:r>
          </w:p>
          <w:p w:rsidR="009A5788" w:rsidRDefault="009A5788">
            <w:pPr>
              <w:pStyle w:val="Antrats"/>
              <w:tabs>
                <w:tab w:val="clear" w:pos="4320"/>
                <w:tab w:val="clear" w:pos="8640"/>
              </w:tabs>
              <w:snapToGrid w:val="0"/>
              <w:jc w:val="both"/>
              <w:rPr>
                <w:b/>
              </w:rPr>
            </w:pPr>
            <w:r>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rPr>
                <w:b/>
              </w:rPr>
            </w:pPr>
            <w:r>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rPr>
                <w:b/>
              </w:rPr>
            </w:pPr>
            <w:r>
              <w:rPr>
                <w:b/>
              </w:rPr>
              <w:t>Kodas</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pPr>
            <w:r>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r>
              <w:t>03</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t>Strateginio tikslo aprašymas:</w:t>
            </w:r>
          </w:p>
          <w:p w:rsidR="009A5788" w:rsidRDefault="009A5788">
            <w:pPr>
              <w:snapToGrid w:val="0"/>
              <w:jc w:val="both"/>
            </w:pPr>
            <w:r>
              <w:t>Įgyvendinant šį tikslą bus siekiama įgyvendinti racionalią žemės ūkio ir kaimo plėtros politiką, kuri užtikrintų ekologiniu, ekonominiu ir socialiniu požiūriu tolygią plėtrą bei kaimo gyventojų poreikius tenkinanči</w:t>
            </w:r>
            <w:r w:rsidR="00C45E82">
              <w:t>o</w:t>
            </w:r>
            <w:r>
              <w:t>s kaimo infrastruktūros efektyvų naudojimą. Šio tikslo programos įgyvendinimas padės kryptingai naudoti lėšas, plėtojant verslą rajone; įgyvendinti Panevėžio rajono savivaldybės politiką turizmo s</w:t>
            </w:r>
            <w:r w:rsidR="00C45E82">
              <w:t>r</w:t>
            </w:r>
            <w:r>
              <w:t xml:space="preserve">ityje; skatinti ir </w:t>
            </w:r>
            <w:r w:rsidR="001F3DA0">
              <w:t>plėto</w:t>
            </w:r>
            <w:r>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restauraciją.</w:t>
            </w:r>
          </w:p>
          <w:p w:rsidR="009A5788" w:rsidRDefault="009A5788">
            <w:pPr>
              <w:pStyle w:val="Antrats"/>
              <w:tabs>
                <w:tab w:val="clear" w:pos="4320"/>
                <w:tab w:val="clear" w:pos="8640"/>
              </w:tabs>
              <w:snapToGrid w:val="0"/>
              <w:jc w:val="both"/>
              <w:rPr>
                <w:b/>
              </w:rPr>
            </w:pPr>
            <w:r>
              <w:rPr>
                <w:b/>
              </w:rPr>
              <w:t>Efekto kriterijai:</w:t>
            </w:r>
          </w:p>
          <w:p w:rsidR="009A5788" w:rsidRDefault="009A5788">
            <w:pPr>
              <w:pStyle w:val="Antrats"/>
              <w:tabs>
                <w:tab w:val="clear" w:pos="4320"/>
                <w:tab w:val="clear" w:pos="8640"/>
              </w:tabs>
              <w:snapToGrid w:val="0"/>
              <w:jc w:val="both"/>
            </w:pPr>
            <w:r>
              <w:t>E-03-01 – verslumo lygis (veikiančių smulkių ir vidutinių įmonių skaičius tūkstančiui gyventojų);</w:t>
            </w:r>
          </w:p>
          <w:p w:rsidR="009A5788" w:rsidRDefault="009A5788">
            <w:pPr>
              <w:pStyle w:val="Antrats"/>
              <w:tabs>
                <w:tab w:val="clear" w:pos="4320"/>
                <w:tab w:val="clear" w:pos="8640"/>
              </w:tabs>
              <w:snapToGrid w:val="0"/>
              <w:jc w:val="both"/>
            </w:pPr>
            <w:r>
              <w:t>E-03-02 – nedarbo lygis (registruotų bedarbių ir darbingo amžiaus žmonių santykis, proc.);</w:t>
            </w:r>
          </w:p>
          <w:p w:rsidR="009A5788" w:rsidRPr="00AA4E7B" w:rsidRDefault="009A5788" w:rsidP="00AA4E7B">
            <w:pPr>
              <w:pStyle w:val="Antrats"/>
              <w:tabs>
                <w:tab w:val="clear" w:pos="4320"/>
                <w:tab w:val="clear" w:pos="8640"/>
              </w:tabs>
              <w:snapToGrid w:val="0"/>
              <w:jc w:val="both"/>
            </w:pPr>
            <w:r>
              <w:t xml:space="preserve">E-03-03 – vidutinis mėnesinis </w:t>
            </w:r>
            <w:proofErr w:type="spellStart"/>
            <w:r>
              <w:t>bruto</w:t>
            </w:r>
            <w:proofErr w:type="spellEnd"/>
            <w:r>
              <w:t xml:space="preserve"> darbo užmokestis (Lt)</w:t>
            </w:r>
            <w:r w:rsidR="00AA4E7B">
              <w:t>.</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t>Įgyvendinant šį strateginį tikslą vykdoma programa:</w:t>
            </w:r>
          </w:p>
          <w:p w:rsidR="009A5788" w:rsidRDefault="009A5788">
            <w:pPr>
              <w:pStyle w:val="Antrats"/>
              <w:tabs>
                <w:tab w:val="clear" w:pos="4320"/>
                <w:tab w:val="clear" w:pos="8640"/>
              </w:tabs>
              <w:snapToGrid w:val="0"/>
              <w:jc w:val="both"/>
            </w:pPr>
            <w:r>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bl>
    <w:p w:rsidR="009A5788" w:rsidRDefault="009A5788">
      <w:pPr>
        <w:jc w:val="center"/>
        <w:rPr>
          <w:lang w:eastAsia="ar-SA"/>
        </w:rPr>
      </w:pPr>
    </w:p>
    <w:p w:rsidR="009B30E1" w:rsidRPr="00DF78AB" w:rsidRDefault="009A5788" w:rsidP="00890FF3">
      <w:pPr>
        <w:pStyle w:val="Antrat1"/>
        <w:jc w:val="center"/>
        <w:rPr>
          <w:rFonts w:ascii="Times New Roman" w:hAnsi="Times New Roman" w:cs="Times New Roman"/>
          <w:sz w:val="24"/>
          <w:szCs w:val="24"/>
          <w:lang w:eastAsia="ar-SA"/>
        </w:rPr>
      </w:pPr>
      <w:r w:rsidRPr="00DF78AB">
        <w:rPr>
          <w:rFonts w:ascii="Times New Roman" w:hAnsi="Times New Roman" w:cs="Times New Roman"/>
          <w:sz w:val="24"/>
          <w:szCs w:val="24"/>
          <w:lang w:eastAsia="ar-SA"/>
        </w:rPr>
        <w:t>Strateginio veiklos plano priedai</w:t>
      </w:r>
    </w:p>
    <w:p w:rsidR="009B30E1" w:rsidRPr="00DF78AB" w:rsidRDefault="009A5788" w:rsidP="009B30E1">
      <w:pPr>
        <w:pStyle w:val="Pagrindinistekstas"/>
      </w:pPr>
      <w:r w:rsidRPr="00DF78AB">
        <w:rPr>
          <w:b/>
        </w:rPr>
        <w:t xml:space="preserve">1 b forma. </w:t>
      </w:r>
      <w:r w:rsidR="004C6E5E" w:rsidRPr="00DF78AB">
        <w:t>Programų aprašymai</w:t>
      </w:r>
      <w:r w:rsidRPr="00DF78AB">
        <w:t>.</w:t>
      </w:r>
    </w:p>
    <w:p w:rsidR="009B607D" w:rsidRDefault="009A5788" w:rsidP="00E1242C">
      <w:pPr>
        <w:pStyle w:val="Pagrindinistekstas"/>
        <w:jc w:val="both"/>
      </w:pPr>
      <w:r w:rsidRPr="00DF78AB">
        <w:rPr>
          <w:b/>
        </w:rPr>
        <w:t xml:space="preserve">1 lentelė. </w:t>
      </w:r>
      <w:r w:rsidR="007E3DF0" w:rsidRPr="00DF78AB">
        <w:t>201</w:t>
      </w:r>
      <w:r w:rsidR="004F003C">
        <w:t>5</w:t>
      </w:r>
      <w:r w:rsidR="00460E56" w:rsidRPr="00DF78AB">
        <w:t>–</w:t>
      </w:r>
      <w:r w:rsidR="007E3DF0" w:rsidRPr="00DF78AB">
        <w:t>201</w:t>
      </w:r>
      <w:r w:rsidR="004F003C">
        <w:t>7</w:t>
      </w:r>
      <w:r w:rsidRPr="00DF78AB">
        <w:t xml:space="preserve"> metų programos tikslų, uždavinių, uždavinių vertinimo kriterijų, priemonių ir priemonių išlaidų suvestinė</w:t>
      </w:r>
      <w:r w:rsidR="00AA4E7B">
        <w:t xml:space="preserve"> (8 program</w:t>
      </w:r>
      <w:r w:rsidR="001F3DA0">
        <w:t>os</w:t>
      </w:r>
      <w:r w:rsidR="00AA4E7B">
        <w:t>)</w:t>
      </w:r>
      <w:r w:rsidRPr="00DF78AB">
        <w:t>.</w:t>
      </w:r>
    </w:p>
    <w:p w:rsidR="009B607D" w:rsidRPr="00DF78AB" w:rsidRDefault="009B607D" w:rsidP="009B607D">
      <w:pPr>
        <w:pStyle w:val="Pagrindinistekstas"/>
        <w:jc w:val="center"/>
      </w:pPr>
      <w:r>
        <w:t>______________</w:t>
      </w:r>
    </w:p>
    <w:sectPr w:rsidR="009B607D" w:rsidRPr="00DF78AB">
      <w:footerReference w:type="even" r:id="rId12"/>
      <w:footerReference w:type="default" r:id="rId13"/>
      <w:head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F60" w:rsidRDefault="00806F60">
      <w:r>
        <w:separator/>
      </w:r>
    </w:p>
  </w:endnote>
  <w:endnote w:type="continuationSeparator" w:id="0">
    <w:p w:rsidR="00806F60" w:rsidRDefault="0080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502" w:rsidRDefault="00B05502"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05502" w:rsidRDefault="00B0550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502" w:rsidRDefault="00B05502">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F60" w:rsidRDefault="00806F60">
      <w:r>
        <w:separator/>
      </w:r>
    </w:p>
  </w:footnote>
  <w:footnote w:type="continuationSeparator" w:id="0">
    <w:p w:rsidR="00806F60" w:rsidRDefault="00806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502" w:rsidRPr="00BE1580" w:rsidRDefault="00B05502">
    <w:pPr>
      <w:pStyle w:val="xl47"/>
      <w:tabs>
        <w:tab w:val="left" w:pos="5220"/>
      </w:tabs>
      <w:spacing w:before="0" w:after="0"/>
      <w:ind w:firstLine="5400"/>
      <w:jc w:val="both"/>
      <w:textAlignment w:val="auto"/>
      <w:rPr>
        <w:lang w:val="lt-LT"/>
      </w:rPr>
    </w:pPr>
    <w:r w:rsidRPr="00BE1580">
      <w:rPr>
        <w:lang w:val="lt-LT"/>
      </w:rPr>
      <w:t>PATVIRTINTA</w:t>
    </w:r>
  </w:p>
  <w:p w:rsidR="00B05502" w:rsidRPr="00BE1580" w:rsidRDefault="00B05502">
    <w:pPr>
      <w:pStyle w:val="xl47"/>
      <w:tabs>
        <w:tab w:val="left" w:pos="5220"/>
      </w:tabs>
      <w:spacing w:before="0" w:after="0"/>
      <w:ind w:firstLine="5400"/>
      <w:jc w:val="both"/>
      <w:textAlignment w:val="auto"/>
      <w:rPr>
        <w:lang w:val="lt-LT"/>
      </w:rPr>
    </w:pPr>
    <w:r w:rsidRPr="00BE1580">
      <w:rPr>
        <w:lang w:val="lt-LT"/>
      </w:rPr>
      <w:t>Panevėžio rajono savivaldybės tarybos</w:t>
    </w:r>
  </w:p>
  <w:p w:rsidR="00B05502" w:rsidRPr="00BE1580" w:rsidRDefault="00B05502">
    <w:pPr>
      <w:pStyle w:val="xl47"/>
      <w:tabs>
        <w:tab w:val="left" w:pos="5220"/>
      </w:tabs>
      <w:spacing w:before="0" w:after="0"/>
      <w:ind w:firstLine="5400"/>
      <w:jc w:val="both"/>
      <w:textAlignment w:val="auto"/>
      <w:rPr>
        <w:lang w:val="lt-LT"/>
      </w:rPr>
    </w:pPr>
    <w:r w:rsidRPr="00BE1580">
      <w:rPr>
        <w:lang w:val="lt-LT"/>
      </w:rPr>
      <w:t>201</w:t>
    </w:r>
    <w:r>
      <w:rPr>
        <w:lang w:val="lt-LT"/>
      </w:rPr>
      <w:t xml:space="preserve">5 </w:t>
    </w:r>
    <w:r w:rsidRPr="00BE1580">
      <w:rPr>
        <w:lang w:val="lt-LT"/>
      </w:rPr>
      <w:t xml:space="preserve">m. </w:t>
    </w:r>
    <w:r>
      <w:rPr>
        <w:lang w:val="lt-LT"/>
      </w:rPr>
      <w:t>sausio</w:t>
    </w:r>
    <w:r w:rsidRPr="00BE1580">
      <w:rPr>
        <w:lang w:val="lt-LT"/>
      </w:rPr>
      <w:t xml:space="preserve"> </w:t>
    </w:r>
    <w:r>
      <w:rPr>
        <w:lang w:val="lt-LT"/>
      </w:rPr>
      <w:t>22</w:t>
    </w:r>
    <w:r w:rsidRPr="00BE1580">
      <w:rPr>
        <w:lang w:val="lt-LT"/>
      </w:rPr>
      <w:t xml:space="preserve"> d. sprendimu </w:t>
    </w:r>
    <w:r w:rsidRPr="00BE1580">
      <w:rPr>
        <w:caps/>
        <w:lang w:val="lt-LT"/>
      </w:rPr>
      <w:t>n</w:t>
    </w:r>
    <w:r w:rsidRPr="00BE1580">
      <w:rPr>
        <w:lang w:val="lt-LT"/>
      </w:rPr>
      <w:t>r. T-</w:t>
    </w:r>
  </w:p>
  <w:p w:rsidR="00B05502" w:rsidRDefault="00B055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8">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1">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2">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1"/>
  </w:num>
  <w:num w:numId="5">
    <w:abstractNumId w:val="4"/>
  </w:num>
  <w:num w:numId="6">
    <w:abstractNumId w:val="7"/>
  </w:num>
  <w:num w:numId="7">
    <w:abstractNumId w:val="10"/>
  </w:num>
  <w:num w:numId="8">
    <w:abstractNumId w:val="6"/>
  </w:num>
  <w:num w:numId="9">
    <w:abstractNumId w:val="5"/>
  </w:num>
  <w:num w:numId="10">
    <w:abstractNumId w:val="9"/>
  </w:num>
  <w:num w:numId="11">
    <w:abstractNumId w:val="12"/>
  </w:num>
  <w:num w:numId="12">
    <w:abstractNumId w:val="2"/>
  </w:num>
  <w:num w:numId="13">
    <w:abstractNumId w:val="14"/>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496A"/>
    <w:rsid w:val="000106C4"/>
    <w:rsid w:val="00011C88"/>
    <w:rsid w:val="0001206E"/>
    <w:rsid w:val="0001393A"/>
    <w:rsid w:val="00015710"/>
    <w:rsid w:val="000224A4"/>
    <w:rsid w:val="00022EDE"/>
    <w:rsid w:val="00024FB3"/>
    <w:rsid w:val="00026141"/>
    <w:rsid w:val="000267A2"/>
    <w:rsid w:val="00035815"/>
    <w:rsid w:val="00036FC9"/>
    <w:rsid w:val="00053999"/>
    <w:rsid w:val="00070AA9"/>
    <w:rsid w:val="00072DA3"/>
    <w:rsid w:val="000739F1"/>
    <w:rsid w:val="0007576C"/>
    <w:rsid w:val="00080A6F"/>
    <w:rsid w:val="00082518"/>
    <w:rsid w:val="000828EA"/>
    <w:rsid w:val="000853C0"/>
    <w:rsid w:val="00090BCD"/>
    <w:rsid w:val="00093DA3"/>
    <w:rsid w:val="000944D9"/>
    <w:rsid w:val="000A1408"/>
    <w:rsid w:val="000A1F40"/>
    <w:rsid w:val="000A312C"/>
    <w:rsid w:val="000A46BD"/>
    <w:rsid w:val="000A5287"/>
    <w:rsid w:val="000B1548"/>
    <w:rsid w:val="000B246F"/>
    <w:rsid w:val="000B2720"/>
    <w:rsid w:val="000B4350"/>
    <w:rsid w:val="000B5790"/>
    <w:rsid w:val="000C3634"/>
    <w:rsid w:val="000D0FF5"/>
    <w:rsid w:val="000D7E6B"/>
    <w:rsid w:val="000E4038"/>
    <w:rsid w:val="000E5A01"/>
    <w:rsid w:val="000E6487"/>
    <w:rsid w:val="000F1A6E"/>
    <w:rsid w:val="000F1B1A"/>
    <w:rsid w:val="000F3115"/>
    <w:rsid w:val="000F5698"/>
    <w:rsid w:val="000F7170"/>
    <w:rsid w:val="0010294B"/>
    <w:rsid w:val="001101B3"/>
    <w:rsid w:val="00111308"/>
    <w:rsid w:val="0011457B"/>
    <w:rsid w:val="00116A0B"/>
    <w:rsid w:val="001208E0"/>
    <w:rsid w:val="00122C2D"/>
    <w:rsid w:val="001244D3"/>
    <w:rsid w:val="001251A4"/>
    <w:rsid w:val="00125764"/>
    <w:rsid w:val="0013609F"/>
    <w:rsid w:val="0014131C"/>
    <w:rsid w:val="00141FCF"/>
    <w:rsid w:val="00143338"/>
    <w:rsid w:val="00147BC3"/>
    <w:rsid w:val="00157664"/>
    <w:rsid w:val="0016219B"/>
    <w:rsid w:val="001621B2"/>
    <w:rsid w:val="00165D43"/>
    <w:rsid w:val="00165FC9"/>
    <w:rsid w:val="00173B99"/>
    <w:rsid w:val="00175132"/>
    <w:rsid w:val="00175DD4"/>
    <w:rsid w:val="0017632A"/>
    <w:rsid w:val="0018267A"/>
    <w:rsid w:val="001860E3"/>
    <w:rsid w:val="00191650"/>
    <w:rsid w:val="001942C4"/>
    <w:rsid w:val="00195D56"/>
    <w:rsid w:val="001962AA"/>
    <w:rsid w:val="00197E9C"/>
    <w:rsid w:val="001A2022"/>
    <w:rsid w:val="001A2751"/>
    <w:rsid w:val="001A3524"/>
    <w:rsid w:val="001A5741"/>
    <w:rsid w:val="001A60CC"/>
    <w:rsid w:val="001B3C18"/>
    <w:rsid w:val="001B3F95"/>
    <w:rsid w:val="001B4CC4"/>
    <w:rsid w:val="001B63B8"/>
    <w:rsid w:val="001C382C"/>
    <w:rsid w:val="001C5630"/>
    <w:rsid w:val="001C6308"/>
    <w:rsid w:val="001D3678"/>
    <w:rsid w:val="001D4066"/>
    <w:rsid w:val="001E1DCB"/>
    <w:rsid w:val="001E5DB2"/>
    <w:rsid w:val="001F00CA"/>
    <w:rsid w:val="001F3C68"/>
    <w:rsid w:val="001F3DA0"/>
    <w:rsid w:val="001F42A8"/>
    <w:rsid w:val="001F7B1C"/>
    <w:rsid w:val="002060D2"/>
    <w:rsid w:val="00207DB9"/>
    <w:rsid w:val="002112C1"/>
    <w:rsid w:val="002158B6"/>
    <w:rsid w:val="00215BE3"/>
    <w:rsid w:val="00215CA9"/>
    <w:rsid w:val="002223B1"/>
    <w:rsid w:val="00225B14"/>
    <w:rsid w:val="00231EA9"/>
    <w:rsid w:val="00250036"/>
    <w:rsid w:val="00250763"/>
    <w:rsid w:val="0025081E"/>
    <w:rsid w:val="00250B40"/>
    <w:rsid w:val="002549F4"/>
    <w:rsid w:val="002553BB"/>
    <w:rsid w:val="00256E87"/>
    <w:rsid w:val="00260754"/>
    <w:rsid w:val="002613E7"/>
    <w:rsid w:val="00276E36"/>
    <w:rsid w:val="00282AEE"/>
    <w:rsid w:val="002853FA"/>
    <w:rsid w:val="002859E1"/>
    <w:rsid w:val="00291353"/>
    <w:rsid w:val="0029347B"/>
    <w:rsid w:val="002A0B06"/>
    <w:rsid w:val="002A40D5"/>
    <w:rsid w:val="002B6B4D"/>
    <w:rsid w:val="002B7DF2"/>
    <w:rsid w:val="002C27DE"/>
    <w:rsid w:val="002C4BAD"/>
    <w:rsid w:val="002D0263"/>
    <w:rsid w:val="002D114D"/>
    <w:rsid w:val="002D506F"/>
    <w:rsid w:val="002D5122"/>
    <w:rsid w:val="002E4280"/>
    <w:rsid w:val="002E4FF7"/>
    <w:rsid w:val="002E6E78"/>
    <w:rsid w:val="002E7D5B"/>
    <w:rsid w:val="002F41F0"/>
    <w:rsid w:val="002F5649"/>
    <w:rsid w:val="00300048"/>
    <w:rsid w:val="0030219E"/>
    <w:rsid w:val="0030223E"/>
    <w:rsid w:val="003056C1"/>
    <w:rsid w:val="003123FA"/>
    <w:rsid w:val="00333101"/>
    <w:rsid w:val="0034343F"/>
    <w:rsid w:val="00347B9F"/>
    <w:rsid w:val="003514E7"/>
    <w:rsid w:val="00351A8F"/>
    <w:rsid w:val="003529FC"/>
    <w:rsid w:val="00355225"/>
    <w:rsid w:val="00364B06"/>
    <w:rsid w:val="00365273"/>
    <w:rsid w:val="00383DB3"/>
    <w:rsid w:val="00387F3B"/>
    <w:rsid w:val="00391241"/>
    <w:rsid w:val="00394496"/>
    <w:rsid w:val="00395651"/>
    <w:rsid w:val="003A0201"/>
    <w:rsid w:val="003A1AF8"/>
    <w:rsid w:val="003A4150"/>
    <w:rsid w:val="003A4B14"/>
    <w:rsid w:val="003A4FD7"/>
    <w:rsid w:val="003A5C4D"/>
    <w:rsid w:val="003B49AF"/>
    <w:rsid w:val="003C2169"/>
    <w:rsid w:val="003C21EE"/>
    <w:rsid w:val="003C30C8"/>
    <w:rsid w:val="003C35C6"/>
    <w:rsid w:val="003C5AAF"/>
    <w:rsid w:val="003D3A98"/>
    <w:rsid w:val="003D6E2F"/>
    <w:rsid w:val="003E0D3D"/>
    <w:rsid w:val="003F1CDD"/>
    <w:rsid w:val="003F2F26"/>
    <w:rsid w:val="003F3416"/>
    <w:rsid w:val="003F417A"/>
    <w:rsid w:val="003F5ABF"/>
    <w:rsid w:val="003F6B48"/>
    <w:rsid w:val="00400023"/>
    <w:rsid w:val="0040024A"/>
    <w:rsid w:val="00401661"/>
    <w:rsid w:val="00406EDB"/>
    <w:rsid w:val="00407042"/>
    <w:rsid w:val="00410F82"/>
    <w:rsid w:val="00420954"/>
    <w:rsid w:val="0042197E"/>
    <w:rsid w:val="0043688C"/>
    <w:rsid w:val="00437F8C"/>
    <w:rsid w:val="00440957"/>
    <w:rsid w:val="00440D49"/>
    <w:rsid w:val="00450EF8"/>
    <w:rsid w:val="0045601C"/>
    <w:rsid w:val="00460E56"/>
    <w:rsid w:val="00472BAD"/>
    <w:rsid w:val="00473807"/>
    <w:rsid w:val="00484172"/>
    <w:rsid w:val="00491393"/>
    <w:rsid w:val="004925A8"/>
    <w:rsid w:val="004935EF"/>
    <w:rsid w:val="00494F3E"/>
    <w:rsid w:val="00495E48"/>
    <w:rsid w:val="0049668C"/>
    <w:rsid w:val="00497580"/>
    <w:rsid w:val="004A137C"/>
    <w:rsid w:val="004A4048"/>
    <w:rsid w:val="004A7AC8"/>
    <w:rsid w:val="004B4582"/>
    <w:rsid w:val="004B5B05"/>
    <w:rsid w:val="004C086B"/>
    <w:rsid w:val="004C0DCD"/>
    <w:rsid w:val="004C15BB"/>
    <w:rsid w:val="004C1700"/>
    <w:rsid w:val="004C2094"/>
    <w:rsid w:val="004C3989"/>
    <w:rsid w:val="004C4755"/>
    <w:rsid w:val="004C6E5E"/>
    <w:rsid w:val="004C7FF8"/>
    <w:rsid w:val="004D0E81"/>
    <w:rsid w:val="004D1476"/>
    <w:rsid w:val="004D1B2C"/>
    <w:rsid w:val="004D4B38"/>
    <w:rsid w:val="004D4C42"/>
    <w:rsid w:val="004D5EF8"/>
    <w:rsid w:val="004D7905"/>
    <w:rsid w:val="004E2B4A"/>
    <w:rsid w:val="004E54FE"/>
    <w:rsid w:val="004F003C"/>
    <w:rsid w:val="004F5256"/>
    <w:rsid w:val="004F70BA"/>
    <w:rsid w:val="004F774F"/>
    <w:rsid w:val="005010C5"/>
    <w:rsid w:val="00504513"/>
    <w:rsid w:val="00506CB7"/>
    <w:rsid w:val="00507E15"/>
    <w:rsid w:val="005220B8"/>
    <w:rsid w:val="00540FD4"/>
    <w:rsid w:val="00553978"/>
    <w:rsid w:val="00564BAD"/>
    <w:rsid w:val="0056655B"/>
    <w:rsid w:val="005728C0"/>
    <w:rsid w:val="00572DAA"/>
    <w:rsid w:val="0057461F"/>
    <w:rsid w:val="00574FAD"/>
    <w:rsid w:val="0058092A"/>
    <w:rsid w:val="0058395F"/>
    <w:rsid w:val="00587DF3"/>
    <w:rsid w:val="00590DD4"/>
    <w:rsid w:val="00590E16"/>
    <w:rsid w:val="00595C3F"/>
    <w:rsid w:val="005A75F7"/>
    <w:rsid w:val="005B2A77"/>
    <w:rsid w:val="005C194C"/>
    <w:rsid w:val="005C2704"/>
    <w:rsid w:val="005C29E3"/>
    <w:rsid w:val="005C779E"/>
    <w:rsid w:val="005D1941"/>
    <w:rsid w:val="005D5880"/>
    <w:rsid w:val="005F0D28"/>
    <w:rsid w:val="005F6626"/>
    <w:rsid w:val="0060181E"/>
    <w:rsid w:val="00610B9B"/>
    <w:rsid w:val="00611FF2"/>
    <w:rsid w:val="00613162"/>
    <w:rsid w:val="00616D96"/>
    <w:rsid w:val="0062217F"/>
    <w:rsid w:val="00631FC5"/>
    <w:rsid w:val="00633078"/>
    <w:rsid w:val="00641362"/>
    <w:rsid w:val="0065054C"/>
    <w:rsid w:val="006524C1"/>
    <w:rsid w:val="00654EEF"/>
    <w:rsid w:val="00655267"/>
    <w:rsid w:val="00656113"/>
    <w:rsid w:val="00662B4F"/>
    <w:rsid w:val="006646F3"/>
    <w:rsid w:val="00666121"/>
    <w:rsid w:val="0067134D"/>
    <w:rsid w:val="006723E4"/>
    <w:rsid w:val="00672F0A"/>
    <w:rsid w:val="006737E7"/>
    <w:rsid w:val="00674E4F"/>
    <w:rsid w:val="006812C6"/>
    <w:rsid w:val="00682B7B"/>
    <w:rsid w:val="00691FB0"/>
    <w:rsid w:val="00694618"/>
    <w:rsid w:val="006B0D0F"/>
    <w:rsid w:val="006B1104"/>
    <w:rsid w:val="006C189B"/>
    <w:rsid w:val="006C331E"/>
    <w:rsid w:val="006D4186"/>
    <w:rsid w:val="006D6F35"/>
    <w:rsid w:val="006E1DC0"/>
    <w:rsid w:val="006E3941"/>
    <w:rsid w:val="006F09A6"/>
    <w:rsid w:val="007004E6"/>
    <w:rsid w:val="007031F5"/>
    <w:rsid w:val="007067DA"/>
    <w:rsid w:val="00707034"/>
    <w:rsid w:val="00711D15"/>
    <w:rsid w:val="00713ABE"/>
    <w:rsid w:val="00717738"/>
    <w:rsid w:val="00722D46"/>
    <w:rsid w:val="0072315E"/>
    <w:rsid w:val="00723459"/>
    <w:rsid w:val="0072729F"/>
    <w:rsid w:val="00735246"/>
    <w:rsid w:val="00736F71"/>
    <w:rsid w:val="007379B7"/>
    <w:rsid w:val="0074165B"/>
    <w:rsid w:val="00741F9C"/>
    <w:rsid w:val="00742AD8"/>
    <w:rsid w:val="00745850"/>
    <w:rsid w:val="007466E6"/>
    <w:rsid w:val="00752472"/>
    <w:rsid w:val="007625D4"/>
    <w:rsid w:val="007707B8"/>
    <w:rsid w:val="0077148C"/>
    <w:rsid w:val="00771A59"/>
    <w:rsid w:val="00783EF3"/>
    <w:rsid w:val="00790884"/>
    <w:rsid w:val="00791376"/>
    <w:rsid w:val="00794B00"/>
    <w:rsid w:val="00795C46"/>
    <w:rsid w:val="00796542"/>
    <w:rsid w:val="00796B0D"/>
    <w:rsid w:val="007A07AC"/>
    <w:rsid w:val="007A265F"/>
    <w:rsid w:val="007A28F1"/>
    <w:rsid w:val="007A747A"/>
    <w:rsid w:val="007B5214"/>
    <w:rsid w:val="007B59C8"/>
    <w:rsid w:val="007C4115"/>
    <w:rsid w:val="007D1E34"/>
    <w:rsid w:val="007D43D1"/>
    <w:rsid w:val="007E035B"/>
    <w:rsid w:val="007E3DF0"/>
    <w:rsid w:val="007E5D46"/>
    <w:rsid w:val="007F0388"/>
    <w:rsid w:val="007F599A"/>
    <w:rsid w:val="00801BE6"/>
    <w:rsid w:val="00803968"/>
    <w:rsid w:val="00806F60"/>
    <w:rsid w:val="00807D38"/>
    <w:rsid w:val="00810681"/>
    <w:rsid w:val="00814883"/>
    <w:rsid w:val="00815BF8"/>
    <w:rsid w:val="008172EC"/>
    <w:rsid w:val="008203C6"/>
    <w:rsid w:val="00820C30"/>
    <w:rsid w:val="00822E0A"/>
    <w:rsid w:val="00825226"/>
    <w:rsid w:val="00826C5A"/>
    <w:rsid w:val="00827A7E"/>
    <w:rsid w:val="008334B0"/>
    <w:rsid w:val="00835831"/>
    <w:rsid w:val="00841B09"/>
    <w:rsid w:val="0084365A"/>
    <w:rsid w:val="0084460C"/>
    <w:rsid w:val="0085171E"/>
    <w:rsid w:val="00853B75"/>
    <w:rsid w:val="00853C60"/>
    <w:rsid w:val="00854F36"/>
    <w:rsid w:val="00856408"/>
    <w:rsid w:val="00857045"/>
    <w:rsid w:val="0086132A"/>
    <w:rsid w:val="00865021"/>
    <w:rsid w:val="00865703"/>
    <w:rsid w:val="0087104E"/>
    <w:rsid w:val="008736DE"/>
    <w:rsid w:val="00880143"/>
    <w:rsid w:val="00886797"/>
    <w:rsid w:val="0089076D"/>
    <w:rsid w:val="00890A77"/>
    <w:rsid w:val="00890DD8"/>
    <w:rsid w:val="00890FF3"/>
    <w:rsid w:val="008976F3"/>
    <w:rsid w:val="008A3FC8"/>
    <w:rsid w:val="008A43FE"/>
    <w:rsid w:val="008A554A"/>
    <w:rsid w:val="008A73CD"/>
    <w:rsid w:val="008A7560"/>
    <w:rsid w:val="008A7EC5"/>
    <w:rsid w:val="008B28A7"/>
    <w:rsid w:val="008B2EA2"/>
    <w:rsid w:val="008B50A9"/>
    <w:rsid w:val="008B6145"/>
    <w:rsid w:val="008B62E3"/>
    <w:rsid w:val="008B70A4"/>
    <w:rsid w:val="008C2081"/>
    <w:rsid w:val="008C25D9"/>
    <w:rsid w:val="008C35F8"/>
    <w:rsid w:val="008C5E1C"/>
    <w:rsid w:val="008C68EC"/>
    <w:rsid w:val="008D0616"/>
    <w:rsid w:val="008D3BD2"/>
    <w:rsid w:val="008D51D2"/>
    <w:rsid w:val="008F48E6"/>
    <w:rsid w:val="008F5431"/>
    <w:rsid w:val="008F7F0E"/>
    <w:rsid w:val="00905D6E"/>
    <w:rsid w:val="0091476B"/>
    <w:rsid w:val="00917BD6"/>
    <w:rsid w:val="009229F5"/>
    <w:rsid w:val="009237D8"/>
    <w:rsid w:val="0092430B"/>
    <w:rsid w:val="009255FE"/>
    <w:rsid w:val="00930E66"/>
    <w:rsid w:val="00931A7C"/>
    <w:rsid w:val="00937719"/>
    <w:rsid w:val="00941B0F"/>
    <w:rsid w:val="009425F2"/>
    <w:rsid w:val="00950981"/>
    <w:rsid w:val="00951290"/>
    <w:rsid w:val="00951C43"/>
    <w:rsid w:val="00956175"/>
    <w:rsid w:val="00956E43"/>
    <w:rsid w:val="0096147F"/>
    <w:rsid w:val="009621AC"/>
    <w:rsid w:val="0096475A"/>
    <w:rsid w:val="009747F8"/>
    <w:rsid w:val="00977569"/>
    <w:rsid w:val="009877CC"/>
    <w:rsid w:val="0098790D"/>
    <w:rsid w:val="00987E2D"/>
    <w:rsid w:val="00987F2B"/>
    <w:rsid w:val="00993D20"/>
    <w:rsid w:val="009943CB"/>
    <w:rsid w:val="009949F4"/>
    <w:rsid w:val="009A2B1C"/>
    <w:rsid w:val="009A5213"/>
    <w:rsid w:val="009A5788"/>
    <w:rsid w:val="009B2480"/>
    <w:rsid w:val="009B30E1"/>
    <w:rsid w:val="009B607D"/>
    <w:rsid w:val="009B6B38"/>
    <w:rsid w:val="009B6E45"/>
    <w:rsid w:val="009B70B1"/>
    <w:rsid w:val="009C51AF"/>
    <w:rsid w:val="009C65B9"/>
    <w:rsid w:val="009D10AA"/>
    <w:rsid w:val="009D2467"/>
    <w:rsid w:val="009D41A7"/>
    <w:rsid w:val="009D48D2"/>
    <w:rsid w:val="009D588F"/>
    <w:rsid w:val="009E01EA"/>
    <w:rsid w:val="009E0ABC"/>
    <w:rsid w:val="009E3C9D"/>
    <w:rsid w:val="009E77D1"/>
    <w:rsid w:val="009F1853"/>
    <w:rsid w:val="00A06187"/>
    <w:rsid w:val="00A075D6"/>
    <w:rsid w:val="00A117A5"/>
    <w:rsid w:val="00A148D5"/>
    <w:rsid w:val="00A1654B"/>
    <w:rsid w:val="00A21C06"/>
    <w:rsid w:val="00A222BB"/>
    <w:rsid w:val="00A22FD6"/>
    <w:rsid w:val="00A35D70"/>
    <w:rsid w:val="00A378D2"/>
    <w:rsid w:val="00A40CCA"/>
    <w:rsid w:val="00A4497E"/>
    <w:rsid w:val="00A56EB7"/>
    <w:rsid w:val="00A626D9"/>
    <w:rsid w:val="00A64FDE"/>
    <w:rsid w:val="00A65C04"/>
    <w:rsid w:val="00A72931"/>
    <w:rsid w:val="00A72E99"/>
    <w:rsid w:val="00A74DAA"/>
    <w:rsid w:val="00A76B3C"/>
    <w:rsid w:val="00A77040"/>
    <w:rsid w:val="00A82463"/>
    <w:rsid w:val="00A85DFF"/>
    <w:rsid w:val="00A87C38"/>
    <w:rsid w:val="00A9120B"/>
    <w:rsid w:val="00A91564"/>
    <w:rsid w:val="00A92425"/>
    <w:rsid w:val="00A93171"/>
    <w:rsid w:val="00A97EBC"/>
    <w:rsid w:val="00AA12AC"/>
    <w:rsid w:val="00AA4C96"/>
    <w:rsid w:val="00AA4E7B"/>
    <w:rsid w:val="00AA769E"/>
    <w:rsid w:val="00AA7944"/>
    <w:rsid w:val="00AB4159"/>
    <w:rsid w:val="00AB7BFC"/>
    <w:rsid w:val="00AC033E"/>
    <w:rsid w:val="00AC21A7"/>
    <w:rsid w:val="00AC776F"/>
    <w:rsid w:val="00AD52DD"/>
    <w:rsid w:val="00AD66C5"/>
    <w:rsid w:val="00AD7F40"/>
    <w:rsid w:val="00AE1636"/>
    <w:rsid w:val="00AF2487"/>
    <w:rsid w:val="00AF58E5"/>
    <w:rsid w:val="00AF6894"/>
    <w:rsid w:val="00AF6EDF"/>
    <w:rsid w:val="00AF7BE5"/>
    <w:rsid w:val="00B014B9"/>
    <w:rsid w:val="00B02F10"/>
    <w:rsid w:val="00B0431B"/>
    <w:rsid w:val="00B05502"/>
    <w:rsid w:val="00B10826"/>
    <w:rsid w:val="00B13667"/>
    <w:rsid w:val="00B1463E"/>
    <w:rsid w:val="00B1643E"/>
    <w:rsid w:val="00B21B8E"/>
    <w:rsid w:val="00B23048"/>
    <w:rsid w:val="00B24F9E"/>
    <w:rsid w:val="00B3036E"/>
    <w:rsid w:val="00B31599"/>
    <w:rsid w:val="00B32030"/>
    <w:rsid w:val="00B32BEB"/>
    <w:rsid w:val="00B416C8"/>
    <w:rsid w:val="00B42F49"/>
    <w:rsid w:val="00B45A8D"/>
    <w:rsid w:val="00B47233"/>
    <w:rsid w:val="00B50450"/>
    <w:rsid w:val="00B54AB2"/>
    <w:rsid w:val="00B6026C"/>
    <w:rsid w:val="00B607F4"/>
    <w:rsid w:val="00B70CF8"/>
    <w:rsid w:val="00B70FA5"/>
    <w:rsid w:val="00B72BBD"/>
    <w:rsid w:val="00B76129"/>
    <w:rsid w:val="00B81A49"/>
    <w:rsid w:val="00B8460B"/>
    <w:rsid w:val="00B90881"/>
    <w:rsid w:val="00BA1A5E"/>
    <w:rsid w:val="00BA1BEE"/>
    <w:rsid w:val="00BA2A84"/>
    <w:rsid w:val="00BA554F"/>
    <w:rsid w:val="00BA6138"/>
    <w:rsid w:val="00BA77F7"/>
    <w:rsid w:val="00BB0D92"/>
    <w:rsid w:val="00BB10F8"/>
    <w:rsid w:val="00BB1648"/>
    <w:rsid w:val="00BB40E0"/>
    <w:rsid w:val="00BC0EA9"/>
    <w:rsid w:val="00BC0ED6"/>
    <w:rsid w:val="00BC72F0"/>
    <w:rsid w:val="00BC7CF4"/>
    <w:rsid w:val="00BD2679"/>
    <w:rsid w:val="00BD4ABB"/>
    <w:rsid w:val="00BD53A8"/>
    <w:rsid w:val="00BE0EE6"/>
    <w:rsid w:val="00BE1580"/>
    <w:rsid w:val="00BE1B5B"/>
    <w:rsid w:val="00BE4F01"/>
    <w:rsid w:val="00BE5243"/>
    <w:rsid w:val="00BE52F0"/>
    <w:rsid w:val="00BF6AD3"/>
    <w:rsid w:val="00C01B70"/>
    <w:rsid w:val="00C03389"/>
    <w:rsid w:val="00C11C06"/>
    <w:rsid w:val="00C14829"/>
    <w:rsid w:val="00C208D4"/>
    <w:rsid w:val="00C26A4D"/>
    <w:rsid w:val="00C31621"/>
    <w:rsid w:val="00C347A2"/>
    <w:rsid w:val="00C40223"/>
    <w:rsid w:val="00C407F8"/>
    <w:rsid w:val="00C44878"/>
    <w:rsid w:val="00C45E82"/>
    <w:rsid w:val="00C516AC"/>
    <w:rsid w:val="00C518D4"/>
    <w:rsid w:val="00C61652"/>
    <w:rsid w:val="00C62B56"/>
    <w:rsid w:val="00C65C13"/>
    <w:rsid w:val="00C7373C"/>
    <w:rsid w:val="00C900AE"/>
    <w:rsid w:val="00C90E28"/>
    <w:rsid w:val="00C92707"/>
    <w:rsid w:val="00C9360F"/>
    <w:rsid w:val="00CA1553"/>
    <w:rsid w:val="00CA31CE"/>
    <w:rsid w:val="00CA3553"/>
    <w:rsid w:val="00CA5FB3"/>
    <w:rsid w:val="00CA6E67"/>
    <w:rsid w:val="00CB1ECA"/>
    <w:rsid w:val="00CB6A36"/>
    <w:rsid w:val="00CC1AFC"/>
    <w:rsid w:val="00CC302C"/>
    <w:rsid w:val="00CC34FF"/>
    <w:rsid w:val="00CD2528"/>
    <w:rsid w:val="00CD627C"/>
    <w:rsid w:val="00CE5A03"/>
    <w:rsid w:val="00CE62B2"/>
    <w:rsid w:val="00CE673D"/>
    <w:rsid w:val="00CE7338"/>
    <w:rsid w:val="00CE74F3"/>
    <w:rsid w:val="00CF0C72"/>
    <w:rsid w:val="00CF3D85"/>
    <w:rsid w:val="00CF5C30"/>
    <w:rsid w:val="00CF7500"/>
    <w:rsid w:val="00D1196D"/>
    <w:rsid w:val="00D12A0D"/>
    <w:rsid w:val="00D156DD"/>
    <w:rsid w:val="00D15989"/>
    <w:rsid w:val="00D172D4"/>
    <w:rsid w:val="00D202A5"/>
    <w:rsid w:val="00D22343"/>
    <w:rsid w:val="00D23FDE"/>
    <w:rsid w:val="00D25395"/>
    <w:rsid w:val="00D2593D"/>
    <w:rsid w:val="00D30CEC"/>
    <w:rsid w:val="00D30E98"/>
    <w:rsid w:val="00D31A63"/>
    <w:rsid w:val="00D34B4A"/>
    <w:rsid w:val="00D362DA"/>
    <w:rsid w:val="00D40FFB"/>
    <w:rsid w:val="00D41781"/>
    <w:rsid w:val="00D50FF9"/>
    <w:rsid w:val="00D518D1"/>
    <w:rsid w:val="00D55C4E"/>
    <w:rsid w:val="00D606F5"/>
    <w:rsid w:val="00D61638"/>
    <w:rsid w:val="00D64319"/>
    <w:rsid w:val="00D713A3"/>
    <w:rsid w:val="00D71B34"/>
    <w:rsid w:val="00D77047"/>
    <w:rsid w:val="00D80D32"/>
    <w:rsid w:val="00D819C9"/>
    <w:rsid w:val="00D86560"/>
    <w:rsid w:val="00D9011F"/>
    <w:rsid w:val="00D94CC1"/>
    <w:rsid w:val="00DA03EA"/>
    <w:rsid w:val="00DB259B"/>
    <w:rsid w:val="00DB3611"/>
    <w:rsid w:val="00DB705D"/>
    <w:rsid w:val="00DB7363"/>
    <w:rsid w:val="00DC056A"/>
    <w:rsid w:val="00DC2032"/>
    <w:rsid w:val="00DC48CB"/>
    <w:rsid w:val="00DD2DF5"/>
    <w:rsid w:val="00DE7D04"/>
    <w:rsid w:val="00DF0018"/>
    <w:rsid w:val="00DF0E66"/>
    <w:rsid w:val="00DF4755"/>
    <w:rsid w:val="00DF78AB"/>
    <w:rsid w:val="00DF7ECD"/>
    <w:rsid w:val="00E02451"/>
    <w:rsid w:val="00E0307E"/>
    <w:rsid w:val="00E033B7"/>
    <w:rsid w:val="00E03442"/>
    <w:rsid w:val="00E1242C"/>
    <w:rsid w:val="00E13F88"/>
    <w:rsid w:val="00E147EB"/>
    <w:rsid w:val="00E22EE2"/>
    <w:rsid w:val="00E2482D"/>
    <w:rsid w:val="00E24B88"/>
    <w:rsid w:val="00E255A4"/>
    <w:rsid w:val="00E25FD7"/>
    <w:rsid w:val="00E30651"/>
    <w:rsid w:val="00E324A3"/>
    <w:rsid w:val="00E341EF"/>
    <w:rsid w:val="00E350DC"/>
    <w:rsid w:val="00E3578C"/>
    <w:rsid w:val="00E37091"/>
    <w:rsid w:val="00E37FE7"/>
    <w:rsid w:val="00E41A76"/>
    <w:rsid w:val="00E41B2F"/>
    <w:rsid w:val="00E510FB"/>
    <w:rsid w:val="00E52CFE"/>
    <w:rsid w:val="00E55C43"/>
    <w:rsid w:val="00E5754A"/>
    <w:rsid w:val="00E672DA"/>
    <w:rsid w:val="00E732EA"/>
    <w:rsid w:val="00E75706"/>
    <w:rsid w:val="00E81619"/>
    <w:rsid w:val="00E90794"/>
    <w:rsid w:val="00E96F41"/>
    <w:rsid w:val="00EA5B5A"/>
    <w:rsid w:val="00EA63EF"/>
    <w:rsid w:val="00EA7AE4"/>
    <w:rsid w:val="00EB12F9"/>
    <w:rsid w:val="00EB47F0"/>
    <w:rsid w:val="00EC1626"/>
    <w:rsid w:val="00EC3CEC"/>
    <w:rsid w:val="00EC5F98"/>
    <w:rsid w:val="00EC6E36"/>
    <w:rsid w:val="00EC7466"/>
    <w:rsid w:val="00ED4283"/>
    <w:rsid w:val="00ED601A"/>
    <w:rsid w:val="00EE5724"/>
    <w:rsid w:val="00EF106C"/>
    <w:rsid w:val="00EF1D18"/>
    <w:rsid w:val="00EF1DEB"/>
    <w:rsid w:val="00EF3D31"/>
    <w:rsid w:val="00EF4A04"/>
    <w:rsid w:val="00EF4BB8"/>
    <w:rsid w:val="00EF5596"/>
    <w:rsid w:val="00EF5BE7"/>
    <w:rsid w:val="00F004F5"/>
    <w:rsid w:val="00F0717E"/>
    <w:rsid w:val="00F1064F"/>
    <w:rsid w:val="00F15D7E"/>
    <w:rsid w:val="00F24577"/>
    <w:rsid w:val="00F24996"/>
    <w:rsid w:val="00F25DD7"/>
    <w:rsid w:val="00F271C0"/>
    <w:rsid w:val="00F36B68"/>
    <w:rsid w:val="00F605BF"/>
    <w:rsid w:val="00F60E54"/>
    <w:rsid w:val="00F65C98"/>
    <w:rsid w:val="00F71C19"/>
    <w:rsid w:val="00F742E0"/>
    <w:rsid w:val="00F80CF5"/>
    <w:rsid w:val="00F839B0"/>
    <w:rsid w:val="00F86141"/>
    <w:rsid w:val="00F875F5"/>
    <w:rsid w:val="00F93769"/>
    <w:rsid w:val="00F95951"/>
    <w:rsid w:val="00F95A36"/>
    <w:rsid w:val="00F96D8E"/>
    <w:rsid w:val="00FA1E85"/>
    <w:rsid w:val="00FA639D"/>
    <w:rsid w:val="00FA6B71"/>
    <w:rsid w:val="00FB528C"/>
    <w:rsid w:val="00FB6F8A"/>
    <w:rsid w:val="00FC04A8"/>
    <w:rsid w:val="00FC4A34"/>
    <w:rsid w:val="00FC58D2"/>
    <w:rsid w:val="00FD2B5D"/>
    <w:rsid w:val="00FD323F"/>
    <w:rsid w:val="00FD354C"/>
    <w:rsid w:val="00FD6A5A"/>
    <w:rsid w:val="00FD71BC"/>
    <w:rsid w:val="00FE0C90"/>
    <w:rsid w:val="00FE1FF0"/>
    <w:rsid w:val="00FE5E7F"/>
    <w:rsid w:val="00FF2F5A"/>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FFCB4-62B5-41A5-868A-4AE24E6C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qFormat/>
    <w:rPr>
      <w:b/>
      <w:bCs/>
    </w:rPr>
  </w:style>
  <w:style w:type="paragraph" w:styleId="Pagrindinistekstas">
    <w:name w:val="Body Text"/>
    <w:basedOn w:val="prastasis"/>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01393A"/>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nvesticijos.lt/lt/dokumentu-projekta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192.168.167.207/Litlex/LL.DLL?Tekstas=1?Id=165004&amp;Zd=&amp;BF=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nrs.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192.168.167.207/Litlex/LL.DLL?Tekstas=1?Id=174650&amp;Zd=&amp;BF=1" TargetMode="External"/><Relationship Id="rId4" Type="http://schemas.openxmlformats.org/officeDocument/2006/relationships/webSettings" Target="webSettings.xml"/><Relationship Id="rId9" Type="http://schemas.openxmlformats.org/officeDocument/2006/relationships/hyperlink" Target="http://www.zum.lt/index.php?-511088532"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24280</Words>
  <Characters>13841</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38045</CharactersWithSpaces>
  <SharedDoc>false</SharedDoc>
  <HLinks>
    <vt:vector size="18" baseType="variant">
      <vt:variant>
        <vt:i4>327705</vt:i4>
      </vt:variant>
      <vt:variant>
        <vt:i4>6</vt:i4>
      </vt:variant>
      <vt:variant>
        <vt:i4>0</vt:i4>
      </vt:variant>
      <vt:variant>
        <vt:i4>5</vt:i4>
      </vt:variant>
      <vt:variant>
        <vt:lpwstr>http://www.panrs.lt/</vt:lpwstr>
      </vt:variant>
      <vt:variant>
        <vt:lpwstr/>
      </vt:variant>
      <vt:variant>
        <vt:i4>3538989</vt:i4>
      </vt:variant>
      <vt:variant>
        <vt:i4>3</vt:i4>
      </vt:variant>
      <vt:variant>
        <vt:i4>0</vt:i4>
      </vt:variant>
      <vt:variant>
        <vt:i4>5</vt:i4>
      </vt:variant>
      <vt:variant>
        <vt:lpwstr>http://www.zum.lt/index.php?-511088532</vt:lpwstr>
      </vt:variant>
      <vt:variant>
        <vt:lpwstr/>
      </vt:variant>
      <vt:variant>
        <vt:i4>5177430</vt:i4>
      </vt:variant>
      <vt:variant>
        <vt:i4>0</vt:i4>
      </vt:variant>
      <vt:variant>
        <vt:i4>0</vt:i4>
      </vt:variant>
      <vt:variant>
        <vt:i4>5</vt:i4>
      </vt:variant>
      <vt:variant>
        <vt:lpwstr>http://esinvesticijos.lt/lt/dokumentu-projektai/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21</cp:revision>
  <cp:lastPrinted>2014-02-18T10:39:00Z</cp:lastPrinted>
  <dcterms:created xsi:type="dcterms:W3CDTF">2015-01-07T09:20:00Z</dcterms:created>
  <dcterms:modified xsi:type="dcterms:W3CDTF">2015-01-12T11:43:00Z</dcterms:modified>
</cp:coreProperties>
</file>