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4D" w:rsidRDefault="00B92138" w:rsidP="0025414D">
      <w:pPr>
        <w:pStyle w:val="Pagrindinistekstas21"/>
      </w:pPr>
      <w:r>
        <w:t>DĖL SAVIVALDY</w:t>
      </w:r>
      <w:r w:rsidR="00881765">
        <w:t>BĖS ADMINISTRACIJOS DIREKTORIAUS</w:t>
      </w:r>
      <w:r>
        <w:t xml:space="preserve"> 2020 M. SAUSIO 2 D. ĮSAKYMO Nr. A-1 „</w:t>
      </w:r>
      <w:r w:rsidR="0025414D">
        <w:t>DĖL SAVIVALDYBĖS A</w:t>
      </w:r>
      <w:r w:rsidR="00643AA7">
        <w:t xml:space="preserve">DMINISTRACIJOS </w:t>
      </w:r>
      <w:r w:rsidR="00940469">
        <w:t>DARBUOTOJŲ, DIRBANČIŲ PAGAL DARBO SUTARTIS, DARBO APMOKĖJIMO SISTEMOS PATVIRTINIMO</w:t>
      </w:r>
      <w:r>
        <w:t>“</w:t>
      </w:r>
      <w:r w:rsidR="00881765">
        <w:t xml:space="preserve"> </w:t>
      </w:r>
      <w:r>
        <w:t>PAKEITIMO</w:t>
      </w:r>
    </w:p>
    <w:p w:rsidR="0025414D" w:rsidRDefault="0025414D" w:rsidP="0025414D">
      <w:pPr>
        <w:jc w:val="center"/>
        <w:rPr>
          <w:color w:val="000000"/>
        </w:rPr>
      </w:pPr>
    </w:p>
    <w:p w:rsidR="00B92138" w:rsidRDefault="00B92138" w:rsidP="0025414D">
      <w:pPr>
        <w:jc w:val="center"/>
        <w:rPr>
          <w:color w:val="000000"/>
        </w:rPr>
      </w:pPr>
    </w:p>
    <w:p w:rsidR="0025414D" w:rsidRDefault="0080080C" w:rsidP="0025414D">
      <w:pPr>
        <w:jc w:val="center"/>
        <w:rPr>
          <w:color w:val="000000"/>
          <w:sz w:val="24"/>
          <w:lang w:val="lt-LT"/>
        </w:rPr>
      </w:pPr>
      <w:r>
        <w:rPr>
          <w:color w:val="000000"/>
          <w:sz w:val="24"/>
          <w:lang w:val="lt-LT"/>
        </w:rPr>
        <w:t>2022</w:t>
      </w:r>
      <w:r w:rsidR="0025414D">
        <w:rPr>
          <w:color w:val="000000"/>
          <w:sz w:val="24"/>
          <w:lang w:val="lt-LT"/>
        </w:rPr>
        <w:t xml:space="preserve"> m. </w:t>
      </w:r>
      <w:r w:rsidR="00704388">
        <w:rPr>
          <w:color w:val="000000"/>
          <w:sz w:val="24"/>
          <w:lang w:val="lt-LT"/>
        </w:rPr>
        <w:t xml:space="preserve">gruodžio </w:t>
      </w:r>
      <w:r>
        <w:rPr>
          <w:color w:val="000000"/>
          <w:sz w:val="24"/>
          <w:lang w:val="lt-LT"/>
        </w:rPr>
        <w:t xml:space="preserve">   </w:t>
      </w:r>
      <w:r w:rsidR="00E6103F">
        <w:rPr>
          <w:color w:val="000000"/>
          <w:sz w:val="24"/>
          <w:lang w:val="lt-LT"/>
        </w:rPr>
        <w:t xml:space="preserve"> </w:t>
      </w:r>
      <w:r w:rsidR="0025414D">
        <w:rPr>
          <w:color w:val="000000"/>
          <w:sz w:val="24"/>
          <w:lang w:val="lt-LT"/>
        </w:rPr>
        <w:t>d. Nr. A-</w:t>
      </w:r>
    </w:p>
    <w:p w:rsidR="0025414D" w:rsidRDefault="0025414D" w:rsidP="0025414D">
      <w:pPr>
        <w:jc w:val="center"/>
        <w:rPr>
          <w:color w:val="000000"/>
          <w:sz w:val="24"/>
          <w:lang w:val="lt-LT"/>
        </w:rPr>
      </w:pPr>
      <w:r>
        <w:rPr>
          <w:color w:val="000000"/>
          <w:sz w:val="24"/>
          <w:lang w:val="lt-LT"/>
        </w:rPr>
        <w:t>Panevėžys</w:t>
      </w:r>
    </w:p>
    <w:p w:rsidR="0025414D" w:rsidRDefault="0025414D" w:rsidP="0025414D">
      <w:pPr>
        <w:rPr>
          <w:color w:val="000000"/>
          <w:sz w:val="24"/>
          <w:lang w:val="lt-LT"/>
        </w:rPr>
      </w:pPr>
    </w:p>
    <w:p w:rsidR="0025414D" w:rsidRDefault="0025414D" w:rsidP="0025414D">
      <w:pPr>
        <w:rPr>
          <w:color w:val="000000"/>
          <w:sz w:val="24"/>
          <w:lang w:val="lt-LT"/>
        </w:rPr>
      </w:pPr>
    </w:p>
    <w:p w:rsidR="0025414D" w:rsidRPr="00F72C81" w:rsidRDefault="0025414D" w:rsidP="0025414D">
      <w:pPr>
        <w:jc w:val="both"/>
        <w:rPr>
          <w:color w:val="000000"/>
          <w:sz w:val="24"/>
          <w:lang w:val="lt-LT"/>
        </w:rPr>
      </w:pPr>
      <w:r>
        <w:rPr>
          <w:sz w:val="24"/>
          <w:lang w:val="lt-LT"/>
        </w:rPr>
        <w:tab/>
      </w:r>
      <w:r w:rsidRPr="00F72C81">
        <w:rPr>
          <w:sz w:val="24"/>
          <w:lang w:val="lt-LT"/>
        </w:rPr>
        <w:t>Vadovaudamasis Lietuvos Respublikos vietos savivaldos</w:t>
      </w:r>
      <w:r w:rsidR="00940469" w:rsidRPr="00F72C81">
        <w:rPr>
          <w:sz w:val="24"/>
          <w:lang w:val="lt-LT"/>
        </w:rPr>
        <w:t xml:space="preserve"> įstatymo</w:t>
      </w:r>
      <w:r w:rsidR="00B92138" w:rsidRPr="00F72C81">
        <w:rPr>
          <w:sz w:val="24"/>
          <w:lang w:val="lt-LT"/>
        </w:rPr>
        <w:t xml:space="preserve"> 18 straipsnio 1 dalimi</w:t>
      </w:r>
      <w:r w:rsidR="0031540E" w:rsidRPr="00F72C81">
        <w:rPr>
          <w:color w:val="000000"/>
          <w:sz w:val="24"/>
          <w:lang w:val="lt-LT"/>
        </w:rPr>
        <w:t>,</w:t>
      </w:r>
      <w:r w:rsidR="00E17EE1" w:rsidRPr="00F72C81">
        <w:rPr>
          <w:color w:val="000000"/>
          <w:sz w:val="24"/>
          <w:lang w:val="lt-LT"/>
        </w:rPr>
        <w:t xml:space="preserve"> Lietuvos Respublikos valstybės ir savivaldybių įstaigų darbuotojų darbo apmokėjimo ir komisijų narių atlygio už darbą įstatymo NR. XIII-198 </w:t>
      </w:r>
      <w:r w:rsidR="0080080C">
        <w:rPr>
          <w:color w:val="000000"/>
          <w:sz w:val="24"/>
          <w:lang w:val="lt-LT"/>
        </w:rPr>
        <w:t>10, 11, 14</w:t>
      </w:r>
      <w:r w:rsidR="00E17EE1" w:rsidRPr="00F72C81">
        <w:rPr>
          <w:color w:val="000000"/>
          <w:sz w:val="24"/>
          <w:lang w:val="lt-LT"/>
        </w:rPr>
        <w:t xml:space="preserve"> straipsnių ir 1, 2, 3,</w:t>
      </w:r>
      <w:r w:rsidR="00D6039C" w:rsidRPr="00F72C81">
        <w:rPr>
          <w:color w:val="000000"/>
          <w:sz w:val="24"/>
          <w:lang w:val="lt-LT"/>
        </w:rPr>
        <w:t xml:space="preserve"> 4, 5 priedų pakeitimo įstatymu:</w:t>
      </w:r>
    </w:p>
    <w:p w:rsidR="00940469" w:rsidRDefault="0025414D" w:rsidP="00B92138">
      <w:pPr>
        <w:jc w:val="both"/>
        <w:rPr>
          <w:sz w:val="24"/>
          <w:lang w:val="lt-LT"/>
        </w:rPr>
      </w:pPr>
      <w:r w:rsidRPr="00F72C81">
        <w:rPr>
          <w:sz w:val="24"/>
          <w:lang w:val="lt-LT"/>
        </w:rPr>
        <w:tab/>
      </w:r>
      <w:r w:rsidR="00842FF2" w:rsidRPr="00F72C81">
        <w:rPr>
          <w:sz w:val="24"/>
          <w:lang w:val="lt-LT"/>
        </w:rPr>
        <w:t>1. P</w:t>
      </w:r>
      <w:r w:rsidR="00B92138" w:rsidRPr="00F72C81">
        <w:rPr>
          <w:sz w:val="24"/>
          <w:lang w:val="lt-LT"/>
        </w:rPr>
        <w:t xml:space="preserve"> a k e i č i u Savivaldybės administracijos darbuotojų, dirbančių pagal darbo sutartis, darb</w:t>
      </w:r>
      <w:r w:rsidR="00E17EE1" w:rsidRPr="00F72C81">
        <w:rPr>
          <w:sz w:val="24"/>
          <w:lang w:val="lt-LT"/>
        </w:rPr>
        <w:t>o apmokėjimo sistemą, patvirtintą</w:t>
      </w:r>
      <w:r w:rsidR="00B92138" w:rsidRPr="00F72C81">
        <w:rPr>
          <w:sz w:val="24"/>
          <w:lang w:val="lt-LT"/>
        </w:rPr>
        <w:t xml:space="preserve"> Savivaldybės administracijos direktoriaus 2020 m. sausio 2 d. įsakymu Nr. A-1 „Dėl Savivaldybės administracijos darbuotojų, dirbančių pagal darbo sutartis, darbo apmokėji</w:t>
      </w:r>
      <w:r w:rsidR="00E17EE1" w:rsidRPr="00F72C81">
        <w:rPr>
          <w:sz w:val="24"/>
          <w:lang w:val="lt-LT"/>
        </w:rPr>
        <w:t>mo sistemos patvirtinimo“,</w:t>
      </w:r>
      <w:r w:rsidR="00B92138" w:rsidRPr="00F72C81">
        <w:rPr>
          <w:sz w:val="24"/>
          <w:lang w:val="lt-LT"/>
        </w:rPr>
        <w:t xml:space="preserve"> taip:</w:t>
      </w:r>
    </w:p>
    <w:p w:rsidR="0080080C" w:rsidRPr="00F72C81" w:rsidRDefault="00275A07" w:rsidP="00B92138">
      <w:pPr>
        <w:jc w:val="both"/>
        <w:rPr>
          <w:sz w:val="24"/>
          <w:lang w:val="lt-LT"/>
        </w:rPr>
      </w:pPr>
      <w:r>
        <w:rPr>
          <w:sz w:val="24"/>
          <w:lang w:val="lt-LT"/>
        </w:rPr>
        <w:tab/>
        <w:t>1.1. pakeičiu 10.</w:t>
      </w:r>
      <w:r w:rsidR="0080080C">
        <w:rPr>
          <w:sz w:val="24"/>
          <w:lang w:val="lt-LT"/>
        </w:rPr>
        <w:t>2 papunktį ir jį išdėstau taip:</w:t>
      </w:r>
    </w:p>
    <w:p w:rsidR="00AA6350" w:rsidRPr="00C35766" w:rsidRDefault="00CD342A" w:rsidP="0080080C">
      <w:pPr>
        <w:jc w:val="both"/>
        <w:rPr>
          <w:sz w:val="24"/>
          <w:szCs w:val="24"/>
          <w:lang w:val="lt-LT"/>
        </w:rPr>
      </w:pPr>
      <w:r w:rsidRPr="00F72C81">
        <w:rPr>
          <w:sz w:val="24"/>
          <w:lang w:val="lt-LT"/>
        </w:rPr>
        <w:tab/>
      </w:r>
      <w:r w:rsidR="0080080C" w:rsidRPr="00C35766">
        <w:rPr>
          <w:sz w:val="24"/>
          <w:lang w:val="lt-LT"/>
        </w:rPr>
        <w:t>„</w:t>
      </w:r>
      <w:r w:rsidR="0080080C" w:rsidRPr="00C35766">
        <w:rPr>
          <w:rFonts w:eastAsia="Calibri"/>
          <w:sz w:val="24"/>
          <w:szCs w:val="24"/>
          <w:lang w:val="lt-LT"/>
        </w:rPr>
        <w:t xml:space="preserve">10.2. priemokų, nustatytų 10.1.1–10.1.3 papunkčiuose, suma negali viršyti 30 procentų pareiginės algos pastoviosios dalies dydžio ir </w:t>
      </w:r>
      <w:r w:rsidR="00C35766" w:rsidRPr="00390D30">
        <w:rPr>
          <w:rFonts w:eastAsia="Calibri"/>
          <w:sz w:val="24"/>
          <w:szCs w:val="24"/>
          <w:lang w:val="lt-LT"/>
        </w:rPr>
        <w:t>jos</w:t>
      </w:r>
      <w:r w:rsidR="00C35766">
        <w:rPr>
          <w:rFonts w:eastAsia="Calibri"/>
          <w:sz w:val="24"/>
          <w:szCs w:val="24"/>
          <w:lang w:val="lt-LT"/>
        </w:rPr>
        <w:t xml:space="preserve"> </w:t>
      </w:r>
      <w:r w:rsidR="0080080C" w:rsidRPr="00C35766">
        <w:rPr>
          <w:rFonts w:eastAsia="Calibri"/>
          <w:sz w:val="24"/>
          <w:szCs w:val="24"/>
          <w:lang w:val="lt-LT"/>
        </w:rPr>
        <w:t>gali būti skiriamos ne ilgiau kaip iki kalendorinių metų pabaigos, šių priemokų ir pareiginės algos kintamosios dalies suma negali viršyti 60 procentų nustatytos pareiginės algos pastoviosios dalies dydžio;“;</w:t>
      </w:r>
    </w:p>
    <w:p w:rsidR="0080080C" w:rsidRPr="00C35766" w:rsidRDefault="00275A07" w:rsidP="0080080C">
      <w:pPr>
        <w:jc w:val="both"/>
        <w:rPr>
          <w:sz w:val="24"/>
          <w:lang w:val="lt-LT"/>
        </w:rPr>
      </w:pPr>
      <w:r w:rsidRPr="00C35766">
        <w:rPr>
          <w:sz w:val="24"/>
          <w:lang w:val="lt-LT"/>
        </w:rPr>
        <w:tab/>
        <w:t>1.2. papildau 13.</w:t>
      </w:r>
      <w:r w:rsidR="0080080C" w:rsidRPr="00C35766">
        <w:rPr>
          <w:sz w:val="24"/>
          <w:lang w:val="lt-LT"/>
        </w:rPr>
        <w:t>4 papunkčiu ir jį išdėstau taip:</w:t>
      </w:r>
    </w:p>
    <w:p w:rsidR="0080080C" w:rsidRPr="00C35766" w:rsidRDefault="0080080C" w:rsidP="0080080C">
      <w:pPr>
        <w:jc w:val="both"/>
        <w:rPr>
          <w:sz w:val="24"/>
          <w:szCs w:val="24"/>
          <w:lang w:val="lt-LT"/>
        </w:rPr>
      </w:pPr>
      <w:r w:rsidRPr="00C35766">
        <w:rPr>
          <w:rFonts w:eastAsia="Calibri"/>
          <w:szCs w:val="24"/>
          <w:lang w:val="lt-LT"/>
        </w:rPr>
        <w:tab/>
      </w:r>
      <w:r w:rsidRPr="00C35766">
        <w:rPr>
          <w:rFonts w:eastAsia="Calibri"/>
          <w:sz w:val="24"/>
          <w:szCs w:val="24"/>
          <w:lang w:val="lt-LT"/>
        </w:rPr>
        <w:t>„13.4. už budėjimą darbuotojui mokama Darbo kodekso nustatyta tvarka.“;</w:t>
      </w:r>
    </w:p>
    <w:p w:rsidR="0080080C" w:rsidRPr="00C35766" w:rsidRDefault="0080080C" w:rsidP="0080080C">
      <w:pPr>
        <w:jc w:val="both"/>
        <w:rPr>
          <w:sz w:val="24"/>
          <w:szCs w:val="24"/>
          <w:lang w:val="lt-LT"/>
        </w:rPr>
      </w:pPr>
      <w:r w:rsidRPr="00C35766">
        <w:rPr>
          <w:szCs w:val="24"/>
          <w:lang w:val="lt-LT"/>
        </w:rPr>
        <w:tab/>
      </w:r>
      <w:r w:rsidRPr="00C35766">
        <w:rPr>
          <w:sz w:val="24"/>
          <w:szCs w:val="24"/>
          <w:lang w:val="lt-LT"/>
        </w:rPr>
        <w:t>1.3. pakeičiu 31 punktą ir jį išdėstau taip:</w:t>
      </w:r>
    </w:p>
    <w:p w:rsidR="0080080C" w:rsidRPr="00C35766" w:rsidRDefault="006309BD" w:rsidP="0080080C">
      <w:pPr>
        <w:jc w:val="both"/>
        <w:rPr>
          <w:rFonts w:eastAsia="Calibri"/>
          <w:sz w:val="24"/>
          <w:szCs w:val="24"/>
          <w:lang w:val="lt-LT" w:eastAsia="en-US" w:bidi="ar-SA"/>
        </w:rPr>
      </w:pPr>
      <w:r w:rsidRPr="00C35766">
        <w:rPr>
          <w:sz w:val="24"/>
          <w:lang w:val="lt-LT"/>
        </w:rPr>
        <w:tab/>
      </w:r>
      <w:r w:rsidR="00803612" w:rsidRPr="00C35766">
        <w:rPr>
          <w:sz w:val="24"/>
          <w:lang w:val="lt-LT"/>
        </w:rPr>
        <w:t>„</w:t>
      </w:r>
      <w:r w:rsidR="0080080C" w:rsidRPr="00C35766">
        <w:rPr>
          <w:rFonts w:eastAsia="Calibri"/>
          <w:sz w:val="24"/>
          <w:szCs w:val="24"/>
          <w:lang w:val="lt-LT" w:eastAsia="en-US" w:bidi="ar-SA"/>
        </w:rPr>
        <w:t>31. Darbuotojų metinė veikla gali būti įvertinama:</w:t>
      </w:r>
    </w:p>
    <w:p w:rsidR="0080080C" w:rsidRPr="00275A07" w:rsidRDefault="0080080C" w:rsidP="0080080C">
      <w:pPr>
        <w:suppressAutoHyphens w:val="0"/>
        <w:jc w:val="both"/>
        <w:rPr>
          <w:rFonts w:eastAsia="Calibri"/>
          <w:sz w:val="24"/>
          <w:szCs w:val="24"/>
          <w:lang w:val="lt-LT" w:eastAsia="en-US" w:bidi="ar-SA"/>
        </w:rPr>
      </w:pPr>
      <w:r w:rsidRPr="00275A07">
        <w:rPr>
          <w:rFonts w:eastAsia="Calibri"/>
          <w:sz w:val="24"/>
          <w:szCs w:val="24"/>
          <w:lang w:val="lt-LT" w:eastAsia="en-US" w:bidi="ar-SA"/>
        </w:rPr>
        <w:tab/>
        <w:t xml:space="preserve">31.1. labai gerai – darbuotojas įvykdė </w:t>
      </w:r>
      <w:r w:rsidR="006C59AF" w:rsidRPr="00275A07">
        <w:rPr>
          <w:rFonts w:eastAsia="Calibri"/>
          <w:sz w:val="24"/>
          <w:szCs w:val="24"/>
          <w:lang w:val="lt-LT" w:eastAsia="en-US" w:bidi="ar-SA"/>
        </w:rPr>
        <w:t xml:space="preserve">visas nustatytas metines </w:t>
      </w:r>
      <w:r w:rsidRPr="00275A07">
        <w:rPr>
          <w:rFonts w:eastAsia="Calibri"/>
          <w:sz w:val="24"/>
          <w:szCs w:val="24"/>
          <w:lang w:val="lt-LT" w:eastAsia="en-US" w:bidi="ar-SA"/>
        </w:rPr>
        <w:t xml:space="preserve">užduotis ir viršijo kai kuriuos </w:t>
      </w:r>
      <w:r w:rsidR="006C59AF" w:rsidRPr="00275A07">
        <w:rPr>
          <w:rFonts w:eastAsia="Calibri"/>
          <w:sz w:val="24"/>
          <w:szCs w:val="24"/>
          <w:lang w:val="lt-LT" w:eastAsia="en-US" w:bidi="ar-SA"/>
        </w:rPr>
        <w:t>nustatytus</w:t>
      </w:r>
      <w:r w:rsidRPr="00275A07">
        <w:rPr>
          <w:rFonts w:eastAsia="Calibri"/>
          <w:sz w:val="24"/>
          <w:szCs w:val="24"/>
          <w:lang w:val="lt-LT" w:eastAsia="en-US" w:bidi="ar-SA"/>
        </w:rPr>
        <w:t xml:space="preserve"> vertinimo rodiklius</w:t>
      </w:r>
      <w:r w:rsidR="006C59AF" w:rsidRPr="00275A07">
        <w:rPr>
          <w:rFonts w:eastAsia="Calibri"/>
          <w:sz w:val="24"/>
          <w:szCs w:val="24"/>
          <w:lang w:val="lt-LT" w:eastAsia="en-US" w:bidi="ar-SA"/>
        </w:rPr>
        <w:t xml:space="preserve">, pareigybės aprašyme nustatytas funkcijas </w:t>
      </w:r>
      <w:r w:rsidR="009908E2" w:rsidRPr="00275A07">
        <w:rPr>
          <w:rFonts w:eastAsia="Calibri"/>
          <w:sz w:val="24"/>
          <w:szCs w:val="24"/>
          <w:lang w:val="lt-LT" w:eastAsia="en-US" w:bidi="ar-SA"/>
        </w:rPr>
        <w:t>geba vykdyti savarankiškai,</w:t>
      </w:r>
      <w:r w:rsidR="006C59AF" w:rsidRPr="00275A07">
        <w:rPr>
          <w:rFonts w:eastAsia="Calibri"/>
          <w:sz w:val="24"/>
          <w:szCs w:val="24"/>
          <w:lang w:val="lt-LT" w:eastAsia="en-US" w:bidi="ar-SA"/>
        </w:rPr>
        <w:t xml:space="preserve"> l</w:t>
      </w:r>
      <w:r w:rsidR="006C59AF" w:rsidRPr="00390D30">
        <w:rPr>
          <w:rFonts w:eastAsia="Calibri"/>
          <w:sz w:val="24"/>
          <w:szCs w:val="24"/>
          <w:lang w:val="lt-LT" w:eastAsia="en-US" w:bidi="ar-SA"/>
        </w:rPr>
        <w:t>aik</w:t>
      </w:r>
      <w:r w:rsidR="00C35766" w:rsidRPr="00390D30">
        <w:rPr>
          <w:rFonts w:eastAsia="Calibri"/>
          <w:sz w:val="24"/>
          <w:szCs w:val="24"/>
          <w:lang w:val="lt-LT" w:eastAsia="en-US" w:bidi="ar-SA"/>
        </w:rPr>
        <w:t>ydamasis</w:t>
      </w:r>
      <w:r w:rsidR="009908E2" w:rsidRPr="00275A07">
        <w:rPr>
          <w:rFonts w:eastAsia="Calibri"/>
          <w:sz w:val="24"/>
          <w:szCs w:val="24"/>
          <w:lang w:val="lt-LT" w:eastAsia="en-US" w:bidi="ar-SA"/>
        </w:rPr>
        <w:t xml:space="preserve"> nustatytos tvarkos bei tinkamų būdų</w:t>
      </w:r>
      <w:r w:rsidR="006C59AF" w:rsidRPr="00275A07">
        <w:rPr>
          <w:rFonts w:eastAsia="Calibri"/>
          <w:sz w:val="24"/>
          <w:szCs w:val="24"/>
          <w:lang w:val="lt-LT" w:eastAsia="en-US" w:bidi="ar-SA"/>
        </w:rPr>
        <w:t xml:space="preserve">, turi pakankamai </w:t>
      </w:r>
      <w:r w:rsidR="009908E2" w:rsidRPr="00275A07">
        <w:rPr>
          <w:rFonts w:eastAsia="Calibri"/>
          <w:sz w:val="24"/>
          <w:szCs w:val="24"/>
          <w:lang w:val="lt-LT" w:eastAsia="en-US" w:bidi="ar-SA"/>
        </w:rPr>
        <w:t xml:space="preserve">žinių, </w:t>
      </w:r>
      <w:r w:rsidR="006C59AF" w:rsidRPr="00275A07">
        <w:rPr>
          <w:rFonts w:eastAsia="Calibri"/>
          <w:sz w:val="24"/>
          <w:szCs w:val="24"/>
          <w:lang w:val="lt-LT" w:eastAsia="en-US" w:bidi="ar-SA"/>
        </w:rPr>
        <w:t>gebėjimų</w:t>
      </w:r>
      <w:r w:rsidR="009908E2" w:rsidRPr="00275A07">
        <w:rPr>
          <w:rFonts w:eastAsia="Calibri"/>
          <w:sz w:val="24"/>
          <w:szCs w:val="24"/>
          <w:lang w:val="lt-LT" w:eastAsia="en-US" w:bidi="ar-SA"/>
        </w:rPr>
        <w:t xml:space="preserve"> ir įgūdžių, reikalingų vykdyti numatytas užduotis</w:t>
      </w:r>
      <w:r w:rsidR="00015D30" w:rsidRPr="00275A07">
        <w:rPr>
          <w:rFonts w:eastAsia="Calibri"/>
          <w:sz w:val="24"/>
          <w:szCs w:val="24"/>
          <w:lang w:val="lt-LT" w:eastAsia="en-US" w:bidi="ar-SA"/>
        </w:rPr>
        <w:t>,</w:t>
      </w:r>
      <w:r w:rsidR="009908E2" w:rsidRPr="00275A07">
        <w:rPr>
          <w:rFonts w:eastAsia="Calibri"/>
          <w:sz w:val="24"/>
          <w:szCs w:val="24"/>
          <w:lang w:val="lt-LT" w:eastAsia="en-US" w:bidi="ar-SA"/>
        </w:rPr>
        <w:t xml:space="preserve"> ir juos noriai perteikia kitiems</w:t>
      </w:r>
      <w:r w:rsidRPr="00275A07">
        <w:rPr>
          <w:rFonts w:eastAsia="Calibri"/>
          <w:sz w:val="24"/>
          <w:szCs w:val="24"/>
          <w:lang w:val="lt-LT" w:eastAsia="en-US" w:bidi="ar-SA"/>
        </w:rPr>
        <w:t>;</w:t>
      </w:r>
    </w:p>
    <w:p w:rsidR="0080080C" w:rsidRPr="00275A07" w:rsidRDefault="0080080C" w:rsidP="0080080C">
      <w:pPr>
        <w:suppressAutoHyphens w:val="0"/>
        <w:jc w:val="both"/>
        <w:rPr>
          <w:rFonts w:eastAsia="Calibri"/>
          <w:sz w:val="24"/>
          <w:szCs w:val="24"/>
          <w:lang w:val="lt-LT" w:eastAsia="en-US" w:bidi="ar-SA"/>
        </w:rPr>
      </w:pPr>
      <w:r w:rsidRPr="00275A07">
        <w:rPr>
          <w:rFonts w:eastAsia="Calibri"/>
          <w:sz w:val="24"/>
          <w:szCs w:val="24"/>
          <w:lang w:val="lt-LT" w:eastAsia="en-US" w:bidi="ar-SA"/>
        </w:rPr>
        <w:tab/>
        <w:t xml:space="preserve">31.2. gerai – darbuotojas iš esmės įvykdė </w:t>
      </w:r>
      <w:r w:rsidR="009908E2" w:rsidRPr="00275A07">
        <w:rPr>
          <w:rFonts w:eastAsia="Calibri"/>
          <w:sz w:val="24"/>
          <w:szCs w:val="24"/>
          <w:lang w:val="lt-LT" w:eastAsia="en-US" w:bidi="ar-SA"/>
        </w:rPr>
        <w:t xml:space="preserve">nustatytas metines </w:t>
      </w:r>
      <w:r w:rsidRPr="00275A07">
        <w:rPr>
          <w:rFonts w:eastAsia="Calibri"/>
          <w:sz w:val="24"/>
          <w:szCs w:val="24"/>
          <w:lang w:val="lt-LT" w:eastAsia="en-US" w:bidi="ar-SA"/>
        </w:rPr>
        <w:t>užduotis pagal sutartus vertinimo rodiklius</w:t>
      </w:r>
      <w:r w:rsidR="009908E2" w:rsidRPr="00275A07">
        <w:rPr>
          <w:rFonts w:eastAsia="Calibri"/>
          <w:sz w:val="24"/>
          <w:szCs w:val="24"/>
          <w:lang w:val="lt-LT" w:eastAsia="en-US" w:bidi="ar-SA"/>
        </w:rPr>
        <w:t>, pareigybės aprašyme nustatytas funkcijas vykdo gerai, turi žinių, gebėjimų ir įgūdžių, reikalingų vykdyti numatytas užduotis</w:t>
      </w:r>
      <w:r w:rsidRPr="00275A07">
        <w:rPr>
          <w:rFonts w:eastAsia="Calibri"/>
          <w:sz w:val="24"/>
          <w:szCs w:val="24"/>
          <w:lang w:val="lt-LT" w:eastAsia="en-US" w:bidi="ar-SA"/>
        </w:rPr>
        <w:t>;</w:t>
      </w:r>
    </w:p>
    <w:p w:rsidR="0080080C" w:rsidRPr="00275A07" w:rsidRDefault="0080080C" w:rsidP="0080080C">
      <w:pPr>
        <w:suppressAutoHyphens w:val="0"/>
        <w:jc w:val="both"/>
        <w:rPr>
          <w:rFonts w:eastAsia="Calibri"/>
          <w:sz w:val="24"/>
          <w:szCs w:val="24"/>
          <w:lang w:val="lt-LT" w:eastAsia="en-US" w:bidi="ar-SA"/>
        </w:rPr>
      </w:pPr>
      <w:r w:rsidRPr="00275A07">
        <w:rPr>
          <w:rFonts w:eastAsia="Calibri"/>
          <w:sz w:val="24"/>
          <w:szCs w:val="24"/>
          <w:lang w:val="lt-LT" w:eastAsia="en-US" w:bidi="ar-SA"/>
        </w:rPr>
        <w:tab/>
        <w:t>31.3. patenkinamai – darbuotojas įvykdė tik kai kurias užduotis pagal sutartus rodiklius</w:t>
      </w:r>
      <w:r w:rsidR="009908E2" w:rsidRPr="00275A07">
        <w:rPr>
          <w:rFonts w:eastAsia="Calibri"/>
          <w:sz w:val="24"/>
          <w:szCs w:val="24"/>
          <w:lang w:val="lt-LT" w:eastAsia="en-US" w:bidi="ar-SA"/>
        </w:rPr>
        <w:t>, atlikdamas pareigybės aprašyme nustatytas funkcijas ne visada laikosi nustatytos tvarkos ir terminų</w:t>
      </w:r>
      <w:r w:rsidRPr="00275A07">
        <w:rPr>
          <w:rFonts w:eastAsia="Calibri"/>
          <w:sz w:val="24"/>
          <w:szCs w:val="24"/>
          <w:lang w:val="lt-LT" w:eastAsia="en-US" w:bidi="ar-SA"/>
        </w:rPr>
        <w:t>;</w:t>
      </w:r>
    </w:p>
    <w:p w:rsidR="0080080C" w:rsidRPr="00015D30" w:rsidRDefault="0080080C" w:rsidP="0080080C">
      <w:pPr>
        <w:suppressAutoHyphens w:val="0"/>
        <w:jc w:val="both"/>
        <w:rPr>
          <w:rFonts w:eastAsia="Calibri"/>
          <w:sz w:val="24"/>
          <w:szCs w:val="24"/>
          <w:lang w:val="lt-LT" w:eastAsia="en-US" w:bidi="ar-SA"/>
        </w:rPr>
      </w:pPr>
      <w:r w:rsidRPr="00015D30">
        <w:rPr>
          <w:rFonts w:eastAsia="Calibri"/>
          <w:sz w:val="24"/>
          <w:szCs w:val="24"/>
          <w:lang w:val="lt-LT" w:eastAsia="en-US" w:bidi="ar-SA"/>
        </w:rPr>
        <w:tab/>
        <w:t>31.4. nepatenkinamai – darbuotojas neįvykdė užduočių pagal sutartus vertinimo rodiklius.</w:t>
      </w:r>
      <w:r w:rsidR="00015D30" w:rsidRPr="00015D30">
        <w:rPr>
          <w:rFonts w:eastAsia="Calibri"/>
          <w:sz w:val="24"/>
          <w:szCs w:val="24"/>
          <w:lang w:val="lt-LT" w:eastAsia="en-US" w:bidi="ar-SA"/>
        </w:rPr>
        <w:t>“;</w:t>
      </w:r>
    </w:p>
    <w:p w:rsidR="00803612" w:rsidRDefault="0080080C" w:rsidP="0080080C">
      <w:pPr>
        <w:suppressAutoHyphens w:val="0"/>
        <w:jc w:val="both"/>
        <w:rPr>
          <w:rFonts w:eastAsia="Calibri"/>
          <w:bCs/>
          <w:sz w:val="24"/>
          <w:lang w:val="lt-LT" w:eastAsia="en-US" w:bidi="ar-SA"/>
        </w:rPr>
      </w:pPr>
      <w:r w:rsidRPr="0080080C">
        <w:rPr>
          <w:rFonts w:eastAsia="Calibri"/>
          <w:bCs/>
          <w:sz w:val="24"/>
          <w:lang w:val="lt-LT" w:eastAsia="en-US" w:bidi="ar-SA"/>
        </w:rPr>
        <w:tab/>
      </w:r>
      <w:r w:rsidR="00275A07">
        <w:rPr>
          <w:rFonts w:eastAsia="Calibri"/>
          <w:bCs/>
          <w:sz w:val="24"/>
          <w:lang w:val="lt-LT" w:eastAsia="en-US" w:bidi="ar-SA"/>
        </w:rPr>
        <w:t>1.4</w:t>
      </w:r>
      <w:r w:rsidR="00803612">
        <w:rPr>
          <w:rFonts w:eastAsia="Calibri"/>
          <w:bCs/>
          <w:sz w:val="24"/>
          <w:lang w:val="lt-LT" w:eastAsia="en-US" w:bidi="ar-SA"/>
        </w:rPr>
        <w:t>. pakeičiu 32 punktą ir jį išdėstau taip:</w:t>
      </w:r>
    </w:p>
    <w:p w:rsidR="0080080C" w:rsidRPr="0080080C" w:rsidRDefault="00803612" w:rsidP="0080080C">
      <w:pPr>
        <w:suppressAutoHyphens w:val="0"/>
        <w:jc w:val="both"/>
        <w:rPr>
          <w:rFonts w:eastAsia="Calibri"/>
          <w:b/>
          <w:sz w:val="24"/>
          <w:szCs w:val="24"/>
          <w:lang w:val="lt-LT" w:eastAsia="en-US" w:bidi="ar-SA"/>
        </w:rPr>
      </w:pPr>
      <w:r>
        <w:rPr>
          <w:rFonts w:eastAsia="Calibri"/>
          <w:bCs/>
          <w:sz w:val="24"/>
          <w:lang w:val="lt-LT" w:eastAsia="en-US" w:bidi="ar-SA"/>
        </w:rPr>
        <w:tab/>
        <w:t>„</w:t>
      </w:r>
      <w:r w:rsidR="0080080C" w:rsidRPr="0080080C">
        <w:rPr>
          <w:rFonts w:eastAsia="Calibri"/>
          <w:bCs/>
          <w:sz w:val="24"/>
          <w:lang w:val="lt-LT" w:eastAsia="en-US" w:bidi="ar-SA"/>
        </w:rPr>
        <w:t xml:space="preserve">32. </w:t>
      </w:r>
      <w:r w:rsidR="0080080C" w:rsidRPr="0080080C">
        <w:rPr>
          <w:rFonts w:eastAsia="Calibri"/>
          <w:sz w:val="24"/>
          <w:szCs w:val="24"/>
          <w:lang w:val="lt-LT" w:eastAsia="en-US" w:bidi="ar-SA"/>
        </w:rPr>
        <w:t xml:space="preserve">Darbuotojo tiesioginis vadovas, įvertinęs </w:t>
      </w:r>
      <w:r w:rsidR="0080080C" w:rsidRPr="0080080C">
        <w:rPr>
          <w:rFonts w:eastAsia="Calibri"/>
          <w:bCs/>
          <w:sz w:val="24"/>
          <w:szCs w:val="24"/>
          <w:lang w:val="lt-LT" w:eastAsia="en-US" w:bidi="ar-SA"/>
        </w:rPr>
        <w:t>biudžetinės</w:t>
      </w:r>
      <w:r w:rsidR="0080080C" w:rsidRPr="0080080C">
        <w:rPr>
          <w:rFonts w:eastAsia="Calibri"/>
          <w:sz w:val="24"/>
          <w:szCs w:val="24"/>
          <w:lang w:val="lt-LT" w:eastAsia="en-US" w:bidi="ar-SA"/>
        </w:rPr>
        <w:t xml:space="preserve"> įstaigos darbuotojo praėjusių kalendorinių metų veiklą:</w:t>
      </w:r>
    </w:p>
    <w:p w:rsidR="0080080C" w:rsidRPr="0080080C" w:rsidRDefault="0080080C" w:rsidP="0080080C">
      <w:pPr>
        <w:suppressAutoHyphens w:val="0"/>
        <w:jc w:val="both"/>
        <w:rPr>
          <w:rFonts w:eastAsia="Calibri"/>
          <w:b/>
          <w:sz w:val="24"/>
          <w:szCs w:val="24"/>
          <w:lang w:val="lt-LT" w:eastAsia="en-US" w:bidi="ar-SA"/>
        </w:rPr>
      </w:pPr>
      <w:r w:rsidRPr="0080080C">
        <w:rPr>
          <w:rFonts w:eastAsia="Calibri"/>
          <w:sz w:val="24"/>
          <w:szCs w:val="24"/>
          <w:lang w:val="lt-LT" w:eastAsia="en-US" w:bidi="ar-SA"/>
        </w:rPr>
        <w:tab/>
        <w:t xml:space="preserve">32.1. labai </w:t>
      </w:r>
      <w:bookmarkStart w:id="0" w:name="_GoBack"/>
      <w:bookmarkEnd w:id="0"/>
      <w:r w:rsidRPr="00DD4E76">
        <w:rPr>
          <w:rFonts w:eastAsia="Calibri"/>
          <w:sz w:val="24"/>
          <w:szCs w:val="24"/>
          <w:lang w:val="lt-LT" w:eastAsia="en-US" w:bidi="ar-SA"/>
        </w:rPr>
        <w:t>gerai, teikia</w:t>
      </w:r>
      <w:r w:rsidRPr="0080080C">
        <w:rPr>
          <w:rFonts w:eastAsia="Calibri"/>
          <w:sz w:val="24"/>
          <w:szCs w:val="24"/>
          <w:lang w:val="lt-LT" w:eastAsia="en-US" w:bidi="ar-SA"/>
        </w:rPr>
        <w:t xml:space="preserve"> vertinimo išvadą Savivaldybės administracijos direktoriui su siūlymu nustatyti iki kito darbuotojo kasmetinio veiklos vertinimo pareiginės algos kintamosios dalies dydį, </w:t>
      </w:r>
      <w:r w:rsidRPr="0080080C">
        <w:rPr>
          <w:rFonts w:eastAsia="Calibri"/>
          <w:sz w:val="24"/>
          <w:szCs w:val="24"/>
          <w:lang w:val="lt-LT" w:eastAsia="en-US" w:bidi="ar-SA"/>
        </w:rPr>
        <w:lastRenderedPageBreak/>
        <w:t xml:space="preserve">ne mažesnį kaip 15 ir ne didesnį kaip 40 procentų pareiginės algos pastoviosios dalies, ir gali teikti išvadą su siūlymu skirti premiją </w:t>
      </w:r>
      <w:r w:rsidRPr="00275A07">
        <w:rPr>
          <w:rFonts w:eastAsia="Calibri"/>
          <w:sz w:val="24"/>
          <w:szCs w:val="24"/>
          <w:lang w:val="lt-LT" w:eastAsia="en-US" w:bidi="ar-SA"/>
        </w:rPr>
        <w:t xml:space="preserve">šios Sistemos </w:t>
      </w:r>
      <w:r w:rsidR="006C59AF" w:rsidRPr="00275A07">
        <w:rPr>
          <w:rFonts w:eastAsia="Calibri"/>
          <w:sz w:val="24"/>
          <w:szCs w:val="24"/>
          <w:lang w:val="lt-LT" w:eastAsia="en-US" w:bidi="ar-SA"/>
        </w:rPr>
        <w:t xml:space="preserve">9, </w:t>
      </w:r>
      <w:r w:rsidRPr="00275A07">
        <w:rPr>
          <w:rFonts w:eastAsia="Calibri"/>
          <w:sz w:val="24"/>
          <w:szCs w:val="24"/>
          <w:lang w:val="lt-LT" w:eastAsia="en-US" w:bidi="ar-SA"/>
        </w:rPr>
        <w:t>11 ir 31 punktuose nustatyta tvarka;</w:t>
      </w:r>
      <w:r w:rsidRPr="0080080C">
        <w:rPr>
          <w:rFonts w:eastAsia="Calibri"/>
          <w:sz w:val="24"/>
          <w:szCs w:val="24"/>
          <w:lang w:val="lt-LT" w:eastAsia="en-US" w:bidi="ar-SA"/>
        </w:rPr>
        <w:t xml:space="preserve"> </w:t>
      </w:r>
    </w:p>
    <w:p w:rsidR="0080080C" w:rsidRPr="00390D30" w:rsidRDefault="0080080C" w:rsidP="0080080C">
      <w:pPr>
        <w:suppressAutoHyphens w:val="0"/>
        <w:jc w:val="both"/>
        <w:rPr>
          <w:rFonts w:eastAsia="Calibri"/>
          <w:b/>
          <w:sz w:val="24"/>
          <w:szCs w:val="24"/>
          <w:lang w:val="lt-LT" w:eastAsia="en-US" w:bidi="ar-SA"/>
        </w:rPr>
      </w:pPr>
      <w:r w:rsidRPr="0080080C">
        <w:rPr>
          <w:rFonts w:eastAsia="Calibri"/>
          <w:sz w:val="24"/>
          <w:szCs w:val="24"/>
          <w:lang w:val="lt-LT" w:eastAsia="en-US" w:bidi="ar-SA"/>
        </w:rPr>
        <w:tab/>
        <w:t xml:space="preserve">32.2. </w:t>
      </w:r>
      <w:r w:rsidRPr="00390D30">
        <w:rPr>
          <w:rFonts w:eastAsia="Calibri"/>
          <w:sz w:val="24"/>
          <w:szCs w:val="24"/>
          <w:lang w:val="lt-LT" w:eastAsia="en-US" w:bidi="ar-SA"/>
        </w:rPr>
        <w:t xml:space="preserve">gerai, teikia vertinimo išvadą Savivaldybės administracijos direktoriui su siūlymu nustatyti iki kito darbuotojo kasmetinio veiklos vertinimo pareiginės algos kintamosios dalies dydį, ne mažesnį kaip 5 procentai ir ne didesnį kaip </w:t>
      </w:r>
      <w:r w:rsidR="00803612" w:rsidRPr="00390D30">
        <w:rPr>
          <w:rFonts w:eastAsia="Calibri"/>
          <w:sz w:val="24"/>
          <w:szCs w:val="24"/>
          <w:lang w:val="lt-LT" w:eastAsia="en-US" w:bidi="ar-SA"/>
        </w:rPr>
        <w:t>14</w:t>
      </w:r>
      <w:r w:rsidRPr="00390D30">
        <w:rPr>
          <w:rFonts w:eastAsia="Calibri"/>
          <w:sz w:val="24"/>
          <w:szCs w:val="24"/>
          <w:lang w:val="lt-LT" w:eastAsia="en-US" w:bidi="ar-SA"/>
        </w:rPr>
        <w:t xml:space="preserve"> procentų pareiginės algos pastoviosios dalies dydžio šios Sistemos </w:t>
      </w:r>
      <w:r w:rsidR="006C59AF" w:rsidRPr="00390D30">
        <w:rPr>
          <w:rFonts w:eastAsia="Calibri"/>
          <w:sz w:val="24"/>
          <w:szCs w:val="24"/>
          <w:lang w:val="lt-LT" w:eastAsia="en-US" w:bidi="ar-SA"/>
        </w:rPr>
        <w:t xml:space="preserve">9 ir </w:t>
      </w:r>
      <w:r w:rsidRPr="00390D30">
        <w:rPr>
          <w:rFonts w:eastAsia="Calibri"/>
          <w:sz w:val="24"/>
          <w:szCs w:val="24"/>
          <w:lang w:val="lt-LT" w:eastAsia="en-US" w:bidi="ar-SA"/>
        </w:rPr>
        <w:t xml:space="preserve">31 punkte nustatyta tvarka; </w:t>
      </w:r>
    </w:p>
    <w:p w:rsidR="0080080C" w:rsidRPr="00390D30" w:rsidRDefault="0080080C" w:rsidP="0080080C">
      <w:pPr>
        <w:suppressAutoHyphens w:val="0"/>
        <w:jc w:val="both"/>
        <w:rPr>
          <w:rFonts w:eastAsia="Calibri"/>
          <w:b/>
          <w:sz w:val="24"/>
          <w:szCs w:val="24"/>
          <w:lang w:val="lt-LT" w:eastAsia="en-US" w:bidi="ar-SA"/>
        </w:rPr>
      </w:pPr>
      <w:r w:rsidRPr="00390D30">
        <w:rPr>
          <w:rFonts w:eastAsia="Calibri"/>
          <w:sz w:val="24"/>
          <w:szCs w:val="24"/>
          <w:lang w:val="lt-LT" w:eastAsia="en-US" w:bidi="ar-SA"/>
        </w:rPr>
        <w:tab/>
        <w:t>32.3. patenkinamai, teikia vertinimo išvadą Savivaldybės administracijos direktoriui su siūlymu nenustatyti pareiginės algos kintamosios dalies;</w:t>
      </w:r>
    </w:p>
    <w:p w:rsidR="006309BD" w:rsidRPr="00275A07" w:rsidRDefault="0080080C" w:rsidP="00275A07">
      <w:pPr>
        <w:suppressAutoHyphens w:val="0"/>
        <w:jc w:val="both"/>
        <w:rPr>
          <w:rFonts w:eastAsia="Calibri"/>
          <w:sz w:val="24"/>
          <w:szCs w:val="24"/>
          <w:lang w:val="lt-LT" w:eastAsia="en-US" w:bidi="ar-SA"/>
        </w:rPr>
      </w:pPr>
      <w:r w:rsidRPr="00390D30">
        <w:rPr>
          <w:rFonts w:eastAsia="Calibri"/>
          <w:sz w:val="24"/>
          <w:szCs w:val="24"/>
          <w:lang w:val="lt-LT" w:eastAsia="en-US" w:bidi="ar-SA"/>
        </w:rPr>
        <w:tab/>
        <w:t>32.4. nepatenkinamai, teikia</w:t>
      </w:r>
      <w:r w:rsidRPr="0080080C">
        <w:rPr>
          <w:rFonts w:eastAsia="Calibri"/>
          <w:sz w:val="24"/>
          <w:szCs w:val="24"/>
          <w:lang w:val="lt-LT" w:eastAsia="en-US" w:bidi="ar-SA"/>
        </w:rPr>
        <w:t xml:space="preserve"> vertinimo išvadą Savivaldybės administracijos direktoriui su siūlymu iki kito kasmetinio veiklos vertinimo nustatyti mažesnį pareiginės algos pastoviosios dalies koeficientą, tačiau ne mažesnį, negu tai pareigybei pagal profesinę darbo patirtį numatytą minimalų pareiginės algos pastoviosios dalies koeficientą, ir gali sudaryti su darbuotoju rezultatų gerinimo planą (pagal Lietuvos Respublikos darbo kodekso 57 straipsnio 5 dalį), kurio vykdymas įvertinamas ne anksčiau kaip po 2 mėnesių. Rezultatų gerinimo planą įvertinus nepatenkinamai, su darbuotoju gali būti nutraukiama darbo sutartis pagal Lietuvos Respublikos darbo kodekso 57 straipsnio 1 dalies 2 punktą.</w:t>
      </w:r>
      <w:r w:rsidR="00015D30">
        <w:rPr>
          <w:rFonts w:eastAsia="Calibri"/>
          <w:sz w:val="24"/>
          <w:szCs w:val="24"/>
          <w:lang w:val="lt-LT" w:eastAsia="en-US" w:bidi="ar-SA"/>
        </w:rPr>
        <w:t>“;</w:t>
      </w:r>
    </w:p>
    <w:p w:rsidR="009C61CF" w:rsidRPr="00003559" w:rsidRDefault="009C61CF" w:rsidP="0025414D">
      <w:pPr>
        <w:jc w:val="both"/>
        <w:rPr>
          <w:sz w:val="24"/>
          <w:lang w:val="lt-LT"/>
        </w:rPr>
      </w:pPr>
      <w:r w:rsidRPr="00003559">
        <w:rPr>
          <w:sz w:val="24"/>
          <w:lang w:val="lt-LT"/>
        </w:rPr>
        <w:tab/>
      </w:r>
      <w:r w:rsidR="00275A07">
        <w:rPr>
          <w:sz w:val="24"/>
          <w:lang w:val="lt-LT"/>
        </w:rPr>
        <w:t>1.5</w:t>
      </w:r>
      <w:r w:rsidRPr="00003559">
        <w:rPr>
          <w:sz w:val="24"/>
          <w:lang w:val="lt-LT"/>
        </w:rPr>
        <w:t xml:space="preserve">. pakeičiu </w:t>
      </w:r>
      <w:r w:rsidR="00E9668B" w:rsidRPr="00003559">
        <w:rPr>
          <w:sz w:val="24"/>
          <w:lang w:val="lt-LT"/>
        </w:rPr>
        <w:t>darbo apmokėjimo sistemos 1 priedą ir jį išdėstau taip:</w:t>
      </w:r>
    </w:p>
    <w:p w:rsidR="00E9668B" w:rsidRPr="00003559" w:rsidRDefault="00E9668B" w:rsidP="0025414D">
      <w:pPr>
        <w:jc w:val="both"/>
        <w:rPr>
          <w:sz w:val="24"/>
          <w:lang w:val="lt-LT"/>
        </w:rPr>
      </w:pPr>
    </w:p>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 xml:space="preserve">                                                                      „Savivaldybės administracijos darbuotojų, </w:t>
      </w:r>
    </w:p>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 xml:space="preserve">                                                    dirbančių pagal darbo sutartis, </w:t>
      </w:r>
    </w:p>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 xml:space="preserve">                                                darbo apmokėjimo sistemos </w:t>
      </w:r>
    </w:p>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 xml:space="preserve">                 1 priedas</w:t>
      </w:r>
    </w:p>
    <w:p w:rsidR="00E9668B" w:rsidRPr="00003559" w:rsidRDefault="00E9668B" w:rsidP="00E9668B">
      <w:pPr>
        <w:suppressAutoHyphens w:val="0"/>
        <w:jc w:val="center"/>
        <w:rPr>
          <w:rFonts w:eastAsia="Calibri"/>
          <w:b/>
          <w:sz w:val="24"/>
          <w:lang w:val="lt-LT" w:eastAsia="en-US" w:bidi="ar-SA"/>
        </w:rPr>
      </w:pPr>
    </w:p>
    <w:p w:rsidR="00E9668B" w:rsidRPr="00003559" w:rsidRDefault="00E9668B" w:rsidP="00E9668B">
      <w:pPr>
        <w:suppressAutoHyphens w:val="0"/>
        <w:jc w:val="center"/>
        <w:rPr>
          <w:rFonts w:eastAsia="Calibri"/>
          <w:sz w:val="24"/>
          <w:lang w:val="lt-LT" w:eastAsia="en-US" w:bidi="ar-SA"/>
        </w:rPr>
      </w:pPr>
      <w:r w:rsidRPr="00003559">
        <w:rPr>
          <w:rFonts w:eastAsia="Calibri"/>
          <w:b/>
          <w:sz w:val="24"/>
          <w:lang w:val="lt-LT" w:eastAsia="en-US" w:bidi="ar-SA"/>
        </w:rPr>
        <w:t>A IR B LYGIO SPECIALISTŲ IR DARBUOTOJŲ, SU KURIAIS SUDARYTOS SUTARTYS DĖL MENTORYSTĖS, PAREIGINĖS ALGOS PASTOVIOSIOS DALIES KOEFICIENTAI</w:t>
      </w:r>
    </w:p>
    <w:p w:rsidR="00E9668B" w:rsidRPr="00003559" w:rsidRDefault="00E9668B" w:rsidP="00E9668B">
      <w:pPr>
        <w:suppressAutoHyphens w:val="0"/>
        <w:jc w:val="both"/>
        <w:rPr>
          <w:rFonts w:eastAsia="Calibri"/>
          <w:b/>
          <w:sz w:val="24"/>
          <w:lang w:val="lt-LT"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10"/>
        <w:gridCol w:w="1920"/>
        <w:gridCol w:w="1920"/>
        <w:gridCol w:w="1920"/>
      </w:tblGrid>
      <w:tr w:rsidR="00E9668B" w:rsidRPr="00003559" w:rsidTr="00A91875">
        <w:tc>
          <w:tcPr>
            <w:tcW w:w="1958" w:type="dxa"/>
            <w:vMerge w:val="restart"/>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Pareigybės lygis ir pavadinimas</w:t>
            </w:r>
          </w:p>
        </w:tc>
        <w:tc>
          <w:tcPr>
            <w:tcW w:w="7670" w:type="dxa"/>
            <w:gridSpan w:val="4"/>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Pastoviosios dalies koeficientai (pareiginės algos baziniais dydžiais)</w:t>
            </w:r>
          </w:p>
        </w:tc>
      </w:tr>
      <w:tr w:rsidR="00E9668B" w:rsidRPr="00003559" w:rsidTr="00A91875">
        <w:tc>
          <w:tcPr>
            <w:tcW w:w="1958" w:type="dxa"/>
            <w:vMerge/>
            <w:shd w:val="clear" w:color="auto" w:fill="auto"/>
            <w:vAlign w:val="center"/>
          </w:tcPr>
          <w:p w:rsidR="00E9668B" w:rsidRPr="00003559" w:rsidRDefault="00E9668B" w:rsidP="00E9668B">
            <w:pPr>
              <w:suppressAutoHyphens w:val="0"/>
              <w:jc w:val="both"/>
              <w:rPr>
                <w:rFonts w:eastAsia="Calibri"/>
                <w:sz w:val="24"/>
                <w:lang w:val="lt-LT" w:eastAsia="en-US" w:bidi="ar-SA"/>
              </w:rPr>
            </w:pPr>
          </w:p>
        </w:tc>
        <w:tc>
          <w:tcPr>
            <w:tcW w:w="7670" w:type="dxa"/>
            <w:gridSpan w:val="4"/>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profesinio darbo patirtis (metais)</w:t>
            </w:r>
          </w:p>
        </w:tc>
      </w:tr>
      <w:tr w:rsidR="00E9668B" w:rsidRPr="00003559" w:rsidTr="00A91875">
        <w:tc>
          <w:tcPr>
            <w:tcW w:w="1958" w:type="dxa"/>
            <w:vMerge/>
            <w:shd w:val="clear" w:color="auto" w:fill="auto"/>
            <w:vAlign w:val="center"/>
          </w:tcPr>
          <w:p w:rsidR="00E9668B" w:rsidRPr="00003559" w:rsidRDefault="00E9668B" w:rsidP="00E9668B">
            <w:pPr>
              <w:suppressAutoHyphens w:val="0"/>
              <w:jc w:val="both"/>
              <w:rPr>
                <w:rFonts w:eastAsia="Calibri"/>
                <w:sz w:val="24"/>
                <w:lang w:val="lt-LT" w:eastAsia="en-US" w:bidi="ar-SA"/>
              </w:rPr>
            </w:pPr>
          </w:p>
        </w:tc>
        <w:tc>
          <w:tcPr>
            <w:tcW w:w="1910" w:type="dxa"/>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iki 2</w:t>
            </w:r>
          </w:p>
        </w:tc>
        <w:tc>
          <w:tcPr>
            <w:tcW w:w="1920" w:type="dxa"/>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nuo daugiau kaip 2 iki 5</w:t>
            </w:r>
          </w:p>
        </w:tc>
        <w:tc>
          <w:tcPr>
            <w:tcW w:w="1920" w:type="dxa"/>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nuo daugiau kaip 5 iki 10</w:t>
            </w:r>
          </w:p>
        </w:tc>
        <w:tc>
          <w:tcPr>
            <w:tcW w:w="1920" w:type="dxa"/>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daugiau kaip 10</w:t>
            </w:r>
          </w:p>
        </w:tc>
      </w:tr>
      <w:tr w:rsidR="00E9668B" w:rsidRPr="00003559" w:rsidTr="00A91875">
        <w:tc>
          <w:tcPr>
            <w:tcW w:w="1958" w:type="dxa"/>
            <w:shd w:val="clear" w:color="auto" w:fill="auto"/>
            <w:vAlign w:val="center"/>
          </w:tcPr>
          <w:p w:rsidR="00E9668B" w:rsidRPr="00003559" w:rsidRDefault="00E9668B" w:rsidP="00E9668B">
            <w:pPr>
              <w:suppressAutoHyphens w:val="0"/>
              <w:jc w:val="center"/>
              <w:rPr>
                <w:rFonts w:eastAsia="Calibri"/>
                <w:b/>
                <w:sz w:val="24"/>
                <w:lang w:val="lt-LT" w:eastAsia="en-US" w:bidi="ar-SA"/>
              </w:rPr>
            </w:pPr>
            <w:r w:rsidRPr="00003559">
              <w:rPr>
                <w:rFonts w:eastAsia="Calibri"/>
                <w:b/>
                <w:sz w:val="24"/>
                <w:lang w:val="lt-LT" w:eastAsia="en-US" w:bidi="ar-SA"/>
              </w:rPr>
              <w:t>A2 lygis</w:t>
            </w:r>
          </w:p>
          <w:p w:rsidR="00E9668B" w:rsidRPr="00003559" w:rsidRDefault="00E9668B" w:rsidP="00E9668B">
            <w:pPr>
              <w:suppressAutoHyphens w:val="0"/>
              <w:jc w:val="center"/>
              <w:rPr>
                <w:rFonts w:eastAsia="Calibri"/>
                <w:sz w:val="24"/>
                <w:lang w:val="lt-LT" w:eastAsia="en-US" w:bidi="ar-SA"/>
              </w:rPr>
            </w:pPr>
          </w:p>
        </w:tc>
        <w:tc>
          <w:tcPr>
            <w:tcW w:w="1910" w:type="dxa"/>
            <w:shd w:val="clear" w:color="auto" w:fill="auto"/>
            <w:vAlign w:val="center"/>
          </w:tcPr>
          <w:p w:rsidR="00E9668B" w:rsidRPr="00003559" w:rsidRDefault="00015D30" w:rsidP="00E9668B">
            <w:pPr>
              <w:suppressAutoHyphens w:val="0"/>
              <w:jc w:val="center"/>
              <w:rPr>
                <w:rFonts w:eastAsia="Calibri"/>
                <w:b/>
                <w:sz w:val="24"/>
                <w:lang w:val="lt-LT" w:eastAsia="en-US" w:bidi="ar-SA"/>
              </w:rPr>
            </w:pPr>
            <w:r>
              <w:rPr>
                <w:rFonts w:eastAsia="Calibri"/>
                <w:b/>
                <w:sz w:val="24"/>
                <w:lang w:val="lt-LT" w:eastAsia="en-US" w:bidi="ar-SA"/>
              </w:rPr>
              <w:t>6-10,0</w:t>
            </w:r>
          </w:p>
        </w:tc>
        <w:tc>
          <w:tcPr>
            <w:tcW w:w="1920" w:type="dxa"/>
            <w:shd w:val="clear" w:color="auto" w:fill="auto"/>
            <w:vAlign w:val="center"/>
          </w:tcPr>
          <w:p w:rsidR="00E9668B" w:rsidRPr="00003559" w:rsidRDefault="00015D30" w:rsidP="00E9668B">
            <w:pPr>
              <w:suppressAutoHyphens w:val="0"/>
              <w:jc w:val="center"/>
              <w:rPr>
                <w:rFonts w:eastAsia="Calibri"/>
                <w:b/>
                <w:sz w:val="24"/>
                <w:lang w:val="lt-LT" w:eastAsia="en-US" w:bidi="ar-SA"/>
              </w:rPr>
            </w:pPr>
            <w:r>
              <w:rPr>
                <w:rFonts w:eastAsia="Calibri"/>
                <w:b/>
                <w:sz w:val="24"/>
                <w:lang w:val="lt-LT" w:eastAsia="en-US" w:bidi="ar-SA"/>
              </w:rPr>
              <w:t>6,1–11,0</w:t>
            </w:r>
          </w:p>
        </w:tc>
        <w:tc>
          <w:tcPr>
            <w:tcW w:w="1920" w:type="dxa"/>
            <w:shd w:val="clear" w:color="auto" w:fill="auto"/>
            <w:vAlign w:val="center"/>
          </w:tcPr>
          <w:p w:rsidR="00E9668B" w:rsidRPr="00003559" w:rsidRDefault="00015D30" w:rsidP="00E9668B">
            <w:pPr>
              <w:suppressAutoHyphens w:val="0"/>
              <w:jc w:val="center"/>
              <w:rPr>
                <w:rFonts w:eastAsia="Calibri"/>
                <w:b/>
                <w:sz w:val="24"/>
                <w:lang w:val="lt-LT" w:eastAsia="en-US" w:bidi="ar-SA"/>
              </w:rPr>
            </w:pPr>
            <w:r>
              <w:rPr>
                <w:rFonts w:eastAsia="Calibri"/>
                <w:b/>
                <w:sz w:val="24"/>
                <w:lang w:val="lt-LT" w:eastAsia="en-US" w:bidi="ar-SA"/>
              </w:rPr>
              <w:t>6,2–12,0</w:t>
            </w:r>
          </w:p>
        </w:tc>
        <w:tc>
          <w:tcPr>
            <w:tcW w:w="1920" w:type="dxa"/>
            <w:shd w:val="clear" w:color="auto" w:fill="auto"/>
            <w:vAlign w:val="center"/>
          </w:tcPr>
          <w:p w:rsidR="00E9668B" w:rsidRPr="00003559" w:rsidRDefault="0069016B" w:rsidP="00E9668B">
            <w:pPr>
              <w:suppressAutoHyphens w:val="0"/>
              <w:jc w:val="center"/>
              <w:rPr>
                <w:rFonts w:eastAsia="Calibri"/>
                <w:b/>
                <w:sz w:val="24"/>
                <w:lang w:val="lt-LT" w:eastAsia="en-US" w:bidi="ar-SA"/>
              </w:rPr>
            </w:pPr>
            <w:r>
              <w:rPr>
                <w:rFonts w:eastAsia="Calibri"/>
                <w:b/>
                <w:sz w:val="24"/>
                <w:lang w:val="lt-LT" w:eastAsia="en-US" w:bidi="ar-SA"/>
              </w:rPr>
              <w:t>6,3–13,0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 xml:space="preserve">Vyriausiasis buhalteris </w:t>
            </w:r>
          </w:p>
        </w:tc>
        <w:tc>
          <w:tcPr>
            <w:tcW w:w="1910" w:type="dxa"/>
            <w:shd w:val="clear" w:color="auto" w:fill="auto"/>
            <w:vAlign w:val="center"/>
          </w:tcPr>
          <w:p w:rsidR="00E9668B" w:rsidRPr="00003559" w:rsidRDefault="0069016B"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69016B" w:rsidP="0069016B">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2B2D49" w:rsidP="003A14A2">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2B2D49" w:rsidP="003A14A2">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Vyresnysis buhalteris</w:t>
            </w:r>
          </w:p>
        </w:tc>
        <w:tc>
          <w:tcPr>
            <w:tcW w:w="191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E740A8"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Seniūnijos vyresnysis buhalteris</w:t>
            </w:r>
          </w:p>
        </w:tc>
        <w:tc>
          <w:tcPr>
            <w:tcW w:w="191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E740A8" w:rsidP="003A14A2">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Informacinių technologijų specialistas</w:t>
            </w:r>
          </w:p>
        </w:tc>
        <w:tc>
          <w:tcPr>
            <w:tcW w:w="191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E740A8" w:rsidP="003A14A2">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Vyriausiasis specialistas programuotojas</w:t>
            </w:r>
          </w:p>
        </w:tc>
        <w:tc>
          <w:tcPr>
            <w:tcW w:w="1910" w:type="dxa"/>
            <w:shd w:val="clear" w:color="auto" w:fill="auto"/>
            <w:vAlign w:val="center"/>
          </w:tcPr>
          <w:p w:rsidR="00E9668B" w:rsidRPr="00003559" w:rsidRDefault="00E740A8" w:rsidP="00DC627A">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E740A8" w:rsidP="003A14A2">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 xml:space="preserve">Elektroninių paslaugų administravimo </w:t>
            </w:r>
            <w:r w:rsidRPr="00003559">
              <w:rPr>
                <w:rFonts w:eastAsia="Calibri"/>
                <w:sz w:val="24"/>
                <w:lang w:val="lt-LT" w:eastAsia="en-US" w:bidi="ar-SA"/>
              </w:rPr>
              <w:lastRenderedPageBreak/>
              <w:t>vyriausiasis specialistas</w:t>
            </w:r>
          </w:p>
        </w:tc>
        <w:tc>
          <w:tcPr>
            <w:tcW w:w="191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lastRenderedPageBreak/>
              <w:t>7,0–10,0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E740A8"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E740A8"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370617">
        <w:trPr>
          <w:trHeight w:val="965"/>
        </w:trPr>
        <w:tc>
          <w:tcPr>
            <w:tcW w:w="1958"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Vyriausiasis ryšių su visuomene specialistas</w:t>
            </w:r>
          </w:p>
        </w:tc>
        <w:tc>
          <w:tcPr>
            <w:tcW w:w="191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040CB5"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Archyvaras</w:t>
            </w:r>
          </w:p>
        </w:tc>
        <w:tc>
          <w:tcPr>
            <w:tcW w:w="191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040CB5"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 xml:space="preserve">Vyriausiasis specialistas </w:t>
            </w:r>
          </w:p>
        </w:tc>
        <w:tc>
          <w:tcPr>
            <w:tcW w:w="191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040CB5"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040CB5"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Vyresnysis specialistas</w:t>
            </w:r>
          </w:p>
        </w:tc>
        <w:tc>
          <w:tcPr>
            <w:tcW w:w="1910" w:type="dxa"/>
            <w:shd w:val="clear" w:color="auto" w:fill="auto"/>
            <w:vAlign w:val="center"/>
          </w:tcPr>
          <w:p w:rsidR="00E9668B" w:rsidRPr="00003559" w:rsidRDefault="00556235"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556235"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556235"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556235"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Energetinio</w:t>
            </w:r>
            <w:r w:rsidR="00E679D3" w:rsidRPr="00003559">
              <w:rPr>
                <w:rFonts w:eastAsia="Calibri"/>
                <w:sz w:val="24"/>
                <w:lang w:val="lt-LT" w:eastAsia="en-US" w:bidi="ar-SA"/>
              </w:rPr>
              <w:t xml:space="preserve"> (elektros)</w:t>
            </w:r>
            <w:r w:rsidRPr="00003559">
              <w:rPr>
                <w:rFonts w:eastAsia="Calibri"/>
                <w:sz w:val="24"/>
                <w:lang w:val="lt-LT" w:eastAsia="en-US" w:bidi="ar-SA"/>
              </w:rPr>
              <w:t xml:space="preserve"> ūkio inžinierius</w:t>
            </w:r>
          </w:p>
        </w:tc>
        <w:tc>
          <w:tcPr>
            <w:tcW w:w="1910" w:type="dxa"/>
            <w:shd w:val="clear" w:color="auto" w:fill="auto"/>
            <w:vAlign w:val="center"/>
          </w:tcPr>
          <w:p w:rsidR="00E9668B" w:rsidRPr="00003559" w:rsidRDefault="00556235"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556235"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556235"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556235"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Vyriausiasis socialinių išmokų specialistas</w:t>
            </w:r>
          </w:p>
        </w:tc>
        <w:tc>
          <w:tcPr>
            <w:tcW w:w="1910" w:type="dxa"/>
            <w:shd w:val="clear" w:color="auto" w:fill="auto"/>
            <w:vAlign w:val="center"/>
          </w:tcPr>
          <w:p w:rsidR="00E9668B" w:rsidRPr="00003559" w:rsidRDefault="00567719"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567719"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567719"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567719"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Socialinis darbuotojas darbui su neįgaliaisiais</w:t>
            </w:r>
          </w:p>
        </w:tc>
        <w:tc>
          <w:tcPr>
            <w:tcW w:w="1910" w:type="dxa"/>
            <w:shd w:val="clear" w:color="auto" w:fill="auto"/>
            <w:vAlign w:val="center"/>
          </w:tcPr>
          <w:p w:rsidR="00E9668B" w:rsidRPr="00003559" w:rsidRDefault="00567719" w:rsidP="00704388">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567719"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567719"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567719"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556235" w:rsidP="00E9668B">
            <w:pPr>
              <w:suppressAutoHyphens w:val="0"/>
              <w:jc w:val="both"/>
              <w:rPr>
                <w:rFonts w:eastAsia="Calibri"/>
                <w:sz w:val="24"/>
                <w:lang w:val="lt-LT" w:eastAsia="en-US" w:bidi="ar-SA"/>
              </w:rPr>
            </w:pPr>
            <w:r>
              <w:rPr>
                <w:rFonts w:eastAsia="Calibri"/>
                <w:sz w:val="24"/>
                <w:lang w:val="lt-LT" w:eastAsia="en-US" w:bidi="ar-SA"/>
              </w:rPr>
              <w:t>Nedirbančių asmen</w:t>
            </w:r>
            <w:r w:rsidR="00567719">
              <w:rPr>
                <w:rFonts w:eastAsia="Calibri"/>
                <w:sz w:val="24"/>
                <w:lang w:val="lt-LT" w:eastAsia="en-US" w:bidi="ar-SA"/>
              </w:rPr>
              <w:t>ų atvejo vadybininkas</w:t>
            </w:r>
          </w:p>
        </w:tc>
        <w:tc>
          <w:tcPr>
            <w:tcW w:w="1910" w:type="dxa"/>
            <w:shd w:val="clear" w:color="auto" w:fill="auto"/>
            <w:vAlign w:val="center"/>
          </w:tcPr>
          <w:p w:rsidR="00E9668B" w:rsidRPr="00003559" w:rsidRDefault="00567719" w:rsidP="00DC627A">
            <w:pPr>
              <w:suppressAutoHyphens w:val="0"/>
              <w:jc w:val="center"/>
              <w:rPr>
                <w:rFonts w:eastAsia="Calibri"/>
                <w:sz w:val="24"/>
                <w:lang w:val="lt-LT" w:eastAsia="en-US" w:bidi="ar-SA"/>
              </w:rPr>
            </w:pPr>
            <w:r>
              <w:rPr>
                <w:rFonts w:eastAsia="Calibri"/>
                <w:sz w:val="24"/>
                <w:lang w:val="lt-LT" w:eastAsia="en-US" w:bidi="ar-SA"/>
              </w:rPr>
              <w:t>7,0–10,0</w:t>
            </w:r>
          </w:p>
        </w:tc>
        <w:tc>
          <w:tcPr>
            <w:tcW w:w="1920" w:type="dxa"/>
            <w:shd w:val="clear" w:color="auto" w:fill="auto"/>
            <w:vAlign w:val="center"/>
          </w:tcPr>
          <w:p w:rsidR="00E9668B" w:rsidRPr="00003559" w:rsidRDefault="00567719" w:rsidP="00704388">
            <w:pPr>
              <w:suppressAutoHyphens w:val="0"/>
              <w:jc w:val="center"/>
              <w:rPr>
                <w:rFonts w:eastAsia="Calibri"/>
                <w:sz w:val="24"/>
                <w:lang w:val="lt-LT" w:eastAsia="en-US" w:bidi="ar-SA"/>
              </w:rPr>
            </w:pPr>
            <w:r>
              <w:rPr>
                <w:rFonts w:eastAsia="Calibri"/>
                <w:sz w:val="24"/>
                <w:lang w:val="lt-LT" w:eastAsia="en-US" w:bidi="ar-SA"/>
              </w:rPr>
              <w:t>7,5–11,0</w:t>
            </w:r>
          </w:p>
        </w:tc>
        <w:tc>
          <w:tcPr>
            <w:tcW w:w="1920" w:type="dxa"/>
            <w:shd w:val="clear" w:color="auto" w:fill="auto"/>
            <w:vAlign w:val="center"/>
          </w:tcPr>
          <w:p w:rsidR="00E9668B" w:rsidRPr="00003559" w:rsidRDefault="00567719" w:rsidP="00704388">
            <w:pPr>
              <w:suppressAutoHyphens w:val="0"/>
              <w:jc w:val="center"/>
              <w:rPr>
                <w:rFonts w:eastAsia="Calibri"/>
                <w:sz w:val="24"/>
                <w:lang w:val="lt-LT" w:eastAsia="en-US" w:bidi="ar-SA"/>
              </w:rPr>
            </w:pPr>
            <w:r>
              <w:rPr>
                <w:rFonts w:eastAsia="Calibri"/>
                <w:sz w:val="24"/>
                <w:lang w:val="lt-LT" w:eastAsia="en-US" w:bidi="ar-SA"/>
              </w:rPr>
              <w:t>8,0–12,0</w:t>
            </w:r>
          </w:p>
        </w:tc>
        <w:tc>
          <w:tcPr>
            <w:tcW w:w="1920" w:type="dxa"/>
            <w:shd w:val="clear" w:color="auto" w:fill="auto"/>
            <w:vAlign w:val="center"/>
          </w:tcPr>
          <w:p w:rsidR="00E9668B" w:rsidRPr="00003559" w:rsidRDefault="00567719" w:rsidP="00370617">
            <w:pPr>
              <w:suppressAutoHyphens w:val="0"/>
              <w:jc w:val="center"/>
              <w:rPr>
                <w:rFonts w:eastAsia="Calibri"/>
                <w:sz w:val="24"/>
                <w:lang w:val="lt-LT" w:eastAsia="en-US" w:bidi="ar-SA"/>
              </w:rPr>
            </w:pPr>
            <w:r>
              <w:rPr>
                <w:rFonts w:eastAsia="Calibri"/>
                <w:sz w:val="24"/>
                <w:lang w:val="lt-LT" w:eastAsia="en-US" w:bidi="ar-SA"/>
              </w:rPr>
              <w:t>8,5–13,0</w:t>
            </w:r>
          </w:p>
        </w:tc>
      </w:tr>
      <w:tr w:rsidR="00E9668B" w:rsidRPr="00003559" w:rsidTr="00A91875">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Seniūnijos vyriausiasis raštvedys</w:t>
            </w:r>
          </w:p>
        </w:tc>
        <w:tc>
          <w:tcPr>
            <w:tcW w:w="1910" w:type="dxa"/>
            <w:shd w:val="clear" w:color="auto" w:fill="auto"/>
            <w:vAlign w:val="center"/>
          </w:tcPr>
          <w:p w:rsidR="00E9668B" w:rsidRPr="00003559" w:rsidRDefault="00A92D29" w:rsidP="0004348B">
            <w:pPr>
              <w:suppressAutoHyphens w:val="0"/>
              <w:jc w:val="center"/>
              <w:rPr>
                <w:rFonts w:eastAsia="Calibri"/>
                <w:sz w:val="24"/>
                <w:lang w:val="lt-LT" w:eastAsia="en-US" w:bidi="ar-SA"/>
              </w:rPr>
            </w:pPr>
            <w:r>
              <w:rPr>
                <w:rFonts w:eastAsia="Calibri"/>
                <w:sz w:val="24"/>
                <w:lang w:val="lt-LT" w:eastAsia="en-US" w:bidi="ar-SA"/>
              </w:rPr>
              <w:t>6,</w:t>
            </w:r>
            <w:r w:rsidR="0004348B">
              <w:rPr>
                <w:rFonts w:eastAsia="Calibri"/>
                <w:sz w:val="24"/>
                <w:lang w:val="lt-LT" w:eastAsia="en-US" w:bidi="ar-SA"/>
              </w:rPr>
              <w:t>3</w:t>
            </w:r>
            <w:r>
              <w:rPr>
                <w:rFonts w:eastAsia="Calibri"/>
                <w:sz w:val="24"/>
                <w:lang w:val="lt-LT" w:eastAsia="en-US" w:bidi="ar-SA"/>
              </w:rPr>
              <w:t>–10,0</w:t>
            </w:r>
          </w:p>
        </w:tc>
        <w:tc>
          <w:tcPr>
            <w:tcW w:w="1920" w:type="dxa"/>
            <w:shd w:val="clear" w:color="auto" w:fill="auto"/>
            <w:vAlign w:val="center"/>
          </w:tcPr>
          <w:p w:rsidR="00E9668B" w:rsidRPr="00003559" w:rsidRDefault="0004348B" w:rsidP="0004348B">
            <w:pPr>
              <w:suppressAutoHyphens w:val="0"/>
              <w:jc w:val="center"/>
              <w:rPr>
                <w:rFonts w:eastAsia="Calibri"/>
                <w:sz w:val="24"/>
                <w:lang w:val="lt-LT" w:eastAsia="en-US" w:bidi="ar-SA"/>
              </w:rPr>
            </w:pPr>
            <w:r>
              <w:rPr>
                <w:rFonts w:eastAsia="Calibri"/>
                <w:sz w:val="24"/>
                <w:lang w:val="lt-LT" w:eastAsia="en-US" w:bidi="ar-SA"/>
              </w:rPr>
              <w:t>6,6–11,0</w:t>
            </w:r>
          </w:p>
        </w:tc>
        <w:tc>
          <w:tcPr>
            <w:tcW w:w="1920" w:type="dxa"/>
            <w:shd w:val="clear" w:color="auto" w:fill="auto"/>
            <w:vAlign w:val="center"/>
          </w:tcPr>
          <w:p w:rsidR="00E9668B" w:rsidRPr="00003559" w:rsidRDefault="0004348B" w:rsidP="00704388">
            <w:pPr>
              <w:suppressAutoHyphens w:val="0"/>
              <w:jc w:val="center"/>
              <w:rPr>
                <w:rFonts w:eastAsia="Calibri"/>
                <w:sz w:val="24"/>
                <w:lang w:val="lt-LT" w:eastAsia="en-US" w:bidi="ar-SA"/>
              </w:rPr>
            </w:pPr>
            <w:r>
              <w:rPr>
                <w:rFonts w:eastAsia="Calibri"/>
                <w:sz w:val="24"/>
                <w:lang w:val="lt-LT" w:eastAsia="en-US" w:bidi="ar-SA"/>
              </w:rPr>
              <w:t>7,0–12,0</w:t>
            </w:r>
          </w:p>
        </w:tc>
        <w:tc>
          <w:tcPr>
            <w:tcW w:w="1920" w:type="dxa"/>
            <w:shd w:val="clear" w:color="auto" w:fill="auto"/>
            <w:vAlign w:val="center"/>
          </w:tcPr>
          <w:p w:rsidR="00E9668B" w:rsidRPr="00003559" w:rsidRDefault="0004348B" w:rsidP="00370617">
            <w:pPr>
              <w:suppressAutoHyphens w:val="0"/>
              <w:jc w:val="center"/>
              <w:rPr>
                <w:rFonts w:eastAsia="Calibri"/>
                <w:sz w:val="24"/>
                <w:lang w:val="lt-LT" w:eastAsia="en-US" w:bidi="ar-SA"/>
              </w:rPr>
            </w:pPr>
            <w:r>
              <w:rPr>
                <w:rFonts w:eastAsia="Calibri"/>
                <w:sz w:val="24"/>
                <w:lang w:val="lt-LT" w:eastAsia="en-US" w:bidi="ar-SA"/>
              </w:rPr>
              <w:t>7,5–13,0</w:t>
            </w:r>
          </w:p>
        </w:tc>
      </w:tr>
      <w:tr w:rsidR="00E9668B" w:rsidRPr="00003559" w:rsidTr="00A91875">
        <w:tc>
          <w:tcPr>
            <w:tcW w:w="1958" w:type="dxa"/>
            <w:shd w:val="clear" w:color="auto" w:fill="auto"/>
            <w:vAlign w:val="center"/>
          </w:tcPr>
          <w:p w:rsidR="00E9668B" w:rsidRPr="00003559" w:rsidRDefault="00E9668B" w:rsidP="00567719">
            <w:pPr>
              <w:suppressAutoHyphens w:val="0"/>
              <w:jc w:val="both"/>
              <w:rPr>
                <w:rFonts w:eastAsia="Calibri"/>
                <w:sz w:val="24"/>
                <w:lang w:val="lt-LT" w:eastAsia="en-US" w:bidi="ar-SA"/>
              </w:rPr>
            </w:pPr>
            <w:r w:rsidRPr="00003559">
              <w:rPr>
                <w:rFonts w:eastAsia="Calibri"/>
                <w:sz w:val="24"/>
                <w:lang w:val="lt-LT" w:eastAsia="en-US" w:bidi="ar-SA"/>
              </w:rPr>
              <w:t xml:space="preserve">Vyriausiasis </w:t>
            </w:r>
            <w:r w:rsidR="00567719">
              <w:rPr>
                <w:rFonts w:eastAsia="Calibri"/>
                <w:sz w:val="24"/>
                <w:lang w:val="lt-LT" w:eastAsia="en-US" w:bidi="ar-SA"/>
              </w:rPr>
              <w:t>socialinis darbuotojas</w:t>
            </w:r>
          </w:p>
        </w:tc>
        <w:tc>
          <w:tcPr>
            <w:tcW w:w="1910" w:type="dxa"/>
            <w:shd w:val="clear" w:color="auto" w:fill="auto"/>
            <w:vAlign w:val="center"/>
          </w:tcPr>
          <w:p w:rsidR="00E9668B" w:rsidRPr="00275A07" w:rsidRDefault="00E074E7" w:rsidP="00704388">
            <w:pPr>
              <w:suppressAutoHyphens w:val="0"/>
              <w:jc w:val="center"/>
              <w:rPr>
                <w:rFonts w:eastAsia="Calibri"/>
                <w:sz w:val="24"/>
                <w:lang w:val="lt-LT" w:eastAsia="en-US" w:bidi="ar-SA"/>
              </w:rPr>
            </w:pPr>
            <w:r w:rsidRPr="00275A07">
              <w:rPr>
                <w:rFonts w:eastAsia="Calibri"/>
                <w:sz w:val="24"/>
                <w:lang w:val="lt-LT" w:eastAsia="en-US" w:bidi="ar-SA"/>
              </w:rPr>
              <w:t>7,8–10,0</w:t>
            </w:r>
          </w:p>
        </w:tc>
        <w:tc>
          <w:tcPr>
            <w:tcW w:w="1920" w:type="dxa"/>
            <w:shd w:val="clear" w:color="auto" w:fill="auto"/>
            <w:vAlign w:val="center"/>
          </w:tcPr>
          <w:p w:rsidR="00E9668B" w:rsidRPr="00275A07" w:rsidRDefault="00275A07" w:rsidP="00704388">
            <w:pPr>
              <w:suppressAutoHyphens w:val="0"/>
              <w:jc w:val="center"/>
              <w:rPr>
                <w:rFonts w:eastAsia="Calibri"/>
                <w:sz w:val="24"/>
                <w:lang w:val="lt-LT" w:eastAsia="en-US" w:bidi="ar-SA"/>
              </w:rPr>
            </w:pPr>
            <w:r w:rsidRPr="00275A07">
              <w:rPr>
                <w:rFonts w:eastAsia="Calibri"/>
                <w:sz w:val="24"/>
                <w:lang w:val="lt-LT" w:eastAsia="en-US" w:bidi="ar-SA"/>
              </w:rPr>
              <w:t>7,8</w:t>
            </w:r>
            <w:r w:rsidR="00E074E7" w:rsidRPr="00275A07">
              <w:rPr>
                <w:rFonts w:eastAsia="Calibri"/>
                <w:sz w:val="24"/>
                <w:lang w:val="lt-LT" w:eastAsia="en-US" w:bidi="ar-SA"/>
              </w:rPr>
              <w:t>–11,0</w:t>
            </w:r>
          </w:p>
        </w:tc>
        <w:tc>
          <w:tcPr>
            <w:tcW w:w="1920" w:type="dxa"/>
            <w:shd w:val="clear" w:color="auto" w:fill="auto"/>
            <w:vAlign w:val="center"/>
          </w:tcPr>
          <w:p w:rsidR="00E9668B" w:rsidRPr="00275A07" w:rsidRDefault="00275A07" w:rsidP="00704388">
            <w:pPr>
              <w:suppressAutoHyphens w:val="0"/>
              <w:jc w:val="center"/>
              <w:rPr>
                <w:rFonts w:eastAsia="Calibri"/>
                <w:sz w:val="24"/>
                <w:lang w:val="lt-LT" w:eastAsia="en-US" w:bidi="ar-SA"/>
              </w:rPr>
            </w:pPr>
            <w:r w:rsidRPr="00275A07">
              <w:rPr>
                <w:rFonts w:eastAsia="Calibri"/>
                <w:sz w:val="24"/>
                <w:lang w:val="lt-LT" w:eastAsia="en-US" w:bidi="ar-SA"/>
              </w:rPr>
              <w:t>7,8</w:t>
            </w:r>
            <w:r w:rsidR="00E074E7" w:rsidRPr="00275A07">
              <w:rPr>
                <w:rFonts w:eastAsia="Calibri"/>
                <w:sz w:val="24"/>
                <w:lang w:val="lt-LT" w:eastAsia="en-US" w:bidi="ar-SA"/>
              </w:rPr>
              <w:t>–12,0</w:t>
            </w:r>
          </w:p>
        </w:tc>
        <w:tc>
          <w:tcPr>
            <w:tcW w:w="1920" w:type="dxa"/>
            <w:shd w:val="clear" w:color="auto" w:fill="auto"/>
            <w:vAlign w:val="center"/>
          </w:tcPr>
          <w:p w:rsidR="00E9668B" w:rsidRPr="00275A07" w:rsidRDefault="00275A07" w:rsidP="00370617">
            <w:pPr>
              <w:suppressAutoHyphens w:val="0"/>
              <w:jc w:val="center"/>
              <w:rPr>
                <w:rFonts w:eastAsia="Calibri"/>
                <w:sz w:val="24"/>
                <w:lang w:val="lt-LT" w:eastAsia="en-US" w:bidi="ar-SA"/>
              </w:rPr>
            </w:pPr>
            <w:r w:rsidRPr="00275A07">
              <w:rPr>
                <w:rFonts w:eastAsia="Calibri"/>
                <w:sz w:val="24"/>
                <w:lang w:val="lt-LT" w:eastAsia="en-US" w:bidi="ar-SA"/>
              </w:rPr>
              <w:t>7,8</w:t>
            </w:r>
            <w:r w:rsidR="00E074E7" w:rsidRPr="00275A07">
              <w:rPr>
                <w:rFonts w:eastAsia="Calibri"/>
                <w:sz w:val="24"/>
                <w:lang w:val="lt-LT" w:eastAsia="en-US" w:bidi="ar-SA"/>
              </w:rPr>
              <w:t>–13,0</w:t>
            </w:r>
          </w:p>
        </w:tc>
      </w:tr>
      <w:tr w:rsidR="00E9668B" w:rsidRPr="00003559" w:rsidTr="00A91875">
        <w:tc>
          <w:tcPr>
            <w:tcW w:w="1958"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Vyriausiasis socialinis darbuotojas, dirbantis su šeimomis</w:t>
            </w:r>
          </w:p>
        </w:tc>
        <w:tc>
          <w:tcPr>
            <w:tcW w:w="1910" w:type="dxa"/>
            <w:shd w:val="clear" w:color="auto" w:fill="auto"/>
            <w:vAlign w:val="center"/>
          </w:tcPr>
          <w:p w:rsidR="00E9668B" w:rsidRPr="00275A07" w:rsidRDefault="00E074E7" w:rsidP="00704388">
            <w:pPr>
              <w:suppressAutoHyphens w:val="0"/>
              <w:jc w:val="center"/>
              <w:rPr>
                <w:rFonts w:eastAsia="Calibri"/>
                <w:sz w:val="24"/>
                <w:lang w:val="lt-LT" w:eastAsia="en-US" w:bidi="ar-SA"/>
              </w:rPr>
            </w:pPr>
            <w:r w:rsidRPr="00275A07">
              <w:rPr>
                <w:rFonts w:eastAsia="Calibri"/>
                <w:sz w:val="24"/>
                <w:lang w:val="lt-LT" w:eastAsia="en-US" w:bidi="ar-SA"/>
              </w:rPr>
              <w:t>7,8–13,0</w:t>
            </w:r>
          </w:p>
        </w:tc>
        <w:tc>
          <w:tcPr>
            <w:tcW w:w="1920" w:type="dxa"/>
            <w:shd w:val="clear" w:color="auto" w:fill="auto"/>
            <w:vAlign w:val="center"/>
          </w:tcPr>
          <w:p w:rsidR="00E9668B" w:rsidRPr="00275A07" w:rsidRDefault="00275A07" w:rsidP="00704388">
            <w:pPr>
              <w:suppressAutoHyphens w:val="0"/>
              <w:jc w:val="center"/>
              <w:rPr>
                <w:rFonts w:eastAsia="Calibri"/>
                <w:sz w:val="24"/>
                <w:lang w:val="lt-LT" w:eastAsia="en-US" w:bidi="ar-SA"/>
              </w:rPr>
            </w:pPr>
            <w:r w:rsidRPr="00275A07">
              <w:rPr>
                <w:rFonts w:eastAsia="Calibri"/>
                <w:sz w:val="24"/>
                <w:lang w:val="lt-LT" w:eastAsia="en-US" w:bidi="ar-SA"/>
              </w:rPr>
              <w:t>7,8</w:t>
            </w:r>
            <w:r w:rsidR="00E074E7" w:rsidRPr="00275A07">
              <w:rPr>
                <w:rFonts w:eastAsia="Calibri"/>
                <w:sz w:val="24"/>
                <w:lang w:val="lt-LT" w:eastAsia="en-US" w:bidi="ar-SA"/>
              </w:rPr>
              <w:t>–11,0</w:t>
            </w:r>
          </w:p>
        </w:tc>
        <w:tc>
          <w:tcPr>
            <w:tcW w:w="1920" w:type="dxa"/>
            <w:shd w:val="clear" w:color="auto" w:fill="auto"/>
            <w:vAlign w:val="center"/>
          </w:tcPr>
          <w:p w:rsidR="00E9668B" w:rsidRPr="00275A07" w:rsidRDefault="00275A07" w:rsidP="00704388">
            <w:pPr>
              <w:suppressAutoHyphens w:val="0"/>
              <w:jc w:val="center"/>
              <w:rPr>
                <w:rFonts w:eastAsia="Calibri"/>
                <w:sz w:val="24"/>
                <w:lang w:val="lt-LT" w:eastAsia="en-US" w:bidi="ar-SA"/>
              </w:rPr>
            </w:pPr>
            <w:r w:rsidRPr="00275A07">
              <w:rPr>
                <w:rFonts w:eastAsia="Calibri"/>
                <w:sz w:val="24"/>
                <w:lang w:val="lt-LT" w:eastAsia="en-US" w:bidi="ar-SA"/>
              </w:rPr>
              <w:t>7,8</w:t>
            </w:r>
            <w:r w:rsidR="00E074E7" w:rsidRPr="00275A07">
              <w:rPr>
                <w:rFonts w:eastAsia="Calibri"/>
                <w:sz w:val="24"/>
                <w:lang w:val="lt-LT" w:eastAsia="en-US" w:bidi="ar-SA"/>
              </w:rPr>
              <w:t>–12,</w:t>
            </w:r>
            <w:r w:rsidR="00683AB7" w:rsidRPr="00275A07">
              <w:rPr>
                <w:rFonts w:eastAsia="Calibri"/>
                <w:sz w:val="24"/>
                <w:lang w:val="lt-LT" w:eastAsia="en-US" w:bidi="ar-SA"/>
              </w:rPr>
              <w:t>0</w:t>
            </w:r>
          </w:p>
        </w:tc>
        <w:tc>
          <w:tcPr>
            <w:tcW w:w="1920" w:type="dxa"/>
            <w:shd w:val="clear" w:color="auto" w:fill="auto"/>
            <w:vAlign w:val="center"/>
          </w:tcPr>
          <w:p w:rsidR="00E9668B" w:rsidRPr="00275A07" w:rsidRDefault="00275A07" w:rsidP="00370617">
            <w:pPr>
              <w:suppressAutoHyphens w:val="0"/>
              <w:jc w:val="center"/>
              <w:rPr>
                <w:rFonts w:eastAsia="Calibri"/>
                <w:sz w:val="24"/>
                <w:lang w:val="lt-LT" w:eastAsia="en-US" w:bidi="ar-SA"/>
              </w:rPr>
            </w:pPr>
            <w:r w:rsidRPr="00275A07">
              <w:rPr>
                <w:rFonts w:eastAsia="Calibri"/>
                <w:sz w:val="24"/>
                <w:lang w:val="lt-LT" w:eastAsia="en-US" w:bidi="ar-SA"/>
              </w:rPr>
              <w:t>7,8</w:t>
            </w:r>
            <w:r w:rsidR="00E074E7" w:rsidRPr="00275A07">
              <w:rPr>
                <w:rFonts w:eastAsia="Calibri"/>
                <w:sz w:val="24"/>
                <w:lang w:val="lt-LT" w:eastAsia="en-US" w:bidi="ar-SA"/>
              </w:rPr>
              <w:t>–13,0</w:t>
            </w:r>
          </w:p>
        </w:tc>
      </w:tr>
      <w:tr w:rsidR="00E9668B" w:rsidRPr="00003559" w:rsidTr="00A91875">
        <w:trPr>
          <w:trHeight w:val="252"/>
        </w:trPr>
        <w:tc>
          <w:tcPr>
            <w:tcW w:w="1958" w:type="dxa"/>
            <w:shd w:val="clear" w:color="auto" w:fill="auto"/>
            <w:vAlign w:val="center"/>
          </w:tcPr>
          <w:p w:rsidR="00E9668B" w:rsidRPr="00003559" w:rsidRDefault="00E9668B" w:rsidP="00E9668B">
            <w:pPr>
              <w:suppressAutoHyphens w:val="0"/>
              <w:jc w:val="center"/>
              <w:rPr>
                <w:rFonts w:eastAsia="Calibri"/>
                <w:b/>
                <w:sz w:val="24"/>
                <w:lang w:val="lt-LT" w:eastAsia="en-US" w:bidi="ar-SA"/>
              </w:rPr>
            </w:pPr>
            <w:r w:rsidRPr="00003559">
              <w:rPr>
                <w:rFonts w:eastAsia="Calibri"/>
                <w:b/>
                <w:sz w:val="24"/>
                <w:lang w:val="lt-LT" w:eastAsia="en-US" w:bidi="ar-SA"/>
              </w:rPr>
              <w:t>B lygis</w:t>
            </w:r>
          </w:p>
        </w:tc>
        <w:tc>
          <w:tcPr>
            <w:tcW w:w="1910" w:type="dxa"/>
            <w:shd w:val="clear" w:color="auto" w:fill="auto"/>
            <w:vAlign w:val="center"/>
          </w:tcPr>
          <w:p w:rsidR="00E9668B" w:rsidRPr="00003559" w:rsidRDefault="0069016B" w:rsidP="00E9668B">
            <w:pPr>
              <w:suppressAutoHyphens w:val="0"/>
              <w:jc w:val="center"/>
              <w:rPr>
                <w:rFonts w:eastAsia="Calibri"/>
                <w:b/>
                <w:sz w:val="24"/>
                <w:lang w:val="lt-LT" w:eastAsia="en-US" w:bidi="ar-SA"/>
              </w:rPr>
            </w:pPr>
            <w:r>
              <w:rPr>
                <w:rFonts w:eastAsia="Calibri"/>
                <w:b/>
                <w:sz w:val="24"/>
                <w:lang w:val="lt-LT" w:eastAsia="en-US" w:bidi="ar-SA"/>
              </w:rPr>
              <w:t>5,6–8,5</w:t>
            </w:r>
          </w:p>
        </w:tc>
        <w:tc>
          <w:tcPr>
            <w:tcW w:w="1920" w:type="dxa"/>
            <w:shd w:val="clear" w:color="auto" w:fill="auto"/>
            <w:vAlign w:val="center"/>
          </w:tcPr>
          <w:p w:rsidR="00E9668B" w:rsidRPr="00003559" w:rsidRDefault="0069016B" w:rsidP="0069016B">
            <w:pPr>
              <w:suppressAutoHyphens w:val="0"/>
              <w:jc w:val="center"/>
              <w:rPr>
                <w:rFonts w:eastAsia="Calibri"/>
                <w:b/>
                <w:sz w:val="24"/>
                <w:lang w:val="lt-LT" w:eastAsia="en-US" w:bidi="ar-SA"/>
              </w:rPr>
            </w:pPr>
            <w:r>
              <w:rPr>
                <w:rFonts w:eastAsia="Calibri"/>
                <w:b/>
                <w:sz w:val="24"/>
                <w:lang w:val="lt-LT" w:eastAsia="en-US" w:bidi="ar-SA"/>
              </w:rPr>
              <w:t>5,7</w:t>
            </w:r>
            <w:r w:rsidR="00370617" w:rsidRPr="00003559">
              <w:rPr>
                <w:rFonts w:eastAsia="Calibri"/>
                <w:b/>
                <w:sz w:val="24"/>
                <w:lang w:val="lt-LT" w:eastAsia="en-US" w:bidi="ar-SA"/>
              </w:rPr>
              <w:t>–</w:t>
            </w:r>
            <w:r>
              <w:rPr>
                <w:rFonts w:eastAsia="Calibri"/>
                <w:b/>
                <w:sz w:val="24"/>
                <w:lang w:val="lt-LT" w:eastAsia="en-US" w:bidi="ar-SA"/>
              </w:rPr>
              <w:t>9,0</w:t>
            </w:r>
          </w:p>
        </w:tc>
        <w:tc>
          <w:tcPr>
            <w:tcW w:w="1920" w:type="dxa"/>
            <w:shd w:val="clear" w:color="auto" w:fill="auto"/>
            <w:vAlign w:val="center"/>
          </w:tcPr>
          <w:p w:rsidR="00E9668B" w:rsidRPr="00003559" w:rsidRDefault="00704388" w:rsidP="0069016B">
            <w:pPr>
              <w:suppressAutoHyphens w:val="0"/>
              <w:jc w:val="center"/>
              <w:rPr>
                <w:rFonts w:eastAsia="Calibri"/>
                <w:b/>
                <w:sz w:val="24"/>
                <w:lang w:val="lt-LT" w:eastAsia="en-US" w:bidi="ar-SA"/>
              </w:rPr>
            </w:pPr>
            <w:r>
              <w:rPr>
                <w:rFonts w:eastAsia="Calibri"/>
                <w:b/>
                <w:sz w:val="24"/>
                <w:lang w:val="lt-LT" w:eastAsia="en-US" w:bidi="ar-SA"/>
              </w:rPr>
              <w:t>5</w:t>
            </w:r>
            <w:r w:rsidR="0069016B">
              <w:rPr>
                <w:rFonts w:eastAsia="Calibri"/>
                <w:b/>
                <w:sz w:val="24"/>
                <w:lang w:val="lt-LT" w:eastAsia="en-US" w:bidi="ar-SA"/>
              </w:rPr>
              <w:t>,8</w:t>
            </w:r>
            <w:r w:rsidR="00370617" w:rsidRPr="00003559">
              <w:rPr>
                <w:rFonts w:eastAsia="Calibri"/>
                <w:b/>
                <w:sz w:val="24"/>
                <w:lang w:val="lt-LT" w:eastAsia="en-US" w:bidi="ar-SA"/>
              </w:rPr>
              <w:t>–</w:t>
            </w:r>
            <w:r w:rsidR="0069016B">
              <w:rPr>
                <w:rFonts w:eastAsia="Calibri"/>
                <w:b/>
                <w:sz w:val="24"/>
                <w:lang w:val="lt-LT" w:eastAsia="en-US" w:bidi="ar-SA"/>
              </w:rPr>
              <w:t>9,5</w:t>
            </w:r>
          </w:p>
        </w:tc>
        <w:tc>
          <w:tcPr>
            <w:tcW w:w="1920" w:type="dxa"/>
            <w:shd w:val="clear" w:color="auto" w:fill="auto"/>
            <w:vAlign w:val="center"/>
          </w:tcPr>
          <w:p w:rsidR="00E9668B" w:rsidRPr="00003559" w:rsidRDefault="00704388" w:rsidP="0069016B">
            <w:pPr>
              <w:suppressAutoHyphens w:val="0"/>
              <w:jc w:val="center"/>
              <w:rPr>
                <w:rFonts w:eastAsia="Calibri"/>
                <w:b/>
                <w:sz w:val="24"/>
                <w:lang w:val="lt-LT" w:eastAsia="en-US" w:bidi="ar-SA"/>
              </w:rPr>
            </w:pPr>
            <w:r>
              <w:rPr>
                <w:rFonts w:eastAsia="Calibri"/>
                <w:b/>
                <w:sz w:val="24"/>
                <w:lang w:val="lt-LT" w:eastAsia="en-US" w:bidi="ar-SA"/>
              </w:rPr>
              <w:t>5</w:t>
            </w:r>
            <w:r w:rsidR="0069016B">
              <w:rPr>
                <w:rFonts w:eastAsia="Calibri"/>
                <w:b/>
                <w:sz w:val="24"/>
                <w:lang w:val="lt-LT" w:eastAsia="en-US" w:bidi="ar-SA"/>
              </w:rPr>
              <w:t>,9</w:t>
            </w:r>
            <w:r w:rsidR="00370617" w:rsidRPr="00003559">
              <w:rPr>
                <w:rFonts w:eastAsia="Calibri"/>
                <w:b/>
                <w:sz w:val="24"/>
                <w:lang w:val="lt-LT" w:eastAsia="en-US" w:bidi="ar-SA"/>
              </w:rPr>
              <w:t>–</w:t>
            </w:r>
            <w:r w:rsidR="0069016B">
              <w:rPr>
                <w:rFonts w:eastAsia="Calibri"/>
                <w:b/>
                <w:sz w:val="24"/>
                <w:lang w:val="lt-LT" w:eastAsia="en-US" w:bidi="ar-SA"/>
              </w:rPr>
              <w:t>10,0</w:t>
            </w:r>
          </w:p>
        </w:tc>
      </w:tr>
      <w:tr w:rsidR="00E9668B" w:rsidRPr="00003559" w:rsidTr="00A91875">
        <w:trPr>
          <w:trHeight w:val="252"/>
        </w:trPr>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Vyresnysis socialinių išmokų specialistas</w:t>
            </w:r>
          </w:p>
        </w:tc>
        <w:tc>
          <w:tcPr>
            <w:tcW w:w="1910" w:type="dxa"/>
            <w:shd w:val="clear" w:color="auto" w:fill="auto"/>
            <w:vAlign w:val="center"/>
          </w:tcPr>
          <w:p w:rsidR="00E9668B" w:rsidRPr="00003559" w:rsidRDefault="00D53A08" w:rsidP="00370617">
            <w:pPr>
              <w:suppressAutoHyphens w:val="0"/>
              <w:jc w:val="center"/>
              <w:rPr>
                <w:rFonts w:eastAsia="Calibri"/>
                <w:sz w:val="24"/>
                <w:lang w:val="lt-LT" w:eastAsia="en-US" w:bidi="ar-SA"/>
              </w:rPr>
            </w:pPr>
            <w:r>
              <w:rPr>
                <w:rFonts w:eastAsia="Calibri"/>
                <w:sz w:val="24"/>
                <w:lang w:val="lt-LT" w:eastAsia="en-US" w:bidi="ar-SA"/>
              </w:rPr>
              <w:t>6,1–8,5</w:t>
            </w:r>
          </w:p>
        </w:tc>
        <w:tc>
          <w:tcPr>
            <w:tcW w:w="1920" w:type="dxa"/>
            <w:shd w:val="clear" w:color="auto" w:fill="auto"/>
            <w:vAlign w:val="center"/>
          </w:tcPr>
          <w:p w:rsidR="00E9668B" w:rsidRPr="00003559" w:rsidRDefault="00A92D29" w:rsidP="00370617">
            <w:pPr>
              <w:suppressAutoHyphens w:val="0"/>
              <w:jc w:val="center"/>
              <w:rPr>
                <w:rFonts w:eastAsia="Calibri"/>
                <w:sz w:val="24"/>
                <w:lang w:val="lt-LT" w:eastAsia="en-US" w:bidi="ar-SA"/>
              </w:rPr>
            </w:pPr>
            <w:r>
              <w:rPr>
                <w:rFonts w:eastAsia="Calibri"/>
                <w:sz w:val="24"/>
                <w:lang w:val="lt-LT" w:eastAsia="en-US" w:bidi="ar-SA"/>
              </w:rPr>
              <w:t>6,2</w:t>
            </w:r>
            <w:r w:rsidR="00D53A08">
              <w:rPr>
                <w:rFonts w:eastAsia="Calibri"/>
                <w:sz w:val="24"/>
                <w:lang w:val="lt-LT" w:eastAsia="en-US" w:bidi="ar-SA"/>
              </w:rPr>
              <w:t>–9,0</w:t>
            </w:r>
          </w:p>
        </w:tc>
        <w:tc>
          <w:tcPr>
            <w:tcW w:w="1920" w:type="dxa"/>
            <w:shd w:val="clear" w:color="auto" w:fill="auto"/>
            <w:vAlign w:val="center"/>
          </w:tcPr>
          <w:p w:rsidR="00E9668B" w:rsidRPr="00003559" w:rsidRDefault="00A92D29" w:rsidP="00370617">
            <w:pPr>
              <w:suppressAutoHyphens w:val="0"/>
              <w:jc w:val="center"/>
              <w:rPr>
                <w:rFonts w:eastAsia="Calibri"/>
                <w:sz w:val="24"/>
                <w:lang w:val="lt-LT" w:eastAsia="en-US" w:bidi="ar-SA"/>
              </w:rPr>
            </w:pPr>
            <w:r>
              <w:rPr>
                <w:rFonts w:eastAsia="Calibri"/>
                <w:sz w:val="24"/>
                <w:lang w:val="lt-LT" w:eastAsia="en-US" w:bidi="ar-SA"/>
              </w:rPr>
              <w:t>6,3</w:t>
            </w:r>
            <w:r w:rsidR="00D53A08">
              <w:rPr>
                <w:rFonts w:eastAsia="Calibri"/>
                <w:sz w:val="24"/>
                <w:lang w:val="lt-LT" w:eastAsia="en-US" w:bidi="ar-SA"/>
              </w:rPr>
              <w:t>–9,5</w:t>
            </w:r>
          </w:p>
        </w:tc>
        <w:tc>
          <w:tcPr>
            <w:tcW w:w="1920" w:type="dxa"/>
            <w:shd w:val="clear" w:color="auto" w:fill="auto"/>
            <w:vAlign w:val="center"/>
          </w:tcPr>
          <w:p w:rsidR="00E9668B" w:rsidRPr="00003559" w:rsidRDefault="00A92D29" w:rsidP="00370617">
            <w:pPr>
              <w:suppressAutoHyphens w:val="0"/>
              <w:jc w:val="center"/>
              <w:rPr>
                <w:rFonts w:eastAsia="Calibri"/>
                <w:sz w:val="24"/>
                <w:lang w:val="lt-LT" w:eastAsia="en-US" w:bidi="ar-SA"/>
              </w:rPr>
            </w:pPr>
            <w:r>
              <w:rPr>
                <w:rFonts w:eastAsia="Calibri"/>
                <w:sz w:val="24"/>
                <w:lang w:val="lt-LT" w:eastAsia="en-US" w:bidi="ar-SA"/>
              </w:rPr>
              <w:t>6,4–10,0</w:t>
            </w:r>
          </w:p>
        </w:tc>
      </w:tr>
      <w:tr w:rsidR="00E9668B" w:rsidRPr="00003559" w:rsidTr="00A91875">
        <w:trPr>
          <w:trHeight w:val="252"/>
        </w:trPr>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Seniūnijos vyriausiasis raštvedys</w:t>
            </w:r>
          </w:p>
        </w:tc>
        <w:tc>
          <w:tcPr>
            <w:tcW w:w="1910" w:type="dxa"/>
            <w:shd w:val="clear" w:color="auto" w:fill="auto"/>
            <w:vAlign w:val="center"/>
          </w:tcPr>
          <w:p w:rsidR="00E9668B" w:rsidRPr="00003559" w:rsidRDefault="0004348B" w:rsidP="00370617">
            <w:pPr>
              <w:suppressAutoHyphens w:val="0"/>
              <w:jc w:val="center"/>
              <w:rPr>
                <w:rFonts w:eastAsia="Calibri"/>
                <w:sz w:val="24"/>
                <w:lang w:val="lt-LT" w:eastAsia="en-US" w:bidi="ar-SA"/>
              </w:rPr>
            </w:pPr>
            <w:r>
              <w:rPr>
                <w:rFonts w:eastAsia="Calibri"/>
                <w:sz w:val="24"/>
                <w:lang w:val="lt-LT" w:eastAsia="en-US" w:bidi="ar-SA"/>
              </w:rPr>
              <w:t>6,1–8,5</w:t>
            </w:r>
          </w:p>
        </w:tc>
        <w:tc>
          <w:tcPr>
            <w:tcW w:w="1920" w:type="dxa"/>
            <w:shd w:val="clear" w:color="auto" w:fill="auto"/>
            <w:vAlign w:val="center"/>
          </w:tcPr>
          <w:p w:rsidR="00E9668B" w:rsidRPr="00003559" w:rsidRDefault="0004348B" w:rsidP="00370617">
            <w:pPr>
              <w:suppressAutoHyphens w:val="0"/>
              <w:jc w:val="center"/>
              <w:rPr>
                <w:rFonts w:eastAsia="Calibri"/>
                <w:sz w:val="24"/>
                <w:lang w:val="lt-LT" w:eastAsia="en-US" w:bidi="ar-SA"/>
              </w:rPr>
            </w:pPr>
            <w:r>
              <w:rPr>
                <w:rFonts w:eastAsia="Calibri"/>
                <w:sz w:val="24"/>
                <w:lang w:val="lt-LT" w:eastAsia="en-US" w:bidi="ar-SA"/>
              </w:rPr>
              <w:t>6,2–9,0</w:t>
            </w:r>
          </w:p>
        </w:tc>
        <w:tc>
          <w:tcPr>
            <w:tcW w:w="1920" w:type="dxa"/>
            <w:shd w:val="clear" w:color="auto" w:fill="auto"/>
            <w:vAlign w:val="center"/>
          </w:tcPr>
          <w:p w:rsidR="00E9668B" w:rsidRPr="00003559" w:rsidRDefault="0004348B" w:rsidP="00370617">
            <w:pPr>
              <w:suppressAutoHyphens w:val="0"/>
              <w:jc w:val="center"/>
              <w:rPr>
                <w:rFonts w:eastAsia="Calibri"/>
                <w:sz w:val="24"/>
                <w:lang w:val="lt-LT" w:eastAsia="en-US" w:bidi="ar-SA"/>
              </w:rPr>
            </w:pPr>
            <w:r>
              <w:rPr>
                <w:rFonts w:eastAsia="Calibri"/>
                <w:sz w:val="24"/>
                <w:lang w:val="lt-LT" w:eastAsia="en-US" w:bidi="ar-SA"/>
              </w:rPr>
              <w:t>6,3–9,5</w:t>
            </w:r>
          </w:p>
        </w:tc>
        <w:tc>
          <w:tcPr>
            <w:tcW w:w="1920" w:type="dxa"/>
            <w:shd w:val="clear" w:color="auto" w:fill="auto"/>
            <w:vAlign w:val="center"/>
          </w:tcPr>
          <w:p w:rsidR="00E9668B" w:rsidRPr="00003559" w:rsidRDefault="0004348B" w:rsidP="00370617">
            <w:pPr>
              <w:suppressAutoHyphens w:val="0"/>
              <w:jc w:val="center"/>
              <w:rPr>
                <w:rFonts w:eastAsia="Calibri"/>
                <w:sz w:val="24"/>
                <w:lang w:val="lt-LT" w:eastAsia="en-US" w:bidi="ar-SA"/>
              </w:rPr>
            </w:pPr>
            <w:r>
              <w:rPr>
                <w:rFonts w:eastAsia="Calibri"/>
                <w:sz w:val="24"/>
                <w:lang w:val="lt-LT" w:eastAsia="en-US" w:bidi="ar-SA"/>
              </w:rPr>
              <w:t>6,4–10,0</w:t>
            </w:r>
          </w:p>
        </w:tc>
      </w:tr>
      <w:tr w:rsidR="00E9668B" w:rsidRPr="00003559" w:rsidTr="00A91875">
        <w:trPr>
          <w:trHeight w:val="252"/>
        </w:trPr>
        <w:tc>
          <w:tcPr>
            <w:tcW w:w="1958" w:type="dxa"/>
            <w:shd w:val="clear" w:color="auto" w:fill="auto"/>
            <w:vAlign w:val="center"/>
          </w:tcPr>
          <w:p w:rsidR="00E9668B" w:rsidRPr="00003559" w:rsidRDefault="00E9668B" w:rsidP="00E9668B">
            <w:pPr>
              <w:suppressAutoHyphens w:val="0"/>
              <w:jc w:val="both"/>
              <w:rPr>
                <w:rFonts w:eastAsia="Calibri"/>
                <w:sz w:val="24"/>
                <w:lang w:val="lt-LT" w:eastAsia="en-US" w:bidi="ar-SA"/>
              </w:rPr>
            </w:pPr>
            <w:r w:rsidRPr="00003559">
              <w:rPr>
                <w:rFonts w:eastAsia="Calibri"/>
                <w:sz w:val="24"/>
                <w:lang w:val="lt-LT" w:eastAsia="en-US" w:bidi="ar-SA"/>
              </w:rPr>
              <w:t>Specialistas melioracijai</w:t>
            </w:r>
          </w:p>
        </w:tc>
        <w:tc>
          <w:tcPr>
            <w:tcW w:w="1910" w:type="dxa"/>
            <w:shd w:val="clear" w:color="auto" w:fill="auto"/>
            <w:vAlign w:val="center"/>
          </w:tcPr>
          <w:p w:rsidR="00E9668B" w:rsidRPr="00003559" w:rsidRDefault="00A92D29" w:rsidP="00370617">
            <w:pPr>
              <w:suppressAutoHyphens w:val="0"/>
              <w:jc w:val="center"/>
              <w:rPr>
                <w:rFonts w:eastAsia="Calibri"/>
                <w:sz w:val="24"/>
                <w:lang w:val="lt-LT" w:eastAsia="en-US" w:bidi="ar-SA"/>
              </w:rPr>
            </w:pPr>
            <w:r>
              <w:rPr>
                <w:rFonts w:eastAsia="Calibri"/>
                <w:sz w:val="24"/>
                <w:lang w:val="lt-LT" w:eastAsia="en-US" w:bidi="ar-SA"/>
              </w:rPr>
              <w:t>6,1–8,5</w:t>
            </w:r>
          </w:p>
        </w:tc>
        <w:tc>
          <w:tcPr>
            <w:tcW w:w="1920" w:type="dxa"/>
            <w:shd w:val="clear" w:color="auto" w:fill="auto"/>
            <w:vAlign w:val="center"/>
          </w:tcPr>
          <w:p w:rsidR="00E9668B" w:rsidRPr="00003559" w:rsidRDefault="00A92D29" w:rsidP="00370617">
            <w:pPr>
              <w:suppressAutoHyphens w:val="0"/>
              <w:jc w:val="center"/>
              <w:rPr>
                <w:rFonts w:eastAsia="Calibri"/>
                <w:sz w:val="24"/>
                <w:lang w:val="lt-LT" w:eastAsia="en-US" w:bidi="ar-SA"/>
              </w:rPr>
            </w:pPr>
            <w:r>
              <w:rPr>
                <w:rFonts w:eastAsia="Calibri"/>
                <w:sz w:val="24"/>
                <w:lang w:val="lt-LT" w:eastAsia="en-US" w:bidi="ar-SA"/>
              </w:rPr>
              <w:t>6,2–9,0</w:t>
            </w:r>
          </w:p>
        </w:tc>
        <w:tc>
          <w:tcPr>
            <w:tcW w:w="1920" w:type="dxa"/>
            <w:shd w:val="clear" w:color="auto" w:fill="auto"/>
            <w:vAlign w:val="center"/>
          </w:tcPr>
          <w:p w:rsidR="00E9668B" w:rsidRPr="00003559" w:rsidRDefault="00A92D29" w:rsidP="00370617">
            <w:pPr>
              <w:suppressAutoHyphens w:val="0"/>
              <w:jc w:val="center"/>
              <w:rPr>
                <w:rFonts w:eastAsia="Calibri"/>
                <w:sz w:val="24"/>
                <w:lang w:val="lt-LT" w:eastAsia="en-US" w:bidi="ar-SA"/>
              </w:rPr>
            </w:pPr>
            <w:r>
              <w:rPr>
                <w:rFonts w:eastAsia="Calibri"/>
                <w:sz w:val="24"/>
                <w:lang w:val="lt-LT" w:eastAsia="en-US" w:bidi="ar-SA"/>
              </w:rPr>
              <w:t>6,3–9,5</w:t>
            </w:r>
          </w:p>
        </w:tc>
        <w:tc>
          <w:tcPr>
            <w:tcW w:w="1920" w:type="dxa"/>
            <w:shd w:val="clear" w:color="auto" w:fill="auto"/>
            <w:vAlign w:val="center"/>
          </w:tcPr>
          <w:p w:rsidR="00E9668B" w:rsidRPr="00003559" w:rsidRDefault="00A92D29" w:rsidP="00370617">
            <w:pPr>
              <w:suppressAutoHyphens w:val="0"/>
              <w:jc w:val="center"/>
              <w:rPr>
                <w:rFonts w:eastAsia="Calibri"/>
                <w:sz w:val="24"/>
                <w:lang w:val="lt-LT" w:eastAsia="en-US" w:bidi="ar-SA"/>
              </w:rPr>
            </w:pPr>
            <w:r>
              <w:rPr>
                <w:rFonts w:eastAsia="Calibri"/>
                <w:sz w:val="24"/>
                <w:lang w:val="lt-LT" w:eastAsia="en-US" w:bidi="ar-SA"/>
              </w:rPr>
              <w:t>6,4–10,0</w:t>
            </w:r>
            <w:r w:rsidR="00CC1734">
              <w:rPr>
                <w:rFonts w:eastAsia="Calibri"/>
                <w:sz w:val="24"/>
                <w:lang w:val="lt-LT" w:eastAsia="en-US" w:bidi="ar-SA"/>
              </w:rPr>
              <w:t>“</w:t>
            </w:r>
          </w:p>
        </w:tc>
      </w:tr>
    </w:tbl>
    <w:p w:rsidR="00E9668B" w:rsidRPr="00C35766" w:rsidRDefault="00E9668B" w:rsidP="00C35766">
      <w:pPr>
        <w:suppressAutoHyphens w:val="0"/>
        <w:spacing w:line="360" w:lineRule="auto"/>
        <w:rPr>
          <w:rFonts w:eastAsia="Calibri"/>
          <w:sz w:val="24"/>
          <w:szCs w:val="24"/>
          <w:lang w:val="lt-LT" w:eastAsia="en-US" w:bidi="ar-SA"/>
        </w:rPr>
      </w:pPr>
      <w:r w:rsidRPr="00003559">
        <w:rPr>
          <w:rFonts w:eastAsia="Calibri"/>
          <w:sz w:val="24"/>
          <w:szCs w:val="24"/>
          <w:lang w:val="lt-LT" w:eastAsia="en-US" w:bidi="ar-SA"/>
        </w:rPr>
        <w:tab/>
      </w:r>
      <w:r w:rsidR="00842FF2">
        <w:rPr>
          <w:sz w:val="24"/>
          <w:lang w:val="lt-LT"/>
        </w:rPr>
        <w:t>1.</w:t>
      </w:r>
      <w:r w:rsidR="00CC1734">
        <w:rPr>
          <w:sz w:val="24"/>
          <w:lang w:val="lt-LT"/>
        </w:rPr>
        <w:t>6</w:t>
      </w:r>
      <w:r w:rsidRPr="00003559">
        <w:rPr>
          <w:sz w:val="24"/>
          <w:lang w:val="lt-LT"/>
        </w:rPr>
        <w:t>. pakeičiu darbo apmokėjimo sistemos 2 priedą ir jį išdėstau taip:</w:t>
      </w:r>
    </w:p>
    <w:p w:rsidR="00E9668B" w:rsidRPr="00003559" w:rsidRDefault="00E9668B" w:rsidP="00E9668B">
      <w:pPr>
        <w:jc w:val="both"/>
        <w:rPr>
          <w:sz w:val="24"/>
          <w:lang w:val="lt-LT"/>
        </w:rPr>
      </w:pPr>
      <w:r w:rsidRPr="00003559">
        <w:rPr>
          <w:rFonts w:eastAsia="Calibri"/>
          <w:sz w:val="24"/>
          <w:lang w:val="lt-LT" w:eastAsia="en-US" w:bidi="ar-SA"/>
        </w:rPr>
        <w:t xml:space="preserve">                   </w:t>
      </w:r>
    </w:p>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ab/>
      </w:r>
      <w:r w:rsidRPr="00003559">
        <w:rPr>
          <w:rFonts w:eastAsia="Calibri"/>
          <w:sz w:val="24"/>
          <w:lang w:val="lt-LT" w:eastAsia="en-US" w:bidi="ar-SA"/>
        </w:rPr>
        <w:tab/>
      </w:r>
      <w:r w:rsidRPr="00003559">
        <w:rPr>
          <w:rFonts w:eastAsia="Calibri"/>
          <w:sz w:val="24"/>
          <w:lang w:val="lt-LT" w:eastAsia="en-US" w:bidi="ar-SA"/>
        </w:rPr>
        <w:tab/>
      </w:r>
      <w:r w:rsidRPr="00003559">
        <w:rPr>
          <w:rFonts w:eastAsia="Calibri"/>
          <w:sz w:val="24"/>
          <w:lang w:val="lt-LT" w:eastAsia="en-US" w:bidi="ar-SA"/>
        </w:rPr>
        <w:tab/>
        <w:t xml:space="preserve">                                „Savivaldybės administracijos darbuotojų, </w:t>
      </w:r>
    </w:p>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 xml:space="preserve">                                                    </w:t>
      </w:r>
      <w:r w:rsidRPr="00003559">
        <w:rPr>
          <w:rFonts w:eastAsia="Calibri"/>
          <w:sz w:val="24"/>
          <w:lang w:val="lt-LT" w:eastAsia="en-US" w:bidi="ar-SA"/>
        </w:rPr>
        <w:tab/>
        <w:t xml:space="preserve">   dirbančių pagal darbo sutartis, </w:t>
      </w:r>
    </w:p>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 xml:space="preserve">                                                 </w:t>
      </w:r>
      <w:r w:rsidRPr="00003559">
        <w:rPr>
          <w:rFonts w:eastAsia="Calibri"/>
          <w:sz w:val="24"/>
          <w:lang w:val="lt-LT" w:eastAsia="en-US" w:bidi="ar-SA"/>
        </w:rPr>
        <w:tab/>
        <w:t xml:space="preserve">darbo apmokėjimo sistemos </w:t>
      </w:r>
    </w:p>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 xml:space="preserve">                  </w:t>
      </w:r>
      <w:r w:rsidRPr="00003559">
        <w:rPr>
          <w:rFonts w:eastAsia="Calibri"/>
          <w:sz w:val="24"/>
          <w:lang w:val="lt-LT" w:eastAsia="en-US" w:bidi="ar-SA"/>
        </w:rPr>
        <w:tab/>
        <w:t xml:space="preserve">      2 priedas</w:t>
      </w:r>
    </w:p>
    <w:p w:rsidR="00E9668B" w:rsidRPr="00003559" w:rsidRDefault="00E9668B" w:rsidP="00E9668B">
      <w:pPr>
        <w:suppressAutoHyphens w:val="0"/>
        <w:spacing w:line="360" w:lineRule="auto"/>
        <w:rPr>
          <w:rFonts w:eastAsia="Calibri"/>
          <w:sz w:val="24"/>
          <w:szCs w:val="24"/>
          <w:lang w:val="lt-LT" w:eastAsia="en-US" w:bidi="ar-SA"/>
        </w:rPr>
      </w:pPr>
    </w:p>
    <w:p w:rsidR="00E9668B" w:rsidRPr="00003559" w:rsidRDefault="00E9668B" w:rsidP="00E9668B">
      <w:pPr>
        <w:suppressAutoHyphens w:val="0"/>
        <w:jc w:val="center"/>
        <w:rPr>
          <w:rFonts w:eastAsia="Calibri"/>
          <w:sz w:val="24"/>
          <w:lang w:val="lt-LT" w:eastAsia="en-US" w:bidi="ar-SA"/>
        </w:rPr>
      </w:pPr>
      <w:r w:rsidRPr="00003559">
        <w:rPr>
          <w:rFonts w:eastAsia="Calibri"/>
          <w:b/>
          <w:sz w:val="24"/>
          <w:lang w:val="lt-LT" w:eastAsia="en-US" w:bidi="ar-SA"/>
        </w:rPr>
        <w:t>KVALIFIKUOTŲ DARBUOTOJŲ PAREIGINĖS ALGOS PASTOVIOSIOS DALIES KOEFICIENTAI</w:t>
      </w:r>
    </w:p>
    <w:p w:rsidR="00E9668B" w:rsidRPr="00003559" w:rsidRDefault="00E9668B" w:rsidP="00E9668B">
      <w:pPr>
        <w:suppressAutoHyphens w:val="0"/>
        <w:jc w:val="both"/>
        <w:rPr>
          <w:rFonts w:eastAsia="Calibri"/>
          <w:sz w:val="24"/>
          <w:lang w:val="lt-LT"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12"/>
        <w:gridCol w:w="1923"/>
        <w:gridCol w:w="1923"/>
        <w:gridCol w:w="1923"/>
      </w:tblGrid>
      <w:tr w:rsidR="00E9668B" w:rsidRPr="00003559" w:rsidTr="00A91875">
        <w:tc>
          <w:tcPr>
            <w:tcW w:w="1947" w:type="dxa"/>
            <w:vMerge w:val="restart"/>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Pareigybės lygis</w:t>
            </w:r>
          </w:p>
        </w:tc>
        <w:tc>
          <w:tcPr>
            <w:tcW w:w="7681" w:type="dxa"/>
            <w:gridSpan w:val="4"/>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Pastoviosios dalies koeficientai (pareiginės algos baziniais dydžiais)</w:t>
            </w:r>
          </w:p>
        </w:tc>
      </w:tr>
      <w:tr w:rsidR="00E9668B" w:rsidRPr="00003559" w:rsidTr="00A91875">
        <w:tc>
          <w:tcPr>
            <w:tcW w:w="1947" w:type="dxa"/>
            <w:vMerge/>
            <w:shd w:val="clear" w:color="auto" w:fill="auto"/>
            <w:vAlign w:val="center"/>
          </w:tcPr>
          <w:p w:rsidR="00E9668B" w:rsidRPr="00003559" w:rsidRDefault="00E9668B" w:rsidP="00E9668B">
            <w:pPr>
              <w:suppressAutoHyphens w:val="0"/>
              <w:jc w:val="center"/>
              <w:rPr>
                <w:rFonts w:eastAsia="Calibri"/>
                <w:sz w:val="24"/>
                <w:lang w:val="lt-LT" w:eastAsia="en-US" w:bidi="ar-SA"/>
              </w:rPr>
            </w:pPr>
          </w:p>
        </w:tc>
        <w:tc>
          <w:tcPr>
            <w:tcW w:w="7681" w:type="dxa"/>
            <w:gridSpan w:val="4"/>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profesinio darbo patirtis (metais)</w:t>
            </w:r>
          </w:p>
        </w:tc>
      </w:tr>
      <w:tr w:rsidR="00E9668B" w:rsidRPr="00003559" w:rsidTr="00A91875">
        <w:tc>
          <w:tcPr>
            <w:tcW w:w="1947" w:type="dxa"/>
            <w:vMerge/>
            <w:shd w:val="clear" w:color="auto" w:fill="auto"/>
            <w:vAlign w:val="center"/>
          </w:tcPr>
          <w:p w:rsidR="00E9668B" w:rsidRPr="00003559" w:rsidRDefault="00E9668B" w:rsidP="00E9668B">
            <w:pPr>
              <w:suppressAutoHyphens w:val="0"/>
              <w:jc w:val="center"/>
              <w:rPr>
                <w:rFonts w:eastAsia="Calibri"/>
                <w:sz w:val="24"/>
                <w:lang w:val="lt-LT" w:eastAsia="en-US" w:bidi="ar-SA"/>
              </w:rPr>
            </w:pPr>
          </w:p>
        </w:tc>
        <w:tc>
          <w:tcPr>
            <w:tcW w:w="1912" w:type="dxa"/>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iki 2</w:t>
            </w:r>
          </w:p>
        </w:tc>
        <w:tc>
          <w:tcPr>
            <w:tcW w:w="1923" w:type="dxa"/>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nuo daugiau kaip 2 iki 5</w:t>
            </w:r>
          </w:p>
        </w:tc>
        <w:tc>
          <w:tcPr>
            <w:tcW w:w="1923" w:type="dxa"/>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nuo daugiau kaip 5 iki 10</w:t>
            </w:r>
          </w:p>
        </w:tc>
        <w:tc>
          <w:tcPr>
            <w:tcW w:w="1923" w:type="dxa"/>
            <w:shd w:val="clear" w:color="auto" w:fill="auto"/>
            <w:vAlign w:val="center"/>
          </w:tcPr>
          <w:p w:rsidR="00E9668B" w:rsidRPr="00003559" w:rsidRDefault="00E9668B" w:rsidP="00E9668B">
            <w:pPr>
              <w:suppressAutoHyphens w:val="0"/>
              <w:jc w:val="center"/>
              <w:rPr>
                <w:rFonts w:eastAsia="Calibri"/>
                <w:sz w:val="24"/>
                <w:lang w:val="lt-LT" w:eastAsia="en-US" w:bidi="ar-SA"/>
              </w:rPr>
            </w:pPr>
            <w:r w:rsidRPr="00003559">
              <w:rPr>
                <w:rFonts w:eastAsia="Calibri"/>
                <w:sz w:val="24"/>
                <w:lang w:val="lt-LT" w:eastAsia="en-US" w:bidi="ar-SA"/>
              </w:rPr>
              <w:t>daugiau kaip 10</w:t>
            </w:r>
          </w:p>
        </w:tc>
      </w:tr>
      <w:tr w:rsidR="00E9668B" w:rsidRPr="00003559" w:rsidTr="00A91875">
        <w:tc>
          <w:tcPr>
            <w:tcW w:w="1947" w:type="dxa"/>
            <w:shd w:val="clear" w:color="auto" w:fill="auto"/>
            <w:vAlign w:val="center"/>
          </w:tcPr>
          <w:p w:rsidR="00E9668B" w:rsidRPr="00003559" w:rsidRDefault="00E9668B" w:rsidP="00E9668B">
            <w:pPr>
              <w:suppressAutoHyphens w:val="0"/>
              <w:jc w:val="center"/>
              <w:rPr>
                <w:rFonts w:eastAsia="Calibri"/>
                <w:b/>
                <w:sz w:val="24"/>
                <w:lang w:val="lt-LT" w:eastAsia="en-US" w:bidi="ar-SA"/>
              </w:rPr>
            </w:pPr>
            <w:r w:rsidRPr="00003559">
              <w:rPr>
                <w:rFonts w:eastAsia="Calibri"/>
                <w:b/>
                <w:sz w:val="24"/>
                <w:lang w:val="lt-LT" w:eastAsia="en-US" w:bidi="ar-SA"/>
              </w:rPr>
              <w:t>C lygis</w:t>
            </w:r>
          </w:p>
        </w:tc>
        <w:tc>
          <w:tcPr>
            <w:tcW w:w="1912" w:type="dxa"/>
            <w:shd w:val="clear" w:color="auto" w:fill="auto"/>
            <w:vAlign w:val="center"/>
          </w:tcPr>
          <w:p w:rsidR="00E9668B" w:rsidRPr="00003559" w:rsidRDefault="0069016B" w:rsidP="00E9668B">
            <w:pPr>
              <w:suppressAutoHyphens w:val="0"/>
              <w:jc w:val="center"/>
              <w:rPr>
                <w:rFonts w:eastAsia="Calibri"/>
                <w:b/>
                <w:sz w:val="24"/>
                <w:lang w:val="lt-LT" w:eastAsia="en-US" w:bidi="ar-SA"/>
              </w:rPr>
            </w:pPr>
            <w:r>
              <w:rPr>
                <w:rFonts w:eastAsia="Calibri"/>
                <w:b/>
                <w:sz w:val="24"/>
                <w:lang w:val="lt-LT" w:eastAsia="en-US" w:bidi="ar-SA"/>
              </w:rPr>
              <w:t>5,1–6,7</w:t>
            </w:r>
          </w:p>
        </w:tc>
        <w:tc>
          <w:tcPr>
            <w:tcW w:w="1923" w:type="dxa"/>
            <w:shd w:val="clear" w:color="auto" w:fill="auto"/>
            <w:vAlign w:val="center"/>
          </w:tcPr>
          <w:p w:rsidR="00E9668B" w:rsidRPr="00003559" w:rsidRDefault="0069016B" w:rsidP="00E9668B">
            <w:pPr>
              <w:suppressAutoHyphens w:val="0"/>
              <w:jc w:val="center"/>
              <w:rPr>
                <w:rFonts w:eastAsia="Calibri"/>
                <w:b/>
                <w:sz w:val="24"/>
                <w:lang w:val="lt-LT" w:eastAsia="en-US" w:bidi="ar-SA"/>
              </w:rPr>
            </w:pPr>
            <w:r>
              <w:rPr>
                <w:rFonts w:eastAsia="Calibri"/>
                <w:b/>
                <w:sz w:val="24"/>
                <w:lang w:val="lt-LT" w:eastAsia="en-US" w:bidi="ar-SA"/>
              </w:rPr>
              <w:t>5,2–7,1</w:t>
            </w:r>
          </w:p>
        </w:tc>
        <w:tc>
          <w:tcPr>
            <w:tcW w:w="1923" w:type="dxa"/>
            <w:shd w:val="clear" w:color="auto" w:fill="auto"/>
            <w:vAlign w:val="center"/>
          </w:tcPr>
          <w:p w:rsidR="00E9668B" w:rsidRPr="00003559" w:rsidRDefault="0069016B" w:rsidP="00E9668B">
            <w:pPr>
              <w:suppressAutoHyphens w:val="0"/>
              <w:jc w:val="center"/>
              <w:rPr>
                <w:rFonts w:eastAsia="Calibri"/>
                <w:b/>
                <w:sz w:val="24"/>
                <w:lang w:val="lt-LT" w:eastAsia="en-US" w:bidi="ar-SA"/>
              </w:rPr>
            </w:pPr>
            <w:r>
              <w:rPr>
                <w:rFonts w:eastAsia="Calibri"/>
                <w:b/>
                <w:sz w:val="24"/>
                <w:lang w:val="lt-LT" w:eastAsia="en-US" w:bidi="ar-SA"/>
              </w:rPr>
              <w:t>5,3–7,5</w:t>
            </w:r>
          </w:p>
        </w:tc>
        <w:tc>
          <w:tcPr>
            <w:tcW w:w="1923" w:type="dxa"/>
            <w:shd w:val="clear" w:color="auto" w:fill="auto"/>
            <w:vAlign w:val="center"/>
          </w:tcPr>
          <w:p w:rsidR="00E9668B" w:rsidRPr="00003559" w:rsidRDefault="0069016B" w:rsidP="00E9668B">
            <w:pPr>
              <w:suppressAutoHyphens w:val="0"/>
              <w:jc w:val="center"/>
              <w:rPr>
                <w:rFonts w:eastAsia="Calibri"/>
                <w:b/>
                <w:sz w:val="24"/>
                <w:lang w:val="lt-LT" w:eastAsia="en-US" w:bidi="ar-SA"/>
              </w:rPr>
            </w:pPr>
            <w:r>
              <w:rPr>
                <w:rFonts w:eastAsia="Calibri"/>
                <w:b/>
                <w:sz w:val="24"/>
                <w:lang w:val="lt-LT" w:eastAsia="en-US" w:bidi="ar-SA"/>
              </w:rPr>
              <w:t>5,4–8,0</w:t>
            </w:r>
          </w:p>
        </w:tc>
      </w:tr>
      <w:tr w:rsidR="00E9668B" w:rsidRPr="00003559" w:rsidTr="00A91875">
        <w:tc>
          <w:tcPr>
            <w:tcW w:w="1947"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Vairuotojas</w:t>
            </w:r>
          </w:p>
        </w:tc>
        <w:tc>
          <w:tcPr>
            <w:tcW w:w="1912"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5,3–6,7</w:t>
            </w:r>
          </w:p>
        </w:tc>
        <w:tc>
          <w:tcPr>
            <w:tcW w:w="1923"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5,5–7,1</w:t>
            </w:r>
          </w:p>
        </w:tc>
        <w:tc>
          <w:tcPr>
            <w:tcW w:w="1923"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5,8–7,5</w:t>
            </w:r>
          </w:p>
        </w:tc>
        <w:tc>
          <w:tcPr>
            <w:tcW w:w="1923" w:type="dxa"/>
            <w:shd w:val="clear" w:color="auto" w:fill="auto"/>
            <w:vAlign w:val="center"/>
          </w:tcPr>
          <w:p w:rsidR="00E9668B" w:rsidRPr="00003559" w:rsidRDefault="008A7F0E" w:rsidP="00A76216">
            <w:pPr>
              <w:suppressAutoHyphens w:val="0"/>
              <w:jc w:val="center"/>
              <w:rPr>
                <w:rFonts w:eastAsia="Calibri"/>
                <w:sz w:val="24"/>
                <w:lang w:val="lt-LT" w:eastAsia="en-US" w:bidi="ar-SA"/>
              </w:rPr>
            </w:pPr>
            <w:r>
              <w:rPr>
                <w:rFonts w:eastAsia="Calibri"/>
                <w:sz w:val="24"/>
                <w:lang w:val="lt-LT" w:eastAsia="en-US" w:bidi="ar-SA"/>
              </w:rPr>
              <w:t>6,0–8,0</w:t>
            </w:r>
          </w:p>
        </w:tc>
      </w:tr>
      <w:tr w:rsidR="00E9668B" w:rsidRPr="00003559" w:rsidTr="00A91875">
        <w:tc>
          <w:tcPr>
            <w:tcW w:w="1947"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Vairuotojas-darbininkas</w:t>
            </w:r>
          </w:p>
        </w:tc>
        <w:tc>
          <w:tcPr>
            <w:tcW w:w="1912"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5,3–6,7</w:t>
            </w:r>
          </w:p>
        </w:tc>
        <w:tc>
          <w:tcPr>
            <w:tcW w:w="1923"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5,5–7,1</w:t>
            </w:r>
          </w:p>
        </w:tc>
        <w:tc>
          <w:tcPr>
            <w:tcW w:w="1923"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5,8–7,5</w:t>
            </w:r>
          </w:p>
        </w:tc>
        <w:tc>
          <w:tcPr>
            <w:tcW w:w="1923" w:type="dxa"/>
            <w:shd w:val="clear" w:color="auto" w:fill="auto"/>
            <w:vAlign w:val="center"/>
          </w:tcPr>
          <w:p w:rsidR="00E9668B" w:rsidRPr="00003559" w:rsidRDefault="008A7F0E" w:rsidP="00A76216">
            <w:pPr>
              <w:suppressAutoHyphens w:val="0"/>
              <w:jc w:val="center"/>
              <w:rPr>
                <w:rFonts w:eastAsia="Calibri"/>
                <w:sz w:val="24"/>
                <w:lang w:val="lt-LT" w:eastAsia="en-US" w:bidi="ar-SA"/>
              </w:rPr>
            </w:pPr>
            <w:r>
              <w:rPr>
                <w:rFonts w:eastAsia="Calibri"/>
                <w:sz w:val="24"/>
                <w:lang w:val="lt-LT" w:eastAsia="en-US" w:bidi="ar-SA"/>
              </w:rPr>
              <w:t>6,0–8,0</w:t>
            </w:r>
          </w:p>
        </w:tc>
      </w:tr>
      <w:tr w:rsidR="00E9668B" w:rsidRPr="00003559" w:rsidTr="00A91875">
        <w:tc>
          <w:tcPr>
            <w:tcW w:w="1947"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Patalpų valytojas</w:t>
            </w:r>
          </w:p>
        </w:tc>
        <w:tc>
          <w:tcPr>
            <w:tcW w:w="1912"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5,1–6,7</w:t>
            </w:r>
          </w:p>
        </w:tc>
        <w:tc>
          <w:tcPr>
            <w:tcW w:w="1923"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5,2–7,1</w:t>
            </w:r>
          </w:p>
        </w:tc>
        <w:tc>
          <w:tcPr>
            <w:tcW w:w="1923"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5,3–7,5</w:t>
            </w:r>
          </w:p>
        </w:tc>
        <w:tc>
          <w:tcPr>
            <w:tcW w:w="1923" w:type="dxa"/>
            <w:shd w:val="clear" w:color="auto" w:fill="auto"/>
            <w:vAlign w:val="center"/>
          </w:tcPr>
          <w:p w:rsidR="00E9668B" w:rsidRPr="00003559" w:rsidRDefault="00240A70" w:rsidP="00A76216">
            <w:pPr>
              <w:suppressAutoHyphens w:val="0"/>
              <w:jc w:val="center"/>
              <w:rPr>
                <w:rFonts w:eastAsia="Calibri"/>
                <w:sz w:val="24"/>
                <w:lang w:val="lt-LT" w:eastAsia="en-US" w:bidi="ar-SA"/>
              </w:rPr>
            </w:pPr>
            <w:r>
              <w:rPr>
                <w:rFonts w:eastAsia="Calibri"/>
                <w:sz w:val="24"/>
                <w:lang w:val="lt-LT" w:eastAsia="en-US" w:bidi="ar-SA"/>
              </w:rPr>
              <w:t>5,4–8,0</w:t>
            </w:r>
          </w:p>
        </w:tc>
      </w:tr>
      <w:tr w:rsidR="00E9668B" w:rsidRPr="00003559" w:rsidTr="00A91875">
        <w:tc>
          <w:tcPr>
            <w:tcW w:w="1947"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Kiemsargis</w:t>
            </w:r>
          </w:p>
        </w:tc>
        <w:tc>
          <w:tcPr>
            <w:tcW w:w="1912"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5,1–6,7</w:t>
            </w:r>
          </w:p>
        </w:tc>
        <w:tc>
          <w:tcPr>
            <w:tcW w:w="1923"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5,2–7,1</w:t>
            </w:r>
          </w:p>
        </w:tc>
        <w:tc>
          <w:tcPr>
            <w:tcW w:w="1923"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5,3–7,5</w:t>
            </w:r>
          </w:p>
        </w:tc>
        <w:tc>
          <w:tcPr>
            <w:tcW w:w="1923" w:type="dxa"/>
            <w:shd w:val="clear" w:color="auto" w:fill="auto"/>
            <w:vAlign w:val="center"/>
          </w:tcPr>
          <w:p w:rsidR="00E9668B" w:rsidRPr="00003559" w:rsidRDefault="00240A70" w:rsidP="00A76216">
            <w:pPr>
              <w:suppressAutoHyphens w:val="0"/>
              <w:jc w:val="center"/>
              <w:rPr>
                <w:rFonts w:eastAsia="Calibri"/>
                <w:sz w:val="24"/>
                <w:lang w:val="lt-LT" w:eastAsia="en-US" w:bidi="ar-SA"/>
              </w:rPr>
            </w:pPr>
            <w:r>
              <w:rPr>
                <w:rFonts w:eastAsia="Calibri"/>
                <w:sz w:val="24"/>
                <w:lang w:val="lt-LT" w:eastAsia="en-US" w:bidi="ar-SA"/>
              </w:rPr>
              <w:t>5,4–8,0</w:t>
            </w:r>
          </w:p>
        </w:tc>
      </w:tr>
      <w:tr w:rsidR="00E9668B" w:rsidRPr="00003559" w:rsidTr="00A91875">
        <w:tc>
          <w:tcPr>
            <w:tcW w:w="1947"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Darbininkas</w:t>
            </w:r>
          </w:p>
        </w:tc>
        <w:tc>
          <w:tcPr>
            <w:tcW w:w="1912"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5,1–6,7</w:t>
            </w:r>
          </w:p>
        </w:tc>
        <w:tc>
          <w:tcPr>
            <w:tcW w:w="1923"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5,2–7,1</w:t>
            </w:r>
          </w:p>
        </w:tc>
        <w:tc>
          <w:tcPr>
            <w:tcW w:w="1923" w:type="dxa"/>
            <w:shd w:val="clear" w:color="auto" w:fill="auto"/>
            <w:vAlign w:val="center"/>
          </w:tcPr>
          <w:p w:rsidR="00E9668B" w:rsidRPr="00003559" w:rsidRDefault="008A7F0E" w:rsidP="00EA162B">
            <w:pPr>
              <w:suppressAutoHyphens w:val="0"/>
              <w:jc w:val="center"/>
              <w:rPr>
                <w:rFonts w:eastAsia="Calibri"/>
                <w:sz w:val="24"/>
                <w:lang w:val="lt-LT" w:eastAsia="en-US" w:bidi="ar-SA"/>
              </w:rPr>
            </w:pPr>
            <w:r>
              <w:rPr>
                <w:rFonts w:eastAsia="Calibri"/>
                <w:sz w:val="24"/>
                <w:lang w:val="lt-LT" w:eastAsia="en-US" w:bidi="ar-SA"/>
              </w:rPr>
              <w:t>5,3–7,5</w:t>
            </w:r>
          </w:p>
        </w:tc>
        <w:tc>
          <w:tcPr>
            <w:tcW w:w="1923" w:type="dxa"/>
            <w:shd w:val="clear" w:color="auto" w:fill="auto"/>
            <w:vAlign w:val="center"/>
          </w:tcPr>
          <w:p w:rsidR="00E9668B" w:rsidRPr="00003559" w:rsidRDefault="008A7F0E" w:rsidP="00A76216">
            <w:pPr>
              <w:suppressAutoHyphens w:val="0"/>
              <w:jc w:val="center"/>
              <w:rPr>
                <w:rFonts w:eastAsia="Calibri"/>
                <w:sz w:val="24"/>
                <w:lang w:val="lt-LT" w:eastAsia="en-US" w:bidi="ar-SA"/>
              </w:rPr>
            </w:pPr>
            <w:r>
              <w:rPr>
                <w:rFonts w:eastAsia="Calibri"/>
                <w:sz w:val="24"/>
                <w:lang w:val="lt-LT" w:eastAsia="en-US" w:bidi="ar-SA"/>
              </w:rPr>
              <w:t>5,4–8,0</w:t>
            </w:r>
          </w:p>
        </w:tc>
      </w:tr>
      <w:tr w:rsidR="00E9668B" w:rsidRPr="00003559" w:rsidTr="00A91875">
        <w:tc>
          <w:tcPr>
            <w:tcW w:w="1947"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Budėtojas-rūbininkas</w:t>
            </w:r>
          </w:p>
        </w:tc>
        <w:tc>
          <w:tcPr>
            <w:tcW w:w="1912"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5,1–6,7</w:t>
            </w:r>
          </w:p>
        </w:tc>
        <w:tc>
          <w:tcPr>
            <w:tcW w:w="1923"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5,2–7,1</w:t>
            </w:r>
          </w:p>
        </w:tc>
        <w:tc>
          <w:tcPr>
            <w:tcW w:w="1923" w:type="dxa"/>
            <w:shd w:val="clear" w:color="auto" w:fill="auto"/>
            <w:vAlign w:val="center"/>
          </w:tcPr>
          <w:p w:rsidR="00E9668B" w:rsidRPr="00003559" w:rsidRDefault="00240A70" w:rsidP="00EA162B">
            <w:pPr>
              <w:suppressAutoHyphens w:val="0"/>
              <w:jc w:val="center"/>
              <w:rPr>
                <w:rFonts w:eastAsia="Calibri"/>
                <w:sz w:val="24"/>
                <w:lang w:val="lt-LT" w:eastAsia="en-US" w:bidi="ar-SA"/>
              </w:rPr>
            </w:pPr>
            <w:r>
              <w:rPr>
                <w:rFonts w:eastAsia="Calibri"/>
                <w:sz w:val="24"/>
                <w:lang w:val="lt-LT" w:eastAsia="en-US" w:bidi="ar-SA"/>
              </w:rPr>
              <w:t>5,3–7,5</w:t>
            </w:r>
          </w:p>
        </w:tc>
        <w:tc>
          <w:tcPr>
            <w:tcW w:w="1923" w:type="dxa"/>
            <w:shd w:val="clear" w:color="auto" w:fill="auto"/>
            <w:vAlign w:val="center"/>
          </w:tcPr>
          <w:p w:rsidR="00E9668B" w:rsidRPr="00003559" w:rsidRDefault="00240A70" w:rsidP="00A76216">
            <w:pPr>
              <w:suppressAutoHyphens w:val="0"/>
              <w:jc w:val="center"/>
              <w:rPr>
                <w:rFonts w:eastAsia="Calibri"/>
                <w:sz w:val="24"/>
                <w:lang w:val="lt-LT" w:eastAsia="en-US" w:bidi="ar-SA"/>
              </w:rPr>
            </w:pPr>
            <w:r>
              <w:rPr>
                <w:rFonts w:eastAsia="Calibri"/>
                <w:sz w:val="24"/>
                <w:lang w:val="lt-LT" w:eastAsia="en-US" w:bidi="ar-SA"/>
              </w:rPr>
              <w:t>5,4–8,0</w:t>
            </w:r>
          </w:p>
        </w:tc>
      </w:tr>
      <w:tr w:rsidR="00E9668B" w:rsidRPr="00003559" w:rsidTr="00A91875">
        <w:tc>
          <w:tcPr>
            <w:tcW w:w="1947" w:type="dxa"/>
            <w:shd w:val="clear" w:color="auto" w:fill="auto"/>
            <w:vAlign w:val="center"/>
          </w:tcPr>
          <w:p w:rsidR="00E9668B" w:rsidRPr="00003559" w:rsidRDefault="00E9668B" w:rsidP="00E9668B">
            <w:pPr>
              <w:suppressAutoHyphens w:val="0"/>
              <w:rPr>
                <w:rFonts w:eastAsia="Calibri"/>
                <w:sz w:val="24"/>
                <w:lang w:val="lt-LT" w:eastAsia="en-US" w:bidi="ar-SA"/>
              </w:rPr>
            </w:pPr>
            <w:r w:rsidRPr="00003559">
              <w:rPr>
                <w:rFonts w:eastAsia="Calibri"/>
                <w:sz w:val="24"/>
                <w:lang w:val="lt-LT" w:eastAsia="en-US" w:bidi="ar-SA"/>
              </w:rPr>
              <w:t>Sporto metodininkas</w:t>
            </w:r>
          </w:p>
        </w:tc>
        <w:tc>
          <w:tcPr>
            <w:tcW w:w="1912" w:type="dxa"/>
            <w:shd w:val="clear" w:color="auto" w:fill="auto"/>
            <w:vAlign w:val="center"/>
          </w:tcPr>
          <w:p w:rsidR="00E9668B" w:rsidRPr="00003559" w:rsidRDefault="007154CD" w:rsidP="00EA162B">
            <w:pPr>
              <w:suppressAutoHyphens w:val="0"/>
              <w:jc w:val="center"/>
              <w:rPr>
                <w:rFonts w:eastAsia="Calibri"/>
                <w:sz w:val="24"/>
                <w:lang w:val="lt-LT" w:eastAsia="en-US" w:bidi="ar-SA"/>
              </w:rPr>
            </w:pPr>
            <w:r>
              <w:rPr>
                <w:rFonts w:eastAsia="Calibri"/>
                <w:sz w:val="24"/>
                <w:lang w:val="lt-LT" w:eastAsia="en-US" w:bidi="ar-SA"/>
              </w:rPr>
              <w:t>5,1–6,7</w:t>
            </w:r>
          </w:p>
        </w:tc>
        <w:tc>
          <w:tcPr>
            <w:tcW w:w="1923" w:type="dxa"/>
            <w:shd w:val="clear" w:color="auto" w:fill="auto"/>
            <w:vAlign w:val="center"/>
          </w:tcPr>
          <w:p w:rsidR="00E9668B" w:rsidRPr="00003559" w:rsidRDefault="007154CD" w:rsidP="00EA162B">
            <w:pPr>
              <w:suppressAutoHyphens w:val="0"/>
              <w:jc w:val="center"/>
              <w:rPr>
                <w:rFonts w:eastAsia="Calibri"/>
                <w:sz w:val="24"/>
                <w:lang w:val="lt-LT" w:eastAsia="en-US" w:bidi="ar-SA"/>
              </w:rPr>
            </w:pPr>
            <w:r>
              <w:rPr>
                <w:rFonts w:eastAsia="Calibri"/>
                <w:sz w:val="24"/>
                <w:lang w:val="lt-LT" w:eastAsia="en-US" w:bidi="ar-SA"/>
              </w:rPr>
              <w:t>5,2–7,1</w:t>
            </w:r>
          </w:p>
        </w:tc>
        <w:tc>
          <w:tcPr>
            <w:tcW w:w="1923" w:type="dxa"/>
            <w:shd w:val="clear" w:color="auto" w:fill="auto"/>
            <w:vAlign w:val="center"/>
          </w:tcPr>
          <w:p w:rsidR="00E9668B" w:rsidRPr="00003559" w:rsidRDefault="007154CD" w:rsidP="00EA162B">
            <w:pPr>
              <w:suppressAutoHyphens w:val="0"/>
              <w:jc w:val="center"/>
              <w:rPr>
                <w:rFonts w:eastAsia="Calibri"/>
                <w:sz w:val="24"/>
                <w:lang w:val="lt-LT" w:eastAsia="en-US" w:bidi="ar-SA"/>
              </w:rPr>
            </w:pPr>
            <w:r>
              <w:rPr>
                <w:rFonts w:eastAsia="Calibri"/>
                <w:sz w:val="24"/>
                <w:lang w:val="lt-LT" w:eastAsia="en-US" w:bidi="ar-SA"/>
              </w:rPr>
              <w:t>5,3–7,5</w:t>
            </w:r>
          </w:p>
        </w:tc>
        <w:tc>
          <w:tcPr>
            <w:tcW w:w="1923" w:type="dxa"/>
            <w:shd w:val="clear" w:color="auto" w:fill="auto"/>
            <w:vAlign w:val="center"/>
          </w:tcPr>
          <w:p w:rsidR="00E9668B" w:rsidRPr="00003559" w:rsidRDefault="007154CD" w:rsidP="00A76216">
            <w:pPr>
              <w:suppressAutoHyphens w:val="0"/>
              <w:jc w:val="center"/>
              <w:rPr>
                <w:rFonts w:eastAsia="Calibri"/>
                <w:sz w:val="24"/>
                <w:lang w:val="lt-LT" w:eastAsia="en-US" w:bidi="ar-SA"/>
              </w:rPr>
            </w:pPr>
            <w:r>
              <w:rPr>
                <w:rFonts w:eastAsia="Calibri"/>
                <w:sz w:val="24"/>
                <w:lang w:val="lt-LT" w:eastAsia="en-US" w:bidi="ar-SA"/>
              </w:rPr>
              <w:t>5,4–8,0</w:t>
            </w:r>
            <w:r w:rsidR="00E9668B" w:rsidRPr="00003559">
              <w:rPr>
                <w:rFonts w:eastAsia="Calibri"/>
                <w:sz w:val="24"/>
                <w:lang w:val="lt-LT" w:eastAsia="en-US" w:bidi="ar-SA"/>
              </w:rPr>
              <w:t>“</w:t>
            </w:r>
            <w:r w:rsidR="00C35766">
              <w:rPr>
                <w:rFonts w:eastAsia="Calibri"/>
                <w:sz w:val="24"/>
                <w:lang w:val="lt-LT" w:eastAsia="en-US" w:bidi="ar-SA"/>
              </w:rPr>
              <w:t>.</w:t>
            </w:r>
          </w:p>
        </w:tc>
      </w:tr>
    </w:tbl>
    <w:p w:rsidR="00E9668B" w:rsidRPr="00003559" w:rsidRDefault="00E9668B" w:rsidP="00E9668B">
      <w:pPr>
        <w:suppressAutoHyphens w:val="0"/>
        <w:jc w:val="both"/>
        <w:rPr>
          <w:rFonts w:eastAsia="Calibri"/>
          <w:sz w:val="24"/>
          <w:lang w:val="lt-LT" w:eastAsia="en-US" w:bidi="ar-SA"/>
        </w:rPr>
      </w:pPr>
    </w:p>
    <w:p w:rsidR="0025414D" w:rsidRPr="00003559" w:rsidRDefault="00842FF2" w:rsidP="00E9668B">
      <w:pPr>
        <w:jc w:val="both"/>
        <w:rPr>
          <w:rFonts w:eastAsia="Calibri"/>
          <w:sz w:val="24"/>
          <w:szCs w:val="24"/>
          <w:lang w:val="lt-LT" w:eastAsia="en-US" w:bidi="ar-SA"/>
        </w:rPr>
      </w:pPr>
      <w:r>
        <w:rPr>
          <w:rFonts w:eastAsia="Calibri"/>
          <w:sz w:val="24"/>
          <w:szCs w:val="24"/>
          <w:lang w:val="lt-LT" w:eastAsia="en-US" w:bidi="ar-SA"/>
        </w:rPr>
        <w:t xml:space="preserve"> </w:t>
      </w:r>
      <w:r>
        <w:rPr>
          <w:rFonts w:eastAsia="Calibri"/>
          <w:sz w:val="24"/>
          <w:szCs w:val="24"/>
          <w:lang w:val="lt-LT" w:eastAsia="en-US" w:bidi="ar-SA"/>
        </w:rPr>
        <w:tab/>
        <w:t>2</w:t>
      </w:r>
      <w:r w:rsidR="00896EDF">
        <w:rPr>
          <w:rFonts w:eastAsia="Calibri"/>
          <w:sz w:val="24"/>
          <w:szCs w:val="24"/>
          <w:lang w:val="lt-LT" w:eastAsia="en-US" w:bidi="ar-SA"/>
        </w:rPr>
        <w:t xml:space="preserve">. </w:t>
      </w:r>
      <w:r w:rsidR="005D3BC1">
        <w:rPr>
          <w:rFonts w:eastAsia="Calibri"/>
          <w:sz w:val="24"/>
          <w:szCs w:val="24"/>
          <w:lang w:val="lt-LT" w:eastAsia="en-US" w:bidi="ar-SA"/>
        </w:rPr>
        <w:t>Įsakymas</w:t>
      </w:r>
      <w:r w:rsidR="0069016B">
        <w:rPr>
          <w:rFonts w:eastAsia="Calibri"/>
          <w:sz w:val="24"/>
          <w:szCs w:val="24"/>
          <w:lang w:val="lt-LT" w:eastAsia="en-US" w:bidi="ar-SA"/>
        </w:rPr>
        <w:t xml:space="preserve"> įsigalioja 2023</w:t>
      </w:r>
      <w:r>
        <w:rPr>
          <w:rFonts w:eastAsia="Calibri"/>
          <w:sz w:val="24"/>
          <w:szCs w:val="24"/>
          <w:lang w:val="lt-LT" w:eastAsia="en-US" w:bidi="ar-SA"/>
        </w:rPr>
        <w:t xml:space="preserve"> m. sausio 1 d.</w:t>
      </w:r>
    </w:p>
    <w:p w:rsidR="00E9668B" w:rsidRPr="00003559" w:rsidRDefault="00E9668B" w:rsidP="00E9668B">
      <w:pPr>
        <w:jc w:val="both"/>
        <w:rPr>
          <w:rFonts w:eastAsia="Calibri"/>
          <w:sz w:val="24"/>
          <w:szCs w:val="24"/>
          <w:lang w:val="lt-LT" w:eastAsia="en-US" w:bidi="ar-SA"/>
        </w:rPr>
      </w:pPr>
    </w:p>
    <w:p w:rsidR="00E9668B" w:rsidRPr="00003559" w:rsidRDefault="00E9668B" w:rsidP="00E9668B">
      <w:pPr>
        <w:jc w:val="both"/>
        <w:rPr>
          <w:sz w:val="24"/>
          <w:lang w:val="lt-LT"/>
        </w:rPr>
      </w:pPr>
    </w:p>
    <w:p w:rsidR="0025414D" w:rsidRPr="00003559" w:rsidRDefault="0025414D" w:rsidP="0025414D">
      <w:pPr>
        <w:jc w:val="both"/>
        <w:rPr>
          <w:sz w:val="24"/>
          <w:szCs w:val="24"/>
          <w:lang w:val="lt-LT"/>
        </w:rPr>
      </w:pPr>
      <w:r w:rsidRPr="00003559">
        <w:rPr>
          <w:sz w:val="24"/>
          <w:szCs w:val="24"/>
          <w:lang w:val="lt-LT"/>
        </w:rPr>
        <w:t>Savivaldybės administracijos direktorius</w:t>
      </w:r>
      <w:r w:rsidRPr="00003559">
        <w:rPr>
          <w:sz w:val="24"/>
          <w:szCs w:val="24"/>
          <w:lang w:val="lt-LT"/>
        </w:rPr>
        <w:tab/>
      </w:r>
      <w:r w:rsidRPr="00003559">
        <w:rPr>
          <w:sz w:val="24"/>
          <w:szCs w:val="24"/>
          <w:lang w:val="lt-LT"/>
        </w:rPr>
        <w:tab/>
      </w:r>
      <w:r w:rsidRPr="00003559">
        <w:rPr>
          <w:sz w:val="24"/>
          <w:szCs w:val="24"/>
          <w:lang w:val="lt-LT"/>
        </w:rPr>
        <w:tab/>
      </w:r>
      <w:r w:rsidRPr="00003559">
        <w:rPr>
          <w:sz w:val="24"/>
          <w:szCs w:val="24"/>
          <w:lang w:val="lt-LT"/>
        </w:rPr>
        <w:tab/>
      </w:r>
      <w:r w:rsidRPr="00003559">
        <w:rPr>
          <w:sz w:val="24"/>
          <w:szCs w:val="24"/>
          <w:lang w:val="lt-LT"/>
        </w:rPr>
        <w:tab/>
        <w:t xml:space="preserve">       Eugenijus Lunskis</w:t>
      </w:r>
    </w:p>
    <w:p w:rsidR="0025414D" w:rsidRPr="00003559" w:rsidRDefault="0025414D" w:rsidP="0025414D">
      <w:pPr>
        <w:jc w:val="both"/>
        <w:rPr>
          <w:sz w:val="24"/>
          <w:lang w:val="lt-LT"/>
        </w:rPr>
      </w:pPr>
    </w:p>
    <w:p w:rsidR="0025414D" w:rsidRPr="00003559" w:rsidRDefault="0025414D" w:rsidP="0025414D">
      <w:pPr>
        <w:jc w:val="both"/>
        <w:rPr>
          <w:sz w:val="24"/>
          <w:lang w:val="lt-LT"/>
        </w:rPr>
      </w:pPr>
    </w:p>
    <w:p w:rsidR="0025414D" w:rsidRPr="00003559" w:rsidRDefault="0025414D" w:rsidP="0025414D">
      <w:pPr>
        <w:jc w:val="both"/>
        <w:rPr>
          <w:sz w:val="24"/>
          <w:lang w:val="lt-LT"/>
        </w:rPr>
      </w:pPr>
    </w:p>
    <w:p w:rsidR="0025414D" w:rsidRPr="00003559" w:rsidRDefault="0025414D" w:rsidP="0025414D">
      <w:pPr>
        <w:jc w:val="both"/>
        <w:rPr>
          <w:sz w:val="24"/>
          <w:lang w:val="lt-LT"/>
        </w:rPr>
      </w:pPr>
    </w:p>
    <w:p w:rsidR="0025414D" w:rsidRPr="00003559" w:rsidRDefault="0025414D"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D6039C" w:rsidRDefault="00D6039C" w:rsidP="0025414D">
      <w:pPr>
        <w:jc w:val="both"/>
        <w:rPr>
          <w:sz w:val="24"/>
          <w:lang w:val="lt-LT"/>
        </w:rPr>
      </w:pPr>
    </w:p>
    <w:p w:rsidR="00C35766" w:rsidRDefault="00C35766" w:rsidP="0025414D">
      <w:pPr>
        <w:jc w:val="both"/>
        <w:rPr>
          <w:sz w:val="24"/>
          <w:lang w:val="lt-LT"/>
        </w:rPr>
      </w:pPr>
    </w:p>
    <w:p w:rsidR="00C35766" w:rsidRDefault="00C35766" w:rsidP="0025414D">
      <w:pPr>
        <w:jc w:val="both"/>
        <w:rPr>
          <w:sz w:val="24"/>
          <w:lang w:val="lt-LT"/>
        </w:rPr>
      </w:pPr>
    </w:p>
    <w:p w:rsidR="00C35766" w:rsidRDefault="00C35766" w:rsidP="0025414D">
      <w:pPr>
        <w:jc w:val="both"/>
        <w:rPr>
          <w:sz w:val="24"/>
          <w:lang w:val="lt-LT"/>
        </w:rPr>
      </w:pPr>
    </w:p>
    <w:p w:rsidR="00C35766" w:rsidRDefault="00C35766" w:rsidP="0025414D">
      <w:pPr>
        <w:jc w:val="both"/>
        <w:rPr>
          <w:sz w:val="24"/>
          <w:lang w:val="lt-LT"/>
        </w:rPr>
      </w:pPr>
    </w:p>
    <w:p w:rsidR="00C35766" w:rsidRDefault="00C35766" w:rsidP="0025414D">
      <w:pPr>
        <w:jc w:val="both"/>
        <w:rPr>
          <w:sz w:val="24"/>
          <w:lang w:val="lt-LT"/>
        </w:rPr>
      </w:pPr>
    </w:p>
    <w:p w:rsidR="00D6039C" w:rsidRDefault="00D6039C" w:rsidP="0025414D">
      <w:pPr>
        <w:jc w:val="both"/>
        <w:rPr>
          <w:sz w:val="24"/>
          <w:lang w:val="lt-LT"/>
        </w:rPr>
      </w:pPr>
    </w:p>
    <w:p w:rsidR="00D6039C" w:rsidRPr="00003559" w:rsidRDefault="00D6039C" w:rsidP="0025414D">
      <w:pPr>
        <w:jc w:val="both"/>
        <w:rPr>
          <w:sz w:val="24"/>
          <w:lang w:val="lt-LT"/>
        </w:rPr>
      </w:pPr>
    </w:p>
    <w:p w:rsidR="00B92138" w:rsidRPr="00003559" w:rsidRDefault="00B92138" w:rsidP="0025414D">
      <w:pPr>
        <w:jc w:val="both"/>
        <w:rPr>
          <w:sz w:val="24"/>
          <w:lang w:val="lt-LT"/>
        </w:rPr>
      </w:pPr>
    </w:p>
    <w:p w:rsidR="0025414D" w:rsidRPr="00003559" w:rsidRDefault="0025414D" w:rsidP="0025414D">
      <w:pPr>
        <w:jc w:val="both"/>
        <w:rPr>
          <w:sz w:val="24"/>
          <w:lang w:val="lt-LT"/>
        </w:rPr>
      </w:pPr>
      <w:r w:rsidRPr="00003559">
        <w:rPr>
          <w:sz w:val="24"/>
          <w:lang w:val="lt-LT"/>
        </w:rPr>
        <w:t>Stasė Venslavičienė</w:t>
      </w:r>
    </w:p>
    <w:p w:rsidR="00FB54A8" w:rsidRPr="00003559" w:rsidRDefault="007B6CFD" w:rsidP="00CD342A">
      <w:pPr>
        <w:jc w:val="both"/>
        <w:rPr>
          <w:sz w:val="24"/>
          <w:lang w:val="lt-LT"/>
        </w:rPr>
      </w:pPr>
      <w:r>
        <w:rPr>
          <w:sz w:val="24"/>
          <w:lang w:val="lt-LT"/>
        </w:rPr>
        <w:t>2022-12-28</w:t>
      </w:r>
    </w:p>
    <w:sectPr w:rsidR="00FB54A8" w:rsidRPr="00003559" w:rsidSect="005637B0">
      <w:headerReference w:type="default" r:id="rId8"/>
      <w:headerReference w:type="first" r:id="rId9"/>
      <w:pgSz w:w="11906" w:h="16820"/>
      <w:pgMar w:top="1190" w:right="567" w:bottom="1365"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272" w:rsidRDefault="008C7272">
      <w:r>
        <w:separator/>
      </w:r>
    </w:p>
  </w:endnote>
  <w:endnote w:type="continuationSeparator" w:id="0">
    <w:p w:rsidR="008C7272" w:rsidRDefault="008C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272" w:rsidRDefault="008C7272">
      <w:r>
        <w:separator/>
      </w:r>
    </w:p>
  </w:footnote>
  <w:footnote w:type="continuationSeparator" w:id="0">
    <w:p w:rsidR="008C7272" w:rsidRDefault="008C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FB" w:rsidRPr="005637B0" w:rsidRDefault="00FB54A8" w:rsidP="00FB54A8">
    <w:pPr>
      <w:pStyle w:val="Antrats"/>
      <w:jc w:val="center"/>
    </w:pPr>
    <w:r>
      <w:fldChar w:fldCharType="begin"/>
    </w:r>
    <w:r>
      <w:instrText>PAGE   \* MERGEFORMAT</w:instrText>
    </w:r>
    <w:r>
      <w:fldChar w:fldCharType="separate"/>
    </w:r>
    <w:r w:rsidR="00DD4E76">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B0" w:rsidRDefault="00007760" w:rsidP="005637B0">
    <w:pPr>
      <w:pStyle w:val="Antrats"/>
      <w:jc w:val="center"/>
    </w:pPr>
    <w:r>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5637B0" w:rsidRDefault="005637B0" w:rsidP="005637B0">
    <w:pPr>
      <w:pStyle w:val="Antrats"/>
      <w:jc w:val="center"/>
    </w:pPr>
  </w:p>
  <w:p w:rsidR="005637B0" w:rsidRDefault="005637B0" w:rsidP="005637B0">
    <w:pPr>
      <w:pStyle w:val="Antrats"/>
      <w:jc w:val="center"/>
    </w:pPr>
  </w:p>
  <w:p w:rsidR="005637B0" w:rsidRDefault="005637B0" w:rsidP="005637B0">
    <w:pPr>
      <w:pStyle w:val="Antrats"/>
      <w:jc w:val="center"/>
      <w:rPr>
        <w:b/>
        <w:sz w:val="28"/>
      </w:rPr>
    </w:pPr>
    <w:r>
      <w:rPr>
        <w:b/>
        <w:sz w:val="28"/>
      </w:rPr>
      <w:t>PANEVĖŽIO RAJONO SAVIVALDYBĖS ADMINISTRACIJOS</w:t>
    </w:r>
  </w:p>
  <w:p w:rsidR="005637B0" w:rsidRDefault="005637B0" w:rsidP="005637B0">
    <w:pPr>
      <w:pStyle w:val="Antrats"/>
      <w:jc w:val="center"/>
      <w:rPr>
        <w:b/>
        <w:sz w:val="28"/>
      </w:rPr>
    </w:pPr>
    <w:r>
      <w:rPr>
        <w:b/>
        <w:sz w:val="28"/>
      </w:rPr>
      <w:t>DIREKTORIUS</w:t>
    </w:r>
  </w:p>
  <w:p w:rsidR="005637B0" w:rsidRDefault="005637B0" w:rsidP="005637B0">
    <w:pPr>
      <w:pStyle w:val="Antrats"/>
      <w:jc w:val="center"/>
      <w:rPr>
        <w:b/>
        <w:sz w:val="28"/>
      </w:rPr>
    </w:pPr>
  </w:p>
  <w:p w:rsidR="00686BFB" w:rsidRPr="00CC42C1" w:rsidRDefault="00CC42C1"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00479"/>
    <w:rsid w:val="00003559"/>
    <w:rsid w:val="00004FF8"/>
    <w:rsid w:val="00007760"/>
    <w:rsid w:val="00015D30"/>
    <w:rsid w:val="00021E45"/>
    <w:rsid w:val="00021EC4"/>
    <w:rsid w:val="00032B1B"/>
    <w:rsid w:val="00040CB5"/>
    <w:rsid w:val="0004348B"/>
    <w:rsid w:val="00051229"/>
    <w:rsid w:val="0006723F"/>
    <w:rsid w:val="000823CD"/>
    <w:rsid w:val="000878D7"/>
    <w:rsid w:val="00094712"/>
    <w:rsid w:val="000A14EC"/>
    <w:rsid w:val="000A2CEC"/>
    <w:rsid w:val="000B5B15"/>
    <w:rsid w:val="000D0329"/>
    <w:rsid w:val="000E502E"/>
    <w:rsid w:val="000F06BB"/>
    <w:rsid w:val="00107122"/>
    <w:rsid w:val="001101EF"/>
    <w:rsid w:val="00154C13"/>
    <w:rsid w:val="001906C6"/>
    <w:rsid w:val="0019431D"/>
    <w:rsid w:val="001A6321"/>
    <w:rsid w:val="001B73F9"/>
    <w:rsid w:val="001D5CA1"/>
    <w:rsid w:val="00221F40"/>
    <w:rsid w:val="00227680"/>
    <w:rsid w:val="00231B14"/>
    <w:rsid w:val="00234B4C"/>
    <w:rsid w:val="00237EA8"/>
    <w:rsid w:val="00240A70"/>
    <w:rsid w:val="002411D9"/>
    <w:rsid w:val="0025414D"/>
    <w:rsid w:val="002664D0"/>
    <w:rsid w:val="00274748"/>
    <w:rsid w:val="00275A07"/>
    <w:rsid w:val="00287346"/>
    <w:rsid w:val="002875F2"/>
    <w:rsid w:val="002B2D49"/>
    <w:rsid w:val="002E0FEB"/>
    <w:rsid w:val="002F6997"/>
    <w:rsid w:val="00301356"/>
    <w:rsid w:val="00302F73"/>
    <w:rsid w:val="0031540E"/>
    <w:rsid w:val="00354BC2"/>
    <w:rsid w:val="00367148"/>
    <w:rsid w:val="00370617"/>
    <w:rsid w:val="00371930"/>
    <w:rsid w:val="00390D30"/>
    <w:rsid w:val="00391FA8"/>
    <w:rsid w:val="00394586"/>
    <w:rsid w:val="003A02CB"/>
    <w:rsid w:val="003A14A2"/>
    <w:rsid w:val="003A6E77"/>
    <w:rsid w:val="003B0DF9"/>
    <w:rsid w:val="003B7F1D"/>
    <w:rsid w:val="003C0BAB"/>
    <w:rsid w:val="003E609E"/>
    <w:rsid w:val="00432E54"/>
    <w:rsid w:val="00457920"/>
    <w:rsid w:val="0048171F"/>
    <w:rsid w:val="00481EC9"/>
    <w:rsid w:val="00483B9B"/>
    <w:rsid w:val="00487BA5"/>
    <w:rsid w:val="004F38DD"/>
    <w:rsid w:val="00531A87"/>
    <w:rsid w:val="00532BA0"/>
    <w:rsid w:val="00556235"/>
    <w:rsid w:val="00561849"/>
    <w:rsid w:val="005637B0"/>
    <w:rsid w:val="00567719"/>
    <w:rsid w:val="00570359"/>
    <w:rsid w:val="00570C77"/>
    <w:rsid w:val="0057784C"/>
    <w:rsid w:val="005A1BDA"/>
    <w:rsid w:val="005A77EB"/>
    <w:rsid w:val="005B1B08"/>
    <w:rsid w:val="005D3BC1"/>
    <w:rsid w:val="005E14D8"/>
    <w:rsid w:val="006128B8"/>
    <w:rsid w:val="00614833"/>
    <w:rsid w:val="006309BD"/>
    <w:rsid w:val="00637784"/>
    <w:rsid w:val="00643AA7"/>
    <w:rsid w:val="00644F77"/>
    <w:rsid w:val="00646186"/>
    <w:rsid w:val="00646FB4"/>
    <w:rsid w:val="00650612"/>
    <w:rsid w:val="006716BC"/>
    <w:rsid w:val="006742B2"/>
    <w:rsid w:val="00680DA6"/>
    <w:rsid w:val="0068345A"/>
    <w:rsid w:val="00683AB7"/>
    <w:rsid w:val="00686BFB"/>
    <w:rsid w:val="0069016B"/>
    <w:rsid w:val="006B41BA"/>
    <w:rsid w:val="006C59AF"/>
    <w:rsid w:val="00704388"/>
    <w:rsid w:val="0071265D"/>
    <w:rsid w:val="007154CD"/>
    <w:rsid w:val="00716441"/>
    <w:rsid w:val="00720E9B"/>
    <w:rsid w:val="007254BE"/>
    <w:rsid w:val="00753B34"/>
    <w:rsid w:val="00785F44"/>
    <w:rsid w:val="007B6CFD"/>
    <w:rsid w:val="007B7512"/>
    <w:rsid w:val="007E1405"/>
    <w:rsid w:val="007E58BA"/>
    <w:rsid w:val="0080080C"/>
    <w:rsid w:val="008029FA"/>
    <w:rsid w:val="008031AB"/>
    <w:rsid w:val="00803612"/>
    <w:rsid w:val="0080444C"/>
    <w:rsid w:val="008047E2"/>
    <w:rsid w:val="0080572C"/>
    <w:rsid w:val="00817EAE"/>
    <w:rsid w:val="0083056C"/>
    <w:rsid w:val="00842FF2"/>
    <w:rsid w:val="0085626A"/>
    <w:rsid w:val="00863202"/>
    <w:rsid w:val="00881765"/>
    <w:rsid w:val="0089422E"/>
    <w:rsid w:val="00896EDF"/>
    <w:rsid w:val="008A1231"/>
    <w:rsid w:val="008A23CD"/>
    <w:rsid w:val="008A7F0E"/>
    <w:rsid w:val="008C6DA8"/>
    <w:rsid w:val="008C6EF9"/>
    <w:rsid w:val="008C7272"/>
    <w:rsid w:val="008E5828"/>
    <w:rsid w:val="00940469"/>
    <w:rsid w:val="009475F0"/>
    <w:rsid w:val="00955B39"/>
    <w:rsid w:val="00975FB0"/>
    <w:rsid w:val="009908E2"/>
    <w:rsid w:val="009A27C4"/>
    <w:rsid w:val="009C03B2"/>
    <w:rsid w:val="009C61CF"/>
    <w:rsid w:val="009D16B2"/>
    <w:rsid w:val="00A0398E"/>
    <w:rsid w:val="00A349D0"/>
    <w:rsid w:val="00A367B1"/>
    <w:rsid w:val="00A66AE3"/>
    <w:rsid w:val="00A76216"/>
    <w:rsid w:val="00A84676"/>
    <w:rsid w:val="00A853C6"/>
    <w:rsid w:val="00A915B8"/>
    <w:rsid w:val="00A92D29"/>
    <w:rsid w:val="00A9607A"/>
    <w:rsid w:val="00A963DC"/>
    <w:rsid w:val="00AA0C12"/>
    <w:rsid w:val="00AA6350"/>
    <w:rsid w:val="00AA7777"/>
    <w:rsid w:val="00AE3414"/>
    <w:rsid w:val="00B00628"/>
    <w:rsid w:val="00B80E61"/>
    <w:rsid w:val="00B870CE"/>
    <w:rsid w:val="00B92138"/>
    <w:rsid w:val="00B92809"/>
    <w:rsid w:val="00B96193"/>
    <w:rsid w:val="00BC5297"/>
    <w:rsid w:val="00C04E02"/>
    <w:rsid w:val="00C11E29"/>
    <w:rsid w:val="00C121E9"/>
    <w:rsid w:val="00C24626"/>
    <w:rsid w:val="00C3155D"/>
    <w:rsid w:val="00C35766"/>
    <w:rsid w:val="00CC1734"/>
    <w:rsid w:val="00CC42C1"/>
    <w:rsid w:val="00CD2AE2"/>
    <w:rsid w:val="00CD342A"/>
    <w:rsid w:val="00CD6473"/>
    <w:rsid w:val="00D11ACC"/>
    <w:rsid w:val="00D12911"/>
    <w:rsid w:val="00D17EF7"/>
    <w:rsid w:val="00D247EA"/>
    <w:rsid w:val="00D53A08"/>
    <w:rsid w:val="00D6039C"/>
    <w:rsid w:val="00D61B5B"/>
    <w:rsid w:val="00D64316"/>
    <w:rsid w:val="00DA4CA2"/>
    <w:rsid w:val="00DB1BEA"/>
    <w:rsid w:val="00DB4EA2"/>
    <w:rsid w:val="00DB694D"/>
    <w:rsid w:val="00DC627A"/>
    <w:rsid w:val="00DD4E76"/>
    <w:rsid w:val="00DD69C3"/>
    <w:rsid w:val="00DF26AE"/>
    <w:rsid w:val="00DF78C8"/>
    <w:rsid w:val="00E037C9"/>
    <w:rsid w:val="00E074E7"/>
    <w:rsid w:val="00E17EE1"/>
    <w:rsid w:val="00E36F47"/>
    <w:rsid w:val="00E40386"/>
    <w:rsid w:val="00E5336E"/>
    <w:rsid w:val="00E55C51"/>
    <w:rsid w:val="00E6103F"/>
    <w:rsid w:val="00E679D3"/>
    <w:rsid w:val="00E740A8"/>
    <w:rsid w:val="00E93B05"/>
    <w:rsid w:val="00E95EC6"/>
    <w:rsid w:val="00E9668B"/>
    <w:rsid w:val="00E96D5C"/>
    <w:rsid w:val="00EA162B"/>
    <w:rsid w:val="00F23C56"/>
    <w:rsid w:val="00F2451F"/>
    <w:rsid w:val="00F27CC4"/>
    <w:rsid w:val="00F31201"/>
    <w:rsid w:val="00F352A1"/>
    <w:rsid w:val="00F4567B"/>
    <w:rsid w:val="00F57C09"/>
    <w:rsid w:val="00F72C81"/>
    <w:rsid w:val="00FA57DD"/>
    <w:rsid w:val="00FA63F8"/>
    <w:rsid w:val="00FA77A4"/>
    <w:rsid w:val="00FB4CD6"/>
    <w:rsid w:val="00FB54A8"/>
    <w:rsid w:val="00FB55F3"/>
    <w:rsid w:val="00FC226B"/>
    <w:rsid w:val="00FE2030"/>
    <w:rsid w:val="00FF2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39DC40B-87A4-47B0-B337-5A86862A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paragraph" w:styleId="Betarp">
    <w:name w:val="No Spacing"/>
    <w:uiPriority w:val="1"/>
    <w:qFormat/>
    <w:rsid w:val="00FE2030"/>
    <w:rPr>
      <w:rFonts w:eastAsia="Calibr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347298409">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C93F8-73FA-4995-8A42-959A12CB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4849</Words>
  <Characters>2765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4</cp:revision>
  <cp:lastPrinted>2022-12-29T07:38:00Z</cp:lastPrinted>
  <dcterms:created xsi:type="dcterms:W3CDTF">2022-12-29T07:32:00Z</dcterms:created>
  <dcterms:modified xsi:type="dcterms:W3CDTF">2022-12-29T07:38:00Z</dcterms:modified>
</cp:coreProperties>
</file>