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7839D6">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7839D6">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0F6767">
      <w:pPr>
        <w:jc w:val="center"/>
        <w:rPr>
          <w:b/>
          <w:sz w:val="24"/>
          <w:lang w:val="lt-LT"/>
        </w:rPr>
      </w:pPr>
      <w:r>
        <w:rPr>
          <w:b/>
          <w:sz w:val="24"/>
          <w:lang w:val="lt-LT"/>
        </w:rPr>
        <w:t>VELŽIO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0F6767">
        <w:rPr>
          <w:sz w:val="24"/>
          <w:lang w:val="lt-LT"/>
        </w:rPr>
        <w:t>Velžio</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0F6767">
        <w:rPr>
          <w:sz w:val="24"/>
          <w:lang w:val="lt-LT"/>
        </w:rPr>
        <w:t>302576421</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0F6767"/>
    <w:rsid w:val="0012635F"/>
    <w:rsid w:val="00160D02"/>
    <w:rsid w:val="00201244"/>
    <w:rsid w:val="002115AC"/>
    <w:rsid w:val="00324DC8"/>
    <w:rsid w:val="003323D9"/>
    <w:rsid w:val="00350BB7"/>
    <w:rsid w:val="0037210F"/>
    <w:rsid w:val="0038390E"/>
    <w:rsid w:val="00385C4A"/>
    <w:rsid w:val="003873F2"/>
    <w:rsid w:val="0039215C"/>
    <w:rsid w:val="003B46FE"/>
    <w:rsid w:val="003D41B7"/>
    <w:rsid w:val="00431543"/>
    <w:rsid w:val="00481EA8"/>
    <w:rsid w:val="004917DA"/>
    <w:rsid w:val="004A74A4"/>
    <w:rsid w:val="004B350E"/>
    <w:rsid w:val="004E233A"/>
    <w:rsid w:val="004E6795"/>
    <w:rsid w:val="0052216E"/>
    <w:rsid w:val="0057758F"/>
    <w:rsid w:val="00584B39"/>
    <w:rsid w:val="00671531"/>
    <w:rsid w:val="006826F0"/>
    <w:rsid w:val="00695F36"/>
    <w:rsid w:val="006C52E9"/>
    <w:rsid w:val="007839D6"/>
    <w:rsid w:val="0079012D"/>
    <w:rsid w:val="007A2947"/>
    <w:rsid w:val="00852F75"/>
    <w:rsid w:val="008679FD"/>
    <w:rsid w:val="00895475"/>
    <w:rsid w:val="008F79B9"/>
    <w:rsid w:val="00923465"/>
    <w:rsid w:val="00A63B8C"/>
    <w:rsid w:val="00A80942"/>
    <w:rsid w:val="00B17746"/>
    <w:rsid w:val="00B4294F"/>
    <w:rsid w:val="00B86E98"/>
    <w:rsid w:val="00BB4AF7"/>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642F"/>
    <w:rsid w:val="00EC0604"/>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D787-D609-4CE3-961C-AF8CD203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10216</Words>
  <Characters>5824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2022-04-20T11:20:00Z</dcterms:created>
  <dcterms:modified xsi:type="dcterms:W3CDTF">2022-04-22T12:11:00Z</dcterms:modified>
</cp:coreProperties>
</file>