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AD" w:rsidRPr="003851D3" w:rsidRDefault="002B0AE8" w:rsidP="00CF18B6">
      <w:pPr>
        <w:jc w:val="center"/>
        <w:rPr>
          <w:b/>
          <w:caps/>
          <w:sz w:val="24"/>
          <w:szCs w:val="24"/>
        </w:rPr>
      </w:pPr>
      <w:r w:rsidRPr="003851D3">
        <w:rPr>
          <w:b/>
          <w:caps/>
          <w:sz w:val="24"/>
          <w:szCs w:val="24"/>
        </w:rPr>
        <w:t>DĖL PANEVĖŽIO RAJONO SAVIVALDYBĖS ŠVIETIMO STEBĖSENOS RODIKLIŲ PATVIRTINIMO</w:t>
      </w:r>
    </w:p>
    <w:p w:rsidR="002B0AE8" w:rsidRPr="003851D3" w:rsidRDefault="002B0AE8" w:rsidP="008301AD">
      <w:pPr>
        <w:jc w:val="center"/>
        <w:rPr>
          <w:caps/>
          <w:sz w:val="24"/>
          <w:szCs w:val="24"/>
        </w:rPr>
      </w:pPr>
    </w:p>
    <w:p w:rsidR="002B0AE8" w:rsidRPr="003851D3" w:rsidRDefault="002B0AE8" w:rsidP="008301AD">
      <w:pPr>
        <w:jc w:val="center"/>
        <w:rPr>
          <w:caps/>
          <w:sz w:val="24"/>
          <w:szCs w:val="24"/>
        </w:rPr>
      </w:pPr>
    </w:p>
    <w:p w:rsidR="008301AD" w:rsidRPr="003851D3" w:rsidRDefault="00470FEE" w:rsidP="008301AD">
      <w:pPr>
        <w:jc w:val="center"/>
        <w:rPr>
          <w:sz w:val="24"/>
          <w:szCs w:val="24"/>
        </w:rPr>
      </w:pPr>
      <w:r w:rsidRPr="003851D3">
        <w:rPr>
          <w:caps/>
          <w:sz w:val="24"/>
          <w:szCs w:val="24"/>
        </w:rPr>
        <w:t>2022</w:t>
      </w:r>
      <w:r w:rsidR="008301AD" w:rsidRPr="003851D3">
        <w:rPr>
          <w:caps/>
          <w:sz w:val="24"/>
          <w:szCs w:val="24"/>
        </w:rPr>
        <w:t xml:space="preserve"> </w:t>
      </w:r>
      <w:r w:rsidRPr="003851D3">
        <w:rPr>
          <w:sz w:val="24"/>
          <w:szCs w:val="24"/>
        </w:rPr>
        <w:t>m. kovo</w:t>
      </w:r>
      <w:r w:rsidR="002B0AE8" w:rsidRPr="003851D3">
        <w:rPr>
          <w:sz w:val="24"/>
          <w:szCs w:val="24"/>
        </w:rPr>
        <w:t xml:space="preserve">     </w:t>
      </w:r>
      <w:r w:rsidR="008301AD" w:rsidRPr="003851D3">
        <w:rPr>
          <w:sz w:val="24"/>
          <w:szCs w:val="24"/>
        </w:rPr>
        <w:t xml:space="preserve"> d. Nr. A</w:t>
      </w:r>
      <w:r w:rsidR="00CF18B6" w:rsidRPr="003851D3">
        <w:rPr>
          <w:sz w:val="24"/>
          <w:szCs w:val="24"/>
        </w:rPr>
        <w:t>-</w:t>
      </w:r>
    </w:p>
    <w:p w:rsidR="008301AD" w:rsidRPr="003851D3" w:rsidRDefault="008301AD" w:rsidP="008301AD">
      <w:pPr>
        <w:jc w:val="center"/>
        <w:rPr>
          <w:sz w:val="24"/>
          <w:szCs w:val="24"/>
        </w:rPr>
      </w:pPr>
      <w:r w:rsidRPr="003851D3">
        <w:rPr>
          <w:sz w:val="24"/>
          <w:szCs w:val="24"/>
        </w:rPr>
        <w:t>Panevėžys</w:t>
      </w: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2B0AE8" w:rsidRPr="003851D3" w:rsidRDefault="002B0AE8" w:rsidP="002B0AE8">
      <w:pPr>
        <w:ind w:firstLine="720"/>
        <w:jc w:val="both"/>
        <w:rPr>
          <w:sz w:val="24"/>
          <w:szCs w:val="24"/>
          <w:lang w:eastAsia="lt-LT"/>
        </w:rPr>
      </w:pPr>
      <w:r w:rsidRPr="003851D3">
        <w:rPr>
          <w:sz w:val="24"/>
          <w:szCs w:val="24"/>
          <w:lang w:eastAsia="lt-LT"/>
        </w:rPr>
        <w:t xml:space="preserve">Vadovaudamasis Lietuvos Respublikos vietos savivaldos įstatymo 29 straipsnio 8 dalies 2 ir 3 punktais, Lietuvos Respublikos švietimo įstatymo 53 straipsnio 2 dalimi, 58 straipsnio 2 dalies </w:t>
      </w:r>
      <w:r w:rsidRPr="003851D3">
        <w:rPr>
          <w:sz w:val="24"/>
          <w:szCs w:val="24"/>
          <w:lang w:eastAsia="lt-LT"/>
        </w:rPr>
        <w:br/>
        <w:t xml:space="preserve">1 punktu, Valstybės švietimo ir mokslo stebėsenos tvarkos aprašo, patvirtinto Lietuvos Respublikos </w:t>
      </w:r>
      <w:r w:rsidR="00C734C5" w:rsidRPr="003851D3">
        <w:rPr>
          <w:sz w:val="24"/>
          <w:szCs w:val="24"/>
          <w:lang w:eastAsia="lt-LT"/>
        </w:rPr>
        <w:t>švietimo</w:t>
      </w:r>
      <w:r w:rsidR="00910932" w:rsidRPr="003851D3">
        <w:rPr>
          <w:sz w:val="24"/>
          <w:szCs w:val="24"/>
          <w:lang w:eastAsia="lt-LT"/>
        </w:rPr>
        <w:t xml:space="preserve">, </w:t>
      </w:r>
      <w:r w:rsidR="00C734C5" w:rsidRPr="003851D3">
        <w:rPr>
          <w:sz w:val="24"/>
          <w:szCs w:val="24"/>
          <w:lang w:eastAsia="lt-LT"/>
        </w:rPr>
        <w:t>mokslo</w:t>
      </w:r>
      <w:r w:rsidR="00910932" w:rsidRPr="003851D3">
        <w:rPr>
          <w:sz w:val="24"/>
          <w:szCs w:val="24"/>
          <w:lang w:eastAsia="lt-LT"/>
        </w:rPr>
        <w:t xml:space="preserve"> ir sporto</w:t>
      </w:r>
      <w:r w:rsidR="00C734C5" w:rsidRPr="003851D3">
        <w:rPr>
          <w:sz w:val="24"/>
          <w:szCs w:val="24"/>
          <w:lang w:eastAsia="lt-LT"/>
        </w:rPr>
        <w:t xml:space="preserve"> ministro 2019 m. birželio 27 d. įsakymu Nr. V-757</w:t>
      </w:r>
      <w:r w:rsidRPr="003851D3">
        <w:rPr>
          <w:sz w:val="24"/>
          <w:szCs w:val="24"/>
          <w:lang w:eastAsia="lt-LT"/>
        </w:rPr>
        <w:t xml:space="preserve"> „Dėl Valstybės švietimo ir mokslo stebėsenos tvarkos aprašo tvirtinimo“, 20 ir 28 punktais,</w:t>
      </w:r>
      <w:r w:rsidR="000C2C1B" w:rsidRPr="003851D3">
        <w:rPr>
          <w:sz w:val="24"/>
          <w:szCs w:val="24"/>
          <w:lang w:eastAsia="lt-LT"/>
        </w:rPr>
        <w:t xml:space="preserve"> B</w:t>
      </w:r>
      <w:r w:rsidR="006F0AFC" w:rsidRPr="003851D3">
        <w:rPr>
          <w:sz w:val="24"/>
          <w:szCs w:val="24"/>
          <w:lang w:eastAsia="lt-LT"/>
        </w:rPr>
        <w:t>ūtinaisiais</w:t>
      </w:r>
      <w:r w:rsidR="000C2C1B" w:rsidRPr="003851D3">
        <w:rPr>
          <w:sz w:val="24"/>
          <w:szCs w:val="24"/>
          <w:lang w:eastAsia="lt-LT"/>
        </w:rPr>
        <w:t xml:space="preserve"> savivaldybių ir mokyklų, vykdančių bendrojo ugdymo programas, švietimo ste</w:t>
      </w:r>
      <w:r w:rsidR="006F0AFC" w:rsidRPr="003851D3">
        <w:rPr>
          <w:sz w:val="24"/>
          <w:szCs w:val="24"/>
          <w:lang w:eastAsia="lt-LT"/>
        </w:rPr>
        <w:t>bėsenos rodikliais</w:t>
      </w:r>
      <w:r w:rsidR="000C2C1B" w:rsidRPr="003851D3">
        <w:rPr>
          <w:sz w:val="24"/>
          <w:szCs w:val="24"/>
          <w:lang w:eastAsia="lt-LT"/>
        </w:rPr>
        <w:t xml:space="preserve">, </w:t>
      </w:r>
      <w:r w:rsidR="006F0AFC" w:rsidRPr="003851D3">
        <w:rPr>
          <w:sz w:val="24"/>
          <w:szCs w:val="24"/>
          <w:lang w:eastAsia="lt-LT"/>
        </w:rPr>
        <w:t>patvirtintais</w:t>
      </w:r>
      <w:r w:rsidR="000C2C1B" w:rsidRPr="003851D3">
        <w:rPr>
          <w:sz w:val="24"/>
          <w:szCs w:val="24"/>
          <w:lang w:eastAsia="lt-LT"/>
        </w:rPr>
        <w:t xml:space="preserve"> Lietuvos Respublikos švietimo, mokslo ir sporto ministro 2021 m. gruodžio 27 d. įsakymu</w:t>
      </w:r>
      <w:r w:rsidR="00910932" w:rsidRPr="003851D3">
        <w:rPr>
          <w:sz w:val="24"/>
          <w:szCs w:val="24"/>
          <w:lang w:eastAsia="lt-LT"/>
        </w:rPr>
        <w:t xml:space="preserve"> </w:t>
      </w:r>
      <w:r w:rsidR="00FE1669" w:rsidRPr="003851D3">
        <w:rPr>
          <w:sz w:val="24"/>
          <w:szCs w:val="24"/>
          <w:lang w:eastAsia="lt-LT"/>
        </w:rPr>
        <w:br/>
      </w:r>
      <w:r w:rsidR="000C2C1B" w:rsidRPr="003851D3">
        <w:rPr>
          <w:sz w:val="24"/>
          <w:szCs w:val="24"/>
          <w:lang w:eastAsia="lt-LT"/>
        </w:rPr>
        <w:t>Nr. V-2308 „Dėl būtinųjų savivaldybių ir mokyklų, vykdančių bendrojo ugdymo programas, švietimo stebėsenos rodiklių patvirtinimo“</w:t>
      </w:r>
      <w:r w:rsidR="006F0AFC" w:rsidRPr="003851D3">
        <w:rPr>
          <w:sz w:val="24"/>
          <w:szCs w:val="24"/>
          <w:lang w:eastAsia="lt-LT"/>
        </w:rPr>
        <w:t xml:space="preserve">, </w:t>
      </w:r>
      <w:r w:rsidRPr="003851D3">
        <w:rPr>
          <w:sz w:val="24"/>
          <w:szCs w:val="24"/>
          <w:lang w:eastAsia="lt-LT"/>
        </w:rPr>
        <w:t>Valstybės (strateginiais) švietimo stebėsenos rodikliais, patvirtintais Lietuvos Respublikos švietimo</w:t>
      </w:r>
      <w:r w:rsidR="00910932" w:rsidRPr="003851D3">
        <w:rPr>
          <w:sz w:val="24"/>
          <w:szCs w:val="24"/>
          <w:lang w:eastAsia="lt-LT"/>
        </w:rPr>
        <w:t>,</w:t>
      </w:r>
      <w:r w:rsidRPr="003851D3">
        <w:rPr>
          <w:sz w:val="24"/>
          <w:szCs w:val="24"/>
          <w:lang w:eastAsia="lt-LT"/>
        </w:rPr>
        <w:t xml:space="preserve"> mokslo</w:t>
      </w:r>
      <w:r w:rsidR="00910932" w:rsidRPr="003851D3">
        <w:rPr>
          <w:sz w:val="24"/>
          <w:szCs w:val="24"/>
          <w:lang w:eastAsia="lt-LT"/>
        </w:rPr>
        <w:t xml:space="preserve"> ir sporto</w:t>
      </w:r>
      <w:r w:rsidRPr="003851D3">
        <w:rPr>
          <w:sz w:val="24"/>
          <w:szCs w:val="24"/>
          <w:lang w:eastAsia="lt-LT"/>
        </w:rPr>
        <w:t xml:space="preserve"> ministro </w:t>
      </w:r>
      <w:r w:rsidR="000C2C1B" w:rsidRPr="003851D3">
        <w:rPr>
          <w:sz w:val="24"/>
          <w:szCs w:val="24"/>
          <w:lang w:eastAsia="lt-LT"/>
        </w:rPr>
        <w:t>2022 m. vasario 17 d. įsakymu</w:t>
      </w:r>
      <w:r w:rsidR="00910932" w:rsidRPr="003851D3">
        <w:rPr>
          <w:sz w:val="24"/>
          <w:szCs w:val="24"/>
          <w:lang w:eastAsia="lt-LT"/>
        </w:rPr>
        <w:t xml:space="preserve"> </w:t>
      </w:r>
      <w:r w:rsidR="000C2C1B" w:rsidRPr="003851D3">
        <w:rPr>
          <w:sz w:val="24"/>
          <w:szCs w:val="24"/>
          <w:lang w:eastAsia="lt-LT"/>
        </w:rPr>
        <w:t>Nr. V-283</w:t>
      </w:r>
      <w:r w:rsidRPr="003851D3">
        <w:rPr>
          <w:sz w:val="24"/>
          <w:szCs w:val="24"/>
          <w:lang w:eastAsia="lt-LT"/>
        </w:rPr>
        <w:t xml:space="preserve"> „</w:t>
      </w:r>
      <w:hyperlink r:id="rId8" w:tgtFrame="FTurinys" w:history="1">
        <w:r w:rsidRPr="003851D3">
          <w:rPr>
            <w:sz w:val="24"/>
            <w:szCs w:val="24"/>
            <w:lang w:eastAsia="lt-LT"/>
          </w:rPr>
          <w:t>Dėl valstybės (strateginių) švietimo stebėsenos rodiklių patvirtinimo</w:t>
        </w:r>
      </w:hyperlink>
      <w:r w:rsidR="00645ED2" w:rsidRPr="003851D3">
        <w:rPr>
          <w:sz w:val="24"/>
          <w:szCs w:val="24"/>
          <w:lang w:eastAsia="lt-LT"/>
        </w:rPr>
        <w:t>“:</w:t>
      </w:r>
    </w:p>
    <w:p w:rsidR="004C3624" w:rsidRPr="003851D3" w:rsidRDefault="00C734C5" w:rsidP="004C3624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 w:rsidRPr="003851D3">
        <w:rPr>
          <w:sz w:val="24"/>
          <w:szCs w:val="24"/>
          <w:lang w:eastAsia="lt-LT"/>
        </w:rPr>
        <w:t>T</w:t>
      </w:r>
      <w:r w:rsidR="002B0AE8" w:rsidRPr="003851D3">
        <w:rPr>
          <w:sz w:val="24"/>
          <w:szCs w:val="24"/>
          <w:lang w:eastAsia="lt-LT"/>
        </w:rPr>
        <w:t xml:space="preserve"> </w:t>
      </w:r>
      <w:r w:rsidR="002B0AE8" w:rsidRPr="003851D3">
        <w:rPr>
          <w:spacing w:val="30"/>
          <w:sz w:val="24"/>
          <w:szCs w:val="24"/>
          <w:lang w:eastAsia="lt-LT"/>
        </w:rPr>
        <w:t xml:space="preserve">v i r t i n u </w:t>
      </w:r>
      <w:r w:rsidR="002B0AE8" w:rsidRPr="003851D3">
        <w:rPr>
          <w:sz w:val="24"/>
          <w:szCs w:val="24"/>
          <w:lang w:eastAsia="lt-LT"/>
        </w:rPr>
        <w:t>Panevėžio rajono savivaldybės švietimo stebėsenos rodikl</w:t>
      </w:r>
      <w:r w:rsidR="00A66EF5" w:rsidRPr="003851D3">
        <w:rPr>
          <w:sz w:val="24"/>
          <w:szCs w:val="24"/>
          <w:lang w:eastAsia="lt-LT"/>
        </w:rPr>
        <w:t>i</w:t>
      </w:r>
      <w:r w:rsidR="00C42070" w:rsidRPr="003851D3">
        <w:rPr>
          <w:sz w:val="24"/>
          <w:szCs w:val="24"/>
          <w:lang w:eastAsia="lt-LT"/>
        </w:rPr>
        <w:t>us</w:t>
      </w:r>
      <w:r w:rsidR="00A66EF5" w:rsidRPr="003851D3">
        <w:rPr>
          <w:sz w:val="24"/>
          <w:szCs w:val="24"/>
          <w:lang w:eastAsia="lt-LT"/>
        </w:rPr>
        <w:t xml:space="preserve"> </w:t>
      </w:r>
      <w:r w:rsidR="002B0AE8" w:rsidRPr="003851D3">
        <w:rPr>
          <w:sz w:val="24"/>
          <w:szCs w:val="24"/>
          <w:lang w:eastAsia="lt-LT"/>
        </w:rPr>
        <w:t>(pridedama).</w:t>
      </w:r>
    </w:p>
    <w:p w:rsidR="00C734C5" w:rsidRPr="003851D3" w:rsidRDefault="00C734C5" w:rsidP="004C3624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 w:rsidRPr="003851D3">
        <w:rPr>
          <w:sz w:val="24"/>
          <w:szCs w:val="24"/>
        </w:rPr>
        <w:t xml:space="preserve">P r i p a ž į s t u  netekusiu galios Panevėžio rajono savivaldybės administracijos direktoriaus 2017 m. rugsėjo 19 d. įsakymą Nr. A-544 „Dėl Panevėžio </w:t>
      </w:r>
      <w:r w:rsidRPr="003851D3">
        <w:rPr>
          <w:color w:val="000000"/>
          <w:sz w:val="24"/>
          <w:szCs w:val="24"/>
        </w:rPr>
        <w:t>rajono savivaldybės švietimo stebėsenos rodiklių sąrašo patvirtinimo“.</w:t>
      </w:r>
    </w:p>
    <w:p w:rsidR="00C734C5" w:rsidRPr="003851D3" w:rsidRDefault="00C734C5" w:rsidP="00C734C5">
      <w:pPr>
        <w:tabs>
          <w:tab w:val="right" w:pos="9071"/>
        </w:tabs>
        <w:suppressAutoHyphens/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  <w:r w:rsidRPr="003851D3">
        <w:rPr>
          <w:sz w:val="24"/>
          <w:szCs w:val="24"/>
        </w:rPr>
        <w:t>Savivaldybės administracijos direktorius</w:t>
      </w:r>
      <w:r w:rsidRPr="003851D3">
        <w:rPr>
          <w:sz w:val="24"/>
          <w:szCs w:val="24"/>
        </w:rPr>
        <w:tab/>
      </w:r>
      <w:r w:rsidRPr="003851D3">
        <w:rPr>
          <w:sz w:val="24"/>
          <w:szCs w:val="24"/>
        </w:rPr>
        <w:tab/>
      </w:r>
      <w:r w:rsidRPr="003851D3">
        <w:rPr>
          <w:sz w:val="24"/>
          <w:szCs w:val="24"/>
        </w:rPr>
        <w:tab/>
      </w:r>
      <w:r w:rsidRPr="003851D3">
        <w:rPr>
          <w:sz w:val="24"/>
          <w:szCs w:val="24"/>
        </w:rPr>
        <w:tab/>
      </w:r>
      <w:r w:rsidRPr="003851D3">
        <w:rPr>
          <w:sz w:val="24"/>
          <w:szCs w:val="24"/>
        </w:rPr>
        <w:tab/>
        <w:t xml:space="preserve">        Eugenijus Lunskis</w:t>
      </w: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2B0AE8" w:rsidRPr="003851D3" w:rsidRDefault="002B0AE8" w:rsidP="008301AD">
      <w:pPr>
        <w:rPr>
          <w:sz w:val="24"/>
          <w:szCs w:val="24"/>
        </w:rPr>
      </w:pPr>
    </w:p>
    <w:p w:rsidR="00706B91" w:rsidRPr="003851D3" w:rsidRDefault="00706B91" w:rsidP="008301AD">
      <w:pPr>
        <w:rPr>
          <w:sz w:val="24"/>
          <w:szCs w:val="24"/>
        </w:rPr>
      </w:pPr>
    </w:p>
    <w:p w:rsidR="00A76D45" w:rsidRPr="003851D3" w:rsidRDefault="00A76D45" w:rsidP="008301AD">
      <w:pPr>
        <w:rPr>
          <w:sz w:val="24"/>
          <w:szCs w:val="24"/>
        </w:rPr>
      </w:pPr>
    </w:p>
    <w:p w:rsidR="008301AD" w:rsidRPr="003851D3" w:rsidRDefault="008301AD" w:rsidP="008301AD">
      <w:pPr>
        <w:rPr>
          <w:sz w:val="24"/>
          <w:szCs w:val="24"/>
        </w:rPr>
      </w:pPr>
    </w:p>
    <w:p w:rsidR="006626BF" w:rsidRPr="003851D3" w:rsidRDefault="006626BF" w:rsidP="008301AD">
      <w:pPr>
        <w:rPr>
          <w:sz w:val="24"/>
          <w:szCs w:val="24"/>
        </w:rPr>
      </w:pPr>
    </w:p>
    <w:p w:rsidR="006626BF" w:rsidRPr="003851D3" w:rsidRDefault="006626BF" w:rsidP="008301AD">
      <w:pPr>
        <w:rPr>
          <w:sz w:val="24"/>
          <w:szCs w:val="24"/>
        </w:rPr>
      </w:pPr>
    </w:p>
    <w:p w:rsidR="006626BF" w:rsidRPr="003851D3" w:rsidRDefault="006626BF" w:rsidP="008301AD">
      <w:pPr>
        <w:rPr>
          <w:sz w:val="24"/>
          <w:szCs w:val="24"/>
        </w:rPr>
      </w:pPr>
    </w:p>
    <w:p w:rsidR="006626BF" w:rsidRPr="003851D3" w:rsidRDefault="006626BF" w:rsidP="008301AD">
      <w:pPr>
        <w:rPr>
          <w:sz w:val="24"/>
          <w:szCs w:val="24"/>
        </w:rPr>
      </w:pPr>
    </w:p>
    <w:p w:rsidR="006626BF" w:rsidRPr="003851D3" w:rsidRDefault="006626BF" w:rsidP="008301AD">
      <w:pPr>
        <w:rPr>
          <w:sz w:val="24"/>
          <w:szCs w:val="24"/>
        </w:rPr>
      </w:pPr>
    </w:p>
    <w:p w:rsidR="00B717C0" w:rsidRPr="003851D3" w:rsidRDefault="00B717C0" w:rsidP="008301AD">
      <w:pPr>
        <w:rPr>
          <w:sz w:val="24"/>
          <w:szCs w:val="24"/>
        </w:rPr>
      </w:pPr>
    </w:p>
    <w:p w:rsidR="000817B0" w:rsidRPr="003851D3" w:rsidRDefault="005C069A" w:rsidP="008301AD">
      <w:pPr>
        <w:rPr>
          <w:sz w:val="24"/>
          <w:szCs w:val="24"/>
        </w:rPr>
      </w:pPr>
      <w:r w:rsidRPr="003851D3">
        <w:rPr>
          <w:sz w:val="24"/>
          <w:szCs w:val="24"/>
        </w:rPr>
        <w:t>Diana Žukauskienė</w:t>
      </w:r>
    </w:p>
    <w:p w:rsidR="00E2345B" w:rsidRPr="003851D3" w:rsidRDefault="005C069A" w:rsidP="006626BF">
      <w:pPr>
        <w:rPr>
          <w:sz w:val="24"/>
          <w:szCs w:val="24"/>
        </w:rPr>
      </w:pPr>
      <w:r w:rsidRPr="003851D3">
        <w:rPr>
          <w:sz w:val="24"/>
          <w:szCs w:val="24"/>
        </w:rPr>
        <w:t>202</w:t>
      </w:r>
      <w:r w:rsidR="004C3624" w:rsidRPr="003851D3">
        <w:rPr>
          <w:sz w:val="24"/>
          <w:szCs w:val="24"/>
        </w:rPr>
        <w:t>2-</w:t>
      </w:r>
      <w:r w:rsidR="00414126" w:rsidRPr="003851D3">
        <w:rPr>
          <w:sz w:val="24"/>
          <w:szCs w:val="24"/>
        </w:rPr>
        <w:t>03-0</w:t>
      </w:r>
      <w:r w:rsidR="008B49FF" w:rsidRPr="003851D3">
        <w:rPr>
          <w:sz w:val="24"/>
          <w:szCs w:val="24"/>
        </w:rPr>
        <w:t>7</w:t>
      </w:r>
    </w:p>
    <w:p w:rsidR="00092913" w:rsidRPr="003851D3" w:rsidRDefault="00092913" w:rsidP="00092913">
      <w:pPr>
        <w:ind w:left="4525" w:firstLine="720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lastRenderedPageBreak/>
        <w:t>PATVIRTINTA</w:t>
      </w:r>
    </w:p>
    <w:p w:rsidR="00092913" w:rsidRPr="003851D3" w:rsidRDefault="00092913" w:rsidP="00092913">
      <w:pPr>
        <w:ind w:firstLine="5245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 xml:space="preserve">Panevėžio rajono savivaldybės </w:t>
      </w:r>
    </w:p>
    <w:p w:rsidR="00092913" w:rsidRPr="003851D3" w:rsidRDefault="00092913" w:rsidP="00092913">
      <w:pPr>
        <w:ind w:firstLine="5245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administracijos direktoriaus</w:t>
      </w:r>
    </w:p>
    <w:p w:rsidR="00092913" w:rsidRPr="003851D3" w:rsidRDefault="00092913" w:rsidP="00092913">
      <w:pPr>
        <w:ind w:firstLine="5245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2022 m. kovo       d. įsakymu Nr. A-</w:t>
      </w:r>
    </w:p>
    <w:p w:rsidR="00092913" w:rsidRPr="003851D3" w:rsidRDefault="00092913" w:rsidP="00092913">
      <w:pPr>
        <w:jc w:val="center"/>
        <w:rPr>
          <w:rFonts w:eastAsia="Calibri"/>
          <w:caps/>
          <w:sz w:val="24"/>
          <w:szCs w:val="24"/>
          <w:lang w:eastAsia="en-US"/>
        </w:rPr>
      </w:pPr>
    </w:p>
    <w:p w:rsidR="00092913" w:rsidRPr="003851D3" w:rsidRDefault="00092913" w:rsidP="00092913">
      <w:pPr>
        <w:jc w:val="center"/>
        <w:rPr>
          <w:rFonts w:eastAsia="Calibri"/>
          <w:b/>
          <w:caps/>
          <w:strike/>
          <w:sz w:val="24"/>
          <w:szCs w:val="24"/>
          <w:lang w:eastAsia="en-US"/>
        </w:rPr>
      </w:pPr>
      <w:r w:rsidRPr="003851D3">
        <w:rPr>
          <w:rFonts w:eastAsia="Calibri"/>
          <w:b/>
          <w:caps/>
          <w:sz w:val="24"/>
          <w:szCs w:val="24"/>
          <w:lang w:eastAsia="en-US"/>
        </w:rPr>
        <w:t>PANEVĖŽIO RAJONO SAVIVALDYBĖS ŠVIETIMO STEBĖSENOS RODIKLIAI</w:t>
      </w:r>
    </w:p>
    <w:p w:rsidR="00092913" w:rsidRPr="003851D3" w:rsidRDefault="00092913" w:rsidP="00092913">
      <w:pPr>
        <w:jc w:val="center"/>
        <w:rPr>
          <w:rFonts w:eastAsia="Calibri"/>
          <w:sz w:val="24"/>
          <w:szCs w:val="24"/>
          <w:lang w:eastAsia="en-US"/>
        </w:rPr>
      </w:pPr>
    </w:p>
    <w:p w:rsidR="00092913" w:rsidRPr="003851D3" w:rsidRDefault="008B49FF" w:rsidP="00092913">
      <w:pPr>
        <w:ind w:firstLine="720"/>
        <w:jc w:val="both"/>
        <w:rPr>
          <w:rFonts w:eastAsia="Calibri"/>
          <w:color w:val="FF0000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1</w:t>
      </w:r>
      <w:r w:rsidR="00092913" w:rsidRPr="003851D3">
        <w:rPr>
          <w:rFonts w:eastAsia="Calibri"/>
          <w:sz w:val="24"/>
          <w:szCs w:val="24"/>
          <w:lang w:eastAsia="lt-LT"/>
        </w:rPr>
        <w:t>. Panevėžio rajono savivaldybės švietimo stebėsenos rodiklių sąrašas sudarytas į savivaldybės valdymo lygmenį išskaidžius Valstybės (strateginius) švietimo stebėsenos rodiklius, patvirtintus Lietuvos Respublikos švietimo, mokslo ir sporto ministro 2022 m. vasario 17 d. įsakymu Nr. V-283 „</w:t>
      </w:r>
      <w:hyperlink r:id="rId9" w:tgtFrame="FTurinys" w:history="1">
        <w:r w:rsidR="00092913" w:rsidRPr="003851D3">
          <w:rPr>
            <w:rFonts w:eastAsia="Calibri"/>
            <w:sz w:val="24"/>
            <w:szCs w:val="24"/>
            <w:lang w:eastAsia="lt-LT"/>
          </w:rPr>
          <w:t>Dėl valstybės (strateginių) švietimo stebėsenos rodiklių patvirtinimo</w:t>
        </w:r>
      </w:hyperlink>
      <w:r w:rsidR="00092913" w:rsidRPr="003851D3">
        <w:rPr>
          <w:rFonts w:eastAsia="Calibri"/>
          <w:sz w:val="24"/>
          <w:szCs w:val="24"/>
          <w:lang w:eastAsia="lt-LT"/>
        </w:rPr>
        <w:t>“, Būtinuosius savivaldybių ir mokyklų, vykdančių bendrojo ugdymo programas, švietimo stebėsenos rodiklius, patvirtintus Lietuvos Respublikos švietimo, mokslo ir sporto ministro 2021 m. gruodžio 27 d. įsakymu Nr. V-2308 „Dėl būtinųjų savivaldybių ir mokyklų, vykdančių bendrojo ugdymo programas, švietimo stebėsenos rodiklių patvirtinimo“, ir įtraukus rodiklius, apibūdinančius Panevėžio rajono savivaldybės teritorijoje esančių švietimo įstaigų būklę ir kaitą.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2</w:t>
      </w:r>
      <w:r w:rsidR="00092913" w:rsidRPr="003851D3">
        <w:rPr>
          <w:rFonts w:eastAsia="Calibri"/>
          <w:sz w:val="24"/>
          <w:szCs w:val="24"/>
          <w:lang w:eastAsia="lt-LT"/>
        </w:rPr>
        <w:t>. Panevėžio rajono savivaldybės švietimo stebėsenos rodikliai apibūdina būtinuosius savivaldybių švietimo stebėsenos rodiklius,</w:t>
      </w:r>
      <w:r w:rsidR="00092913" w:rsidRPr="003851D3">
        <w:rPr>
          <w:rFonts w:eastAsia="Calibri"/>
          <w:color w:val="00B050"/>
          <w:sz w:val="24"/>
          <w:szCs w:val="24"/>
          <w:lang w:eastAsia="lt-LT"/>
        </w:rPr>
        <w:t xml:space="preserve"> </w:t>
      </w:r>
      <w:r w:rsidR="00092913" w:rsidRPr="003851D3">
        <w:rPr>
          <w:rFonts w:eastAsia="Calibri"/>
          <w:sz w:val="24"/>
          <w:szCs w:val="24"/>
          <w:lang w:eastAsia="lt-LT"/>
        </w:rPr>
        <w:t>švietimo kontekstą, indėlį į švietimą, švietimo procesus, švietimo rezultatus.</w:t>
      </w:r>
    </w:p>
    <w:p w:rsidR="00092913" w:rsidRPr="003851D3" w:rsidRDefault="008B49FF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3</w:t>
      </w:r>
      <w:r w:rsidR="00092913" w:rsidRPr="003851D3">
        <w:rPr>
          <w:rFonts w:eastAsia="Calibri"/>
          <w:sz w:val="24"/>
          <w:szCs w:val="24"/>
          <w:lang w:eastAsia="en-US"/>
        </w:rPr>
        <w:t>.</w:t>
      </w:r>
      <w:r w:rsidR="00092913" w:rsidRPr="003851D3">
        <w:rPr>
          <w:rFonts w:eastAsia="Calibri"/>
          <w:color w:val="000000"/>
          <w:sz w:val="24"/>
          <w:lang w:eastAsia="en-US"/>
        </w:rPr>
        <w:t xml:space="preserve">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Švietimo konteksto rodikliai (parodo išorines sąlygas ir reikmes, darančias poveikį švietimo sistemos procesams):</w:t>
      </w:r>
    </w:p>
    <w:p w:rsidR="00092913" w:rsidRPr="003851D3" w:rsidRDefault="008B49FF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FF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3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.1. Švietimo aplinka:</w:t>
      </w:r>
    </w:p>
    <w:p w:rsidR="00092913" w:rsidRPr="003851D3" w:rsidRDefault="008B49FF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3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.1.1. gyventojų skaičiaus pokytis;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3</w:t>
      </w:r>
      <w:r w:rsidR="00092913" w:rsidRPr="003851D3">
        <w:rPr>
          <w:rFonts w:eastAsia="Calibri"/>
          <w:sz w:val="24"/>
          <w:szCs w:val="24"/>
          <w:lang w:eastAsia="lt-LT"/>
        </w:rPr>
        <w:t>.1.2. gimusiųjų skaičius ir jo pokytis vienetais.</w:t>
      </w:r>
    </w:p>
    <w:p w:rsidR="00092913" w:rsidRPr="003851D3" w:rsidRDefault="008B49FF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Indėlio į švietimą rodikliai (parodo pastangas ir (arba) išteklius, reikalingus švietimo sistemai veikti ir tikslams pasiekti):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.1. </w:t>
      </w:r>
      <w:r w:rsidR="00092913" w:rsidRPr="003851D3">
        <w:rPr>
          <w:rFonts w:eastAsia="Calibri"/>
          <w:sz w:val="24"/>
          <w:szCs w:val="24"/>
          <w:lang w:eastAsia="lt-LT"/>
        </w:rPr>
        <w:t>Besimokančiųjų duomenys mokslo metų pradžioje: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.1.1. mokinių skaičius ir jo pokytis vienetais;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.1.2. vaikų, ugdomų pagal ikimokyklinio ugdymo programą, skaičius ir jo pokytis vienetais;</w:t>
      </w:r>
    </w:p>
    <w:p w:rsidR="008B49FF" w:rsidRPr="003851D3" w:rsidRDefault="008B49FF" w:rsidP="008B49FF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.1.3. vaikų, ugdomų pagal priešmokyklinio ugdymo programą, skaičius ir jo pokytis vienetais;</w:t>
      </w:r>
    </w:p>
    <w:p w:rsidR="008B49FF" w:rsidRPr="003851D3" w:rsidRDefault="008B49FF" w:rsidP="008B49F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 xml:space="preserve"> 4.1.4 savivaldybės mokyklose ugdomų 3–5 metų vaikų, kurių deklaruota gyvenamoji vieta yra kitoje savivaldybėje, dalis (procentais); </w:t>
      </w:r>
    </w:p>
    <w:p w:rsidR="00092913" w:rsidRPr="003851D3" w:rsidRDefault="008B49FF" w:rsidP="008B49F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4.1.5. savivaldybės 3–5 metų vaikų, ugdomų ne savivaldybės mokyklose, dalis (procentais);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4.1.6</w:t>
      </w:r>
      <w:r w:rsidR="00092913" w:rsidRPr="003851D3">
        <w:rPr>
          <w:rFonts w:eastAsia="Calibri"/>
          <w:sz w:val="24"/>
          <w:szCs w:val="24"/>
          <w:lang w:eastAsia="lt-LT"/>
        </w:rPr>
        <w:t>. mokinių, gaunančių nemokamą maitinimą, skaičius ir dalis procentais nuo bendro mokinių skaičiaus;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4.1.7</w:t>
      </w:r>
      <w:r w:rsidR="00092913" w:rsidRPr="003851D3">
        <w:rPr>
          <w:rFonts w:eastAsia="Calibri"/>
          <w:sz w:val="24"/>
          <w:szCs w:val="24"/>
          <w:lang w:eastAsia="lt-LT"/>
        </w:rPr>
        <w:t>. mokinių iš kitų savivaldybių skaičius ir dalis procentais nuo bendro mokinių skaičiaus;</w:t>
      </w:r>
    </w:p>
    <w:p w:rsidR="00092913" w:rsidRPr="003851D3" w:rsidRDefault="008B49FF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4.1.8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 </w:t>
      </w:r>
      <w:r w:rsidR="00092913" w:rsidRPr="003851D3">
        <w:rPr>
          <w:rFonts w:eastAsia="Calibri"/>
          <w:sz w:val="24"/>
          <w:szCs w:val="24"/>
          <w:lang w:eastAsia="en-US"/>
        </w:rPr>
        <w:t>pavežamų mokinių skaičius ir dalis procentais nuo bendro mokinių skaičiaus;</w:t>
      </w:r>
    </w:p>
    <w:p w:rsidR="00092913" w:rsidRPr="00B554CA" w:rsidRDefault="008B49FF" w:rsidP="00092913">
      <w:pPr>
        <w:ind w:firstLine="720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B554CA">
        <w:rPr>
          <w:rFonts w:eastAsia="Calibri"/>
          <w:sz w:val="24"/>
          <w:szCs w:val="24"/>
          <w:lang w:eastAsia="en-US"/>
        </w:rPr>
        <w:t>4.1.9</w:t>
      </w:r>
      <w:r w:rsidR="00092913" w:rsidRPr="00B554CA">
        <w:rPr>
          <w:rFonts w:eastAsia="Calibri"/>
          <w:sz w:val="24"/>
          <w:szCs w:val="24"/>
          <w:lang w:eastAsia="en-US"/>
        </w:rPr>
        <w:t xml:space="preserve">. </w:t>
      </w:r>
      <w:r w:rsidR="00092913" w:rsidRP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mokinių, turinčių specialiųjų ugdymosi poreikių</w:t>
      </w:r>
      <w:r w:rsidR="008D0D6B" w:rsidRPr="00B554CA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="00092913" w:rsidRP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ugdomų integruotai bendrosios paskirtie</w:t>
      </w:r>
      <w:r w:rsidR="00B554CA" w:rsidRP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s mokyklose, dalis (procentais) –</w:t>
      </w:r>
      <w:r w:rsidR="00092913" w:rsidRP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negalią turinčių mokinių dalis nuo mokinių, turinčių specialiųjų ugdymosi poreikių</w:t>
      </w:r>
      <w:r w:rsidR="003851D3" w:rsidRP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="00092913" w:rsidRP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ugdomų integruotai bendrosios paskirties mokyklose (procentais);</w:t>
      </w:r>
    </w:p>
    <w:p w:rsidR="00092913" w:rsidRPr="003851D3" w:rsidRDefault="008B49FF" w:rsidP="00092913">
      <w:pPr>
        <w:ind w:firstLine="720"/>
        <w:jc w:val="both"/>
        <w:rPr>
          <w:rFonts w:eastAsia="Calibri"/>
          <w:color w:val="FF0000"/>
          <w:shd w:val="clear" w:color="auto" w:fill="FFFFFF"/>
          <w:lang w:eastAsia="en-US"/>
        </w:rPr>
      </w:pPr>
      <w:r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4.1.10</w:t>
      </w:r>
      <w:r w:rsid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092913"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švietimo pagalbą gaunančių mokinių dalis (procentais);</w:t>
      </w:r>
      <w:r w:rsidR="001F76F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092913" w:rsidRPr="003851D3" w:rsidRDefault="008B49FF" w:rsidP="00092913">
      <w:pPr>
        <w:ind w:firstLine="720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4.1.11</w:t>
      </w:r>
      <w:r w:rsidR="00B554C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.</w:t>
      </w:r>
      <w:r w:rsidR="001F76F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092913"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neformaliojo švietimo veikloje dalyvauja</w:t>
      </w:r>
      <w:r w:rsidR="003851D3"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nčių mokinių dalis (procentais).</w:t>
      </w:r>
    </w:p>
    <w:p w:rsidR="00092913" w:rsidRPr="003851D3" w:rsidRDefault="008B49FF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.2. Personalo charakteristika: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.2.1. vidutinis švietimo įstaigų vadovų amžius;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.2.2. vidutinis pedagoginių darbuotojų amžius;</w:t>
      </w:r>
    </w:p>
    <w:p w:rsidR="00092913" w:rsidRPr="003851D3" w:rsidRDefault="00DE67B2" w:rsidP="00092913">
      <w:pPr>
        <w:ind w:left="1440" w:hanging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.2.3. </w:t>
      </w:r>
      <w:r w:rsidR="00092913" w:rsidRPr="003851D3">
        <w:rPr>
          <w:rFonts w:eastAsia="Calibri"/>
          <w:sz w:val="24"/>
          <w:szCs w:val="24"/>
          <w:lang w:eastAsia="lt-LT"/>
        </w:rPr>
        <w:t>pedagoginio personalo pasiskirstymas pagal kvalifikacines kategorijas;</w:t>
      </w:r>
    </w:p>
    <w:p w:rsidR="00092913" w:rsidRPr="003851D3" w:rsidRDefault="00DE67B2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.2.</w:t>
      </w:r>
      <w:r w:rsidR="00092913" w:rsidRPr="003851D3">
        <w:rPr>
          <w:rFonts w:eastAsia="Calibri"/>
          <w:sz w:val="24"/>
          <w:szCs w:val="24"/>
          <w:lang w:eastAsia="en-US"/>
        </w:rPr>
        <w:t xml:space="preserve">4. </w:t>
      </w:r>
      <w:r w:rsidR="00092913" w:rsidRPr="003851D3">
        <w:rPr>
          <w:rFonts w:eastAsia="Calibri"/>
          <w:sz w:val="24"/>
          <w:szCs w:val="24"/>
          <w:lang w:eastAsia="lt-LT"/>
        </w:rPr>
        <w:t>švietimo pagalbos specialistų skaičius;</w:t>
      </w:r>
    </w:p>
    <w:p w:rsidR="00092913" w:rsidRPr="003851D3" w:rsidRDefault="00DE67B2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4</w:t>
      </w:r>
      <w:r w:rsidR="00092913" w:rsidRPr="003851D3">
        <w:rPr>
          <w:rFonts w:eastAsia="Calibri"/>
          <w:sz w:val="24"/>
          <w:szCs w:val="24"/>
          <w:lang w:eastAsia="en-US"/>
        </w:rPr>
        <w:t>.2.5</w:t>
      </w:r>
      <w:r w:rsidR="001D300F" w:rsidRPr="003851D3">
        <w:rPr>
          <w:rFonts w:eastAsia="Calibri"/>
          <w:sz w:val="24"/>
          <w:szCs w:val="24"/>
          <w:lang w:eastAsia="en-US"/>
        </w:rPr>
        <w:t>.</w:t>
      </w:r>
      <w:r w:rsidR="00092913" w:rsidRPr="003851D3">
        <w:rPr>
          <w:rFonts w:eastAsia="Calibri"/>
          <w:sz w:val="24"/>
          <w:szCs w:val="24"/>
          <w:lang w:eastAsia="en-US"/>
        </w:rPr>
        <w:t xml:space="preserve"> vienai sąlyginei mokytojo pareigybei tenkančių mokinių skaičius bendrojo ugdymo mokyklose (skaičius);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4</w:t>
      </w:r>
      <w:r w:rsidR="00092913" w:rsidRPr="003851D3">
        <w:rPr>
          <w:rFonts w:eastAsia="Calibri"/>
          <w:sz w:val="24"/>
          <w:szCs w:val="24"/>
          <w:lang w:eastAsia="en-US"/>
        </w:rPr>
        <w:t>.2.6</w:t>
      </w:r>
      <w:r w:rsidR="001D300F" w:rsidRPr="003851D3">
        <w:rPr>
          <w:rFonts w:eastAsia="Calibri"/>
          <w:sz w:val="24"/>
          <w:szCs w:val="24"/>
          <w:lang w:eastAsia="en-US"/>
        </w:rPr>
        <w:t>.</w:t>
      </w:r>
      <w:r w:rsidR="00092913" w:rsidRPr="003851D3">
        <w:rPr>
          <w:rFonts w:eastAsia="Calibri"/>
          <w:sz w:val="24"/>
          <w:szCs w:val="24"/>
          <w:lang w:eastAsia="en-US"/>
        </w:rPr>
        <w:t xml:space="preserve"> j</w:t>
      </w:r>
      <w:r w:rsidR="00092913"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aunesnių nei 50 metų bei 50 metų ir vyresnio amžiaus mokytojų skaičiaus santykis</w:t>
      </w:r>
      <w:r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;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 xml:space="preserve">.2.7. </w:t>
      </w:r>
      <w:r w:rsidR="00092913" w:rsidRPr="003851D3">
        <w:rPr>
          <w:rFonts w:eastAsia="Calibri"/>
          <w:bCs/>
          <w:color w:val="000000"/>
          <w:sz w:val="24"/>
          <w:szCs w:val="24"/>
          <w:lang w:eastAsia="en-US"/>
        </w:rPr>
        <w:t>daugiau kaip 2 metų pedagoginio darbo stažą turinčių darbuotojų dalis (procentais);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lastRenderedPageBreak/>
        <w:t>4</w:t>
      </w:r>
      <w:r w:rsidR="00092913"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.2.8.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švietimo įstaigų, kuriose nėra nuolatinio vadovo daugiau kaip 12 mėnesių, dalis nuo bendro švietimo įstaigų skaičiaus (procentais);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.2.9. pedagoginio personalo, kuris dalyvavo tarptautinėse programose, skaičius ir dalis procentais nuo bendro skaičiaus;</w:t>
      </w:r>
    </w:p>
    <w:p w:rsidR="00092913" w:rsidRPr="003851D3" w:rsidRDefault="00DE67B2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.2.10. pedagoginio personalo, tobulinusio kvalifikaciją, skaičius ir dalis procentais nuo bendro skaičiaus;</w:t>
      </w:r>
    </w:p>
    <w:p w:rsidR="00092913" w:rsidRPr="003851D3" w:rsidRDefault="00DE67B2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.2.11. nepedagoginių darbuotojų, tobulinusių kvalifikaciją, skaičius ir dalis procentais nuo bendro skaičiaus.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.3. </w:t>
      </w:r>
      <w:r w:rsidR="00092913" w:rsidRPr="003851D3">
        <w:rPr>
          <w:rFonts w:eastAsia="Calibri"/>
          <w:color w:val="000000"/>
          <w:sz w:val="24"/>
          <w:lang w:eastAsia="en-US"/>
        </w:rPr>
        <w:t>Materialieji ir finansiniai ištekliai: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lang w:eastAsia="en-US"/>
        </w:rPr>
        <w:t xml:space="preserve">.3.1.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valstybės ir savivaldybių biudžetų išlaidos švietimui kaip BVP dalis;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.3.2. vidutinės vienam besimokančiam asmeniui tekusios lėšos;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.3.3. švietimo įstaigų, kurių nė vienai pastato daliai nereikia kapitalinio remonto, dalis;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.3.4. švietimo įstaigų, fizinę aplinką pritaikiusių asmenims su negalia, dalis;</w:t>
      </w:r>
      <w:r w:rsidR="00092913" w:rsidRPr="003851D3">
        <w:rPr>
          <w:rFonts w:eastAsia="Calibri"/>
          <w:color w:val="000000"/>
          <w:sz w:val="24"/>
          <w:lang w:eastAsia="en-US"/>
        </w:rPr>
        <w:t> 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.3.5. švietimo įstaigų, turinčių laboratorijas ir / ar technikos kabinetus, dalis;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4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.3.6. </w:t>
      </w:r>
      <w:r w:rsidR="00092913" w:rsidRPr="003851D3">
        <w:rPr>
          <w:rFonts w:eastAsia="Calibri"/>
          <w:sz w:val="24"/>
          <w:szCs w:val="24"/>
          <w:lang w:eastAsia="lt-LT"/>
        </w:rPr>
        <w:t>savivaldybės biudžeto vidutinės vienam mokiniui ir (ar) vaikui tenkančios lėšos (tūkst. Eur) pagal švietimo įstaigų tipus;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>.3.7. savivaldybės biudžeto skirtos lėšos (tūkst. Eur), tenkančios vienam mokiniui;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4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.3.8. </w:t>
      </w:r>
      <w:r w:rsidR="00092913" w:rsidRPr="003851D3">
        <w:rPr>
          <w:rFonts w:eastAsia="Calibri"/>
          <w:sz w:val="24"/>
          <w:szCs w:val="24"/>
          <w:lang w:eastAsia="en-US"/>
        </w:rPr>
        <w:t>vadovėliams įsigyti skirtų lėšų panaudojimas procentais.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5</w:t>
      </w:r>
      <w:r w:rsidR="00092913" w:rsidRPr="003851D3">
        <w:rPr>
          <w:rFonts w:eastAsia="Calibri"/>
          <w:sz w:val="24"/>
          <w:szCs w:val="24"/>
          <w:lang w:eastAsia="en-US"/>
        </w:rPr>
        <w:t xml:space="preserve">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Švietimo procesų rodikliai (parodo priežastiniais ryšiais susijusių švietimo sistemos pokyčių eigą):</w:t>
      </w:r>
    </w:p>
    <w:p w:rsidR="001F76FD" w:rsidRPr="00E91AF0" w:rsidRDefault="001F76FD" w:rsidP="001F76FD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E91AF0">
        <w:rPr>
          <w:rFonts w:eastAsia="Calibri"/>
          <w:sz w:val="24"/>
          <w:szCs w:val="24"/>
          <w:lang w:eastAsia="lt-LT"/>
        </w:rPr>
        <w:t>5.1. Mokymas ir mokymasis – mokinių (vaikų), per mokslo metus grįžusių iš užsienio į Panevėžio rajono savivaldybės švietimo įstaigas, skaičius.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5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.2.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Ugdymo procesų organizavimas ir valdymas:</w:t>
      </w:r>
    </w:p>
    <w:p w:rsidR="00092913" w:rsidRPr="003851D3" w:rsidRDefault="00DE67B2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5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.2.1. pedagoginių darbuotojų, dirbančių visu krūviu, </w:t>
      </w:r>
      <w:r w:rsidR="00092913" w:rsidRPr="003851D3">
        <w:rPr>
          <w:rFonts w:eastAsia="Calibri"/>
          <w:sz w:val="24"/>
          <w:szCs w:val="24"/>
          <w:lang w:eastAsia="en-US"/>
        </w:rPr>
        <w:t>dalis procentais;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5</w:t>
      </w:r>
      <w:r w:rsidR="00092913" w:rsidRPr="003851D3">
        <w:rPr>
          <w:rFonts w:eastAsia="Calibri"/>
          <w:sz w:val="24"/>
          <w:szCs w:val="24"/>
          <w:lang w:eastAsia="en-US"/>
        </w:rPr>
        <w:t xml:space="preserve">.2.2.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pedagoginių darbuotojų ir kito personalo skaičiaus santykis;</w:t>
      </w:r>
    </w:p>
    <w:p w:rsidR="00DE67B2" w:rsidRPr="003851D3" w:rsidRDefault="00DE67B2" w:rsidP="00DE67B2">
      <w:pPr>
        <w:tabs>
          <w:tab w:val="left" w:pos="1418"/>
        </w:tabs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5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.2.3. vidutinis mokinių skaičius klasės komplekte ar grupėje;</w:t>
      </w:r>
    </w:p>
    <w:p w:rsidR="00DE67B2" w:rsidRPr="003851D3" w:rsidRDefault="00DE67B2" w:rsidP="00DE67B2">
      <w:pPr>
        <w:tabs>
          <w:tab w:val="left" w:pos="1418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5.2.4. </w:t>
      </w:r>
      <w:r w:rsidRPr="003851D3">
        <w:rPr>
          <w:rFonts w:eastAsia="Calibri"/>
          <w:sz w:val="24"/>
          <w:szCs w:val="24"/>
          <w:lang w:eastAsia="en-US"/>
        </w:rPr>
        <w:t>bendrojo ugdymo mokyklų 1–4 klasių komplektų, kurie yra jungtiniai, dalis (procentais);</w:t>
      </w:r>
    </w:p>
    <w:p w:rsidR="00DE67B2" w:rsidRPr="003851D3" w:rsidRDefault="00DE67B2" w:rsidP="00DE67B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5.2.5. bendrojo ugdymo mokyklų klasių komplektų, kuriuose yra mažiau kaip 8 mokiniai, dalis (procentais);</w:t>
      </w:r>
    </w:p>
    <w:p w:rsidR="00DE67B2" w:rsidRPr="003851D3" w:rsidRDefault="00DE67B2" w:rsidP="00DE67B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5.2.6. naujai komplektuojamų priešmokyklinio ugdymo grupių, kuriose yra ne daugiau kaip 20 mokinių, dalis (procentais);</w:t>
      </w:r>
    </w:p>
    <w:p w:rsidR="00092913" w:rsidRPr="003851D3" w:rsidRDefault="00DE67B2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 xml:space="preserve">5.2.7. naujai komplektuojamų bendrojo ugdymo mokyklų bendrosios paskirties 1 klasių komplektų, kuriuose yra ne daugiau kaip </w:t>
      </w:r>
      <w:r w:rsidR="00791119">
        <w:rPr>
          <w:rFonts w:eastAsia="Calibri"/>
          <w:sz w:val="24"/>
          <w:szCs w:val="24"/>
          <w:lang w:eastAsia="en-US"/>
        </w:rPr>
        <w:t>24 mokiniai, dalis (procentais);</w:t>
      </w:r>
      <w:bookmarkStart w:id="0" w:name="_GoBack"/>
      <w:bookmarkEnd w:id="0"/>
    </w:p>
    <w:p w:rsidR="003851D3" w:rsidRPr="003851D3" w:rsidRDefault="00DE67B2" w:rsidP="003851D3">
      <w:pPr>
        <w:ind w:firstLine="720"/>
        <w:jc w:val="both"/>
        <w:rPr>
          <w:rFonts w:eastAsia="Calibri"/>
          <w:sz w:val="24"/>
          <w:szCs w:val="24"/>
          <w:bdr w:val="none" w:sz="0" w:space="0" w:color="auto" w:frame="1"/>
          <w:lang w:eastAsia="lt-LT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5.2.8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092913"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lt-LT"/>
        </w:rPr>
        <w:t xml:space="preserve">švietimo įstaigų, vykdančių ikimokyklinio, priešmokyklinio, bendrojo ugdymo programas, kuriose per paskutinius ketverius metus vykdytas veiklos kokybės išorinis vertinimas, </w:t>
      </w:r>
      <w:r w:rsidR="00092913" w:rsidRPr="003851D3">
        <w:rPr>
          <w:rFonts w:eastAsia="Calibri"/>
          <w:sz w:val="24"/>
          <w:szCs w:val="24"/>
          <w:bdr w:val="none" w:sz="0" w:space="0" w:color="auto" w:frame="1"/>
          <w:lang w:eastAsia="lt-LT"/>
        </w:rPr>
        <w:t>dalis procentais;</w:t>
      </w:r>
    </w:p>
    <w:p w:rsidR="00092913" w:rsidRPr="003851D3" w:rsidRDefault="003851D3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lt-LT"/>
        </w:rPr>
        <w:t>5.</w:t>
      </w:r>
      <w:r w:rsidRPr="003851D3">
        <w:rPr>
          <w:rFonts w:eastAsia="Calibri"/>
          <w:sz w:val="24"/>
          <w:szCs w:val="24"/>
          <w:lang w:eastAsia="lt-LT"/>
        </w:rPr>
        <w:t>2.9. mokyklų, kuriose per kalendorinius metus atliktas veiklos kokybės išorės vertinimas, skaičius;</w:t>
      </w:r>
    </w:p>
    <w:p w:rsidR="00092913" w:rsidRPr="003851D3" w:rsidRDefault="003851D3" w:rsidP="00092913">
      <w:pPr>
        <w:suppressAutoHyphens/>
        <w:spacing w:line="276" w:lineRule="auto"/>
        <w:ind w:firstLine="720"/>
        <w:jc w:val="both"/>
        <w:textAlignment w:val="center"/>
        <w:rPr>
          <w:rFonts w:eastAsia="Calibri"/>
          <w:color w:val="000000"/>
          <w:sz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lt-LT"/>
        </w:rPr>
        <w:t>5.2.10</w:t>
      </w:r>
      <w:r w:rsidR="00092913"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lt-LT"/>
        </w:rPr>
        <w:t xml:space="preserve">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pedagoginių darbuotojų, kurie dalyvavo tarptautinėse mainų programose, dalis procentais;</w:t>
      </w:r>
    </w:p>
    <w:p w:rsidR="00092913" w:rsidRPr="003851D3" w:rsidRDefault="003851D3" w:rsidP="00092913">
      <w:pPr>
        <w:ind w:left="1440" w:hanging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lt-LT"/>
        </w:rPr>
        <w:t>5.2.11</w:t>
      </w:r>
      <w:r w:rsidR="00092913" w:rsidRPr="003851D3">
        <w:rPr>
          <w:rFonts w:eastAsia="Calibri"/>
          <w:color w:val="000000"/>
          <w:sz w:val="24"/>
          <w:szCs w:val="24"/>
          <w:bdr w:val="none" w:sz="0" w:space="0" w:color="auto" w:frame="1"/>
          <w:lang w:eastAsia="lt-LT"/>
        </w:rPr>
        <w:t xml:space="preserve">. </w:t>
      </w:r>
      <w:r w:rsidR="00092913" w:rsidRPr="003851D3">
        <w:rPr>
          <w:rFonts w:eastAsia="Calibri"/>
          <w:sz w:val="24"/>
          <w:szCs w:val="24"/>
          <w:lang w:eastAsia="lt-LT"/>
        </w:rPr>
        <w:t>bendrojo ugdymo mokyklų skaičius pagal įstaigų pagrindinį tipą;</w:t>
      </w:r>
    </w:p>
    <w:p w:rsidR="00092913" w:rsidRPr="003851D3" w:rsidRDefault="00DE67B2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5.2.12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 </w:t>
      </w:r>
      <w:r w:rsidR="00A148C8" w:rsidRPr="003851D3">
        <w:rPr>
          <w:rFonts w:eastAsia="Calibri"/>
          <w:sz w:val="24"/>
          <w:szCs w:val="24"/>
          <w:lang w:eastAsia="lt-LT"/>
        </w:rPr>
        <w:t xml:space="preserve">bendrojo ugdymo mokyklų 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klasių </w:t>
      </w:r>
      <w:r w:rsidR="00A148C8" w:rsidRPr="003851D3">
        <w:rPr>
          <w:rFonts w:eastAsia="Calibri"/>
          <w:sz w:val="24"/>
          <w:szCs w:val="24"/>
          <w:lang w:eastAsia="lt-LT"/>
        </w:rPr>
        <w:t xml:space="preserve">komplektų </w:t>
      </w:r>
      <w:r w:rsidR="003851D3" w:rsidRPr="003851D3">
        <w:rPr>
          <w:rFonts w:eastAsia="Calibri"/>
          <w:sz w:val="24"/>
          <w:szCs w:val="24"/>
          <w:lang w:eastAsia="lt-LT"/>
        </w:rPr>
        <w:t>skaičius.</w:t>
      </w:r>
    </w:p>
    <w:p w:rsidR="00092913" w:rsidRPr="003851D3" w:rsidRDefault="00DE67B2" w:rsidP="00092913">
      <w:pPr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6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 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>Švietimo rezultatų rodikliai (parodo būvį pasibaigus tam tikram švietimo proceso etapui arba švietimo sukurtą produktą):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6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.1. </w:t>
      </w:r>
      <w:r w:rsidR="00DE67B2" w:rsidRPr="003851D3">
        <w:rPr>
          <w:rFonts w:eastAsia="Calibri"/>
          <w:sz w:val="24"/>
          <w:szCs w:val="24"/>
          <w:lang w:eastAsia="lt-LT"/>
        </w:rPr>
        <w:t>Šviet</w:t>
      </w:r>
      <w:r w:rsidRPr="003851D3">
        <w:rPr>
          <w:rFonts w:eastAsia="Calibri"/>
          <w:sz w:val="24"/>
          <w:szCs w:val="24"/>
          <w:lang w:eastAsia="lt-LT"/>
        </w:rPr>
        <w:t>imo rezultatas: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color w:val="000000"/>
          <w:sz w:val="24"/>
          <w:szCs w:val="24"/>
          <w:lang w:eastAsia="en-US"/>
        </w:rPr>
        <w:t>6</w:t>
      </w:r>
      <w:r w:rsidR="00092913" w:rsidRPr="003851D3">
        <w:rPr>
          <w:rFonts w:eastAsia="Calibri"/>
          <w:color w:val="000000"/>
          <w:sz w:val="24"/>
          <w:szCs w:val="24"/>
          <w:lang w:eastAsia="en-US"/>
        </w:rPr>
        <w:t xml:space="preserve">.1.1. </w:t>
      </w:r>
      <w:r w:rsidR="00092913" w:rsidRPr="003851D3">
        <w:rPr>
          <w:rFonts w:eastAsia="Calibri"/>
          <w:sz w:val="24"/>
          <w:szCs w:val="24"/>
          <w:lang w:eastAsia="en-US"/>
        </w:rPr>
        <w:t>pagrindinio ugdymo pasiekimų patikrinimo metu bent pagrindinį mokymosi pasiekimų lygį pasiekusių mokinių dalis (lietuvių kalba, matematika) (procentais);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en-US"/>
        </w:rPr>
        <w:t>6</w:t>
      </w:r>
      <w:r w:rsidR="00092913" w:rsidRPr="003851D3">
        <w:rPr>
          <w:rFonts w:eastAsia="Calibri"/>
          <w:sz w:val="24"/>
          <w:szCs w:val="24"/>
          <w:lang w:eastAsia="en-US"/>
        </w:rPr>
        <w:t>.1.2. tris ir daugiau valstybinių brandos egzaminų išlaikiusių abiturientų dalis procentais;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6</w:t>
      </w:r>
      <w:r w:rsidR="00092913" w:rsidRPr="003851D3">
        <w:rPr>
          <w:rFonts w:eastAsia="Calibri"/>
          <w:sz w:val="24"/>
          <w:szCs w:val="24"/>
          <w:lang w:eastAsia="lt-LT"/>
        </w:rPr>
        <w:t>.1.3. mokinių, įgijusių pagrindinį išsilavinimą nuo baigusių pagrindinio ugdymo programą, dalis procentais;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lastRenderedPageBreak/>
        <w:t>6</w:t>
      </w:r>
      <w:r w:rsidR="00092913" w:rsidRPr="003851D3">
        <w:rPr>
          <w:rFonts w:eastAsia="Calibri"/>
          <w:sz w:val="24"/>
          <w:szCs w:val="24"/>
          <w:lang w:eastAsia="lt-LT"/>
        </w:rPr>
        <w:t>.1.4. mokinių, įgijusių vidurinį išsilavinimą nuo baigusių vidurinio ugdymo programą, dalis procentais;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6</w:t>
      </w:r>
      <w:r w:rsidR="00092913" w:rsidRPr="003851D3">
        <w:rPr>
          <w:rFonts w:eastAsia="Calibri"/>
          <w:sz w:val="24"/>
          <w:szCs w:val="24"/>
          <w:lang w:eastAsia="lt-LT"/>
        </w:rPr>
        <w:t>.1.5. neišlaikytų valstybinių brandos egzaminų dalis procentais nuo laikiusių egzaminus;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6</w:t>
      </w:r>
      <w:r w:rsidR="00092913" w:rsidRPr="003851D3">
        <w:rPr>
          <w:rFonts w:eastAsia="Calibri"/>
          <w:sz w:val="24"/>
          <w:szCs w:val="24"/>
          <w:lang w:eastAsia="lt-LT"/>
        </w:rPr>
        <w:t>.1.6. valstybinių brandos egzaminų, išlaikytų balais nuo 86 iki 100, dalis procentais nuo valstybinius brandos egzaminus išlaikiusių;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6</w:t>
      </w:r>
      <w:r w:rsidR="00092913" w:rsidRPr="003851D3">
        <w:rPr>
          <w:rFonts w:eastAsia="Calibri"/>
          <w:sz w:val="24"/>
          <w:szCs w:val="24"/>
          <w:lang w:eastAsia="lt-LT"/>
        </w:rPr>
        <w:t>.1.7. laimėtų prizinių vietų (zoninėse, regioninėse, tarpzoninėse, šalies, tarptautinėse) olimpiadose, varžybose, konkursuose skaičius;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6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.1.8. </w:t>
      </w:r>
      <w:r w:rsidR="00092913" w:rsidRPr="003851D3">
        <w:rPr>
          <w:rFonts w:eastAsia="Calibri"/>
          <w:sz w:val="24"/>
          <w:szCs w:val="24"/>
          <w:lang w:eastAsia="en-US"/>
        </w:rPr>
        <w:t>rajono olimpiadų, konkursų ir kitų renginių skaičius;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en-US"/>
        </w:rPr>
        <w:t>6</w:t>
      </w:r>
      <w:r w:rsidR="00092913" w:rsidRPr="003851D3">
        <w:rPr>
          <w:rFonts w:eastAsia="Calibri"/>
          <w:sz w:val="24"/>
          <w:szCs w:val="24"/>
          <w:lang w:eastAsia="en-US"/>
        </w:rPr>
        <w:t>.1.9. mokinių, dalyvavusių mokyklinėse, rajoninėse ir šalies sportinėse varžybose, skaičius ir dalis procentais nuo bendro mokinių skaičiaus;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en-US"/>
        </w:rPr>
        <w:t>6</w:t>
      </w:r>
      <w:r w:rsidR="00092913" w:rsidRPr="003851D3">
        <w:rPr>
          <w:rFonts w:eastAsia="Calibri"/>
          <w:sz w:val="24"/>
          <w:szCs w:val="24"/>
          <w:lang w:eastAsia="en-US"/>
        </w:rPr>
        <w:t xml:space="preserve">.1.10. </w:t>
      </w:r>
      <w:r w:rsidR="00092913" w:rsidRPr="003851D3">
        <w:rPr>
          <w:rFonts w:eastAsia="Calibri"/>
          <w:sz w:val="24"/>
          <w:szCs w:val="24"/>
          <w:lang w:eastAsia="lt-LT"/>
        </w:rPr>
        <w:t xml:space="preserve">paliktų kartoti kursą mokinių skaičius ir dalis procentais nuo bendro mokinių skaičiaus. </w:t>
      </w:r>
    </w:p>
    <w:p w:rsidR="00092913" w:rsidRPr="003851D3" w:rsidRDefault="009C3C61" w:rsidP="00092913">
      <w:pPr>
        <w:ind w:firstLine="720"/>
        <w:jc w:val="both"/>
        <w:rPr>
          <w:rFonts w:eastAsia="Calibri"/>
          <w:sz w:val="24"/>
          <w:szCs w:val="24"/>
          <w:lang w:eastAsia="lt-LT"/>
        </w:rPr>
      </w:pPr>
      <w:r w:rsidRPr="003851D3">
        <w:rPr>
          <w:rFonts w:eastAsia="Calibri"/>
          <w:sz w:val="24"/>
          <w:szCs w:val="24"/>
          <w:lang w:eastAsia="lt-LT"/>
        </w:rPr>
        <w:t>7</w:t>
      </w:r>
      <w:r w:rsidR="00092913" w:rsidRPr="003851D3">
        <w:rPr>
          <w:rFonts w:eastAsia="Calibri"/>
          <w:sz w:val="24"/>
          <w:szCs w:val="24"/>
          <w:lang w:eastAsia="lt-LT"/>
        </w:rPr>
        <w:t>. Panevėžio rajono savivaldybės švietimo stebėsenos rodiklių sąrašas atnaujinamas ne dažniau kaip kartą per metus.</w:t>
      </w:r>
    </w:p>
    <w:p w:rsidR="00092913" w:rsidRPr="00092913" w:rsidRDefault="00092913" w:rsidP="00465EE1">
      <w:pPr>
        <w:jc w:val="center"/>
        <w:rPr>
          <w:rFonts w:eastAsia="Calibri"/>
          <w:sz w:val="24"/>
          <w:szCs w:val="24"/>
          <w:lang w:eastAsia="en-US"/>
        </w:rPr>
      </w:pPr>
      <w:r w:rsidRPr="003851D3">
        <w:rPr>
          <w:rFonts w:eastAsia="Calibri"/>
          <w:sz w:val="24"/>
          <w:szCs w:val="24"/>
          <w:lang w:eastAsia="lt-LT"/>
        </w:rPr>
        <w:t>––––––––––––––––––––––––––––––––––––</w:t>
      </w:r>
    </w:p>
    <w:p w:rsidR="00092913" w:rsidRPr="00092913" w:rsidRDefault="00092913" w:rsidP="00092913">
      <w:pPr>
        <w:jc w:val="both"/>
        <w:rPr>
          <w:rFonts w:eastAsia="Calibri"/>
          <w:sz w:val="24"/>
          <w:szCs w:val="24"/>
          <w:lang w:eastAsia="lt-LT"/>
        </w:rPr>
      </w:pPr>
    </w:p>
    <w:p w:rsidR="00092913" w:rsidRPr="00092913" w:rsidRDefault="00092913" w:rsidP="00092913">
      <w:pPr>
        <w:jc w:val="both"/>
        <w:rPr>
          <w:rFonts w:eastAsia="Calibri"/>
          <w:sz w:val="24"/>
          <w:szCs w:val="24"/>
          <w:lang w:eastAsia="lt-LT"/>
        </w:rPr>
      </w:pPr>
    </w:p>
    <w:p w:rsidR="00092913" w:rsidRPr="00092913" w:rsidRDefault="00092913" w:rsidP="00092913">
      <w:pPr>
        <w:rPr>
          <w:rFonts w:eastAsia="Calibri"/>
          <w:sz w:val="24"/>
          <w:lang w:eastAsia="en-US"/>
        </w:rPr>
      </w:pPr>
    </w:p>
    <w:p w:rsidR="00092913" w:rsidRDefault="00092913" w:rsidP="00B717C0">
      <w:pPr>
        <w:rPr>
          <w:sz w:val="24"/>
          <w:szCs w:val="24"/>
        </w:rPr>
      </w:pPr>
    </w:p>
    <w:sectPr w:rsidR="00092913" w:rsidSect="00E2345B">
      <w:headerReference w:type="even" r:id="rId10"/>
      <w:footerReference w:type="even" r:id="rId11"/>
      <w:footerReference w:type="default" r:id="rId12"/>
      <w:headerReference w:type="first" r:id="rId13"/>
      <w:pgSz w:w="11900" w:h="16820" w:code="9"/>
      <w:pgMar w:top="709" w:right="567" w:bottom="567" w:left="1701" w:header="713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CF" w:rsidRDefault="00535DCF">
      <w:r>
        <w:separator/>
      </w:r>
    </w:p>
  </w:endnote>
  <w:endnote w:type="continuationSeparator" w:id="0">
    <w:p w:rsidR="00535DCF" w:rsidRDefault="0053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CF" w:rsidRDefault="00535DCF">
      <w:r>
        <w:separator/>
      </w:r>
    </w:p>
  </w:footnote>
  <w:footnote w:type="continuationSeparator" w:id="0">
    <w:p w:rsidR="00535DCF" w:rsidRDefault="00535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708169461" r:id="rId2"/>
      </w:object>
    </w:r>
  </w:p>
  <w:p w:rsidR="00A20CA3" w:rsidRDefault="00A20CA3" w:rsidP="00E2345B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69552066"/>
    <w:multiLevelType w:val="hybridMultilevel"/>
    <w:tmpl w:val="4AF85BCE"/>
    <w:lvl w:ilvl="0" w:tplc="760C3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16BC6"/>
    <w:rsid w:val="00024C83"/>
    <w:rsid w:val="00030F04"/>
    <w:rsid w:val="0003200E"/>
    <w:rsid w:val="00033922"/>
    <w:rsid w:val="000366CA"/>
    <w:rsid w:val="00037ED4"/>
    <w:rsid w:val="0004333D"/>
    <w:rsid w:val="00056D8B"/>
    <w:rsid w:val="0006425E"/>
    <w:rsid w:val="00066436"/>
    <w:rsid w:val="000726CD"/>
    <w:rsid w:val="000817B0"/>
    <w:rsid w:val="00092913"/>
    <w:rsid w:val="000B4C61"/>
    <w:rsid w:val="000C2C1B"/>
    <w:rsid w:val="000C57FE"/>
    <w:rsid w:val="000D31DB"/>
    <w:rsid w:val="000D4E25"/>
    <w:rsid w:val="000E2CC0"/>
    <w:rsid w:val="0010443F"/>
    <w:rsid w:val="001122D8"/>
    <w:rsid w:val="00123FC4"/>
    <w:rsid w:val="00132B84"/>
    <w:rsid w:val="001521E9"/>
    <w:rsid w:val="001561D4"/>
    <w:rsid w:val="00176A9A"/>
    <w:rsid w:val="00183D6D"/>
    <w:rsid w:val="00194207"/>
    <w:rsid w:val="001A126D"/>
    <w:rsid w:val="001B3C61"/>
    <w:rsid w:val="001C58F2"/>
    <w:rsid w:val="001C61BE"/>
    <w:rsid w:val="001D250F"/>
    <w:rsid w:val="001D300F"/>
    <w:rsid w:val="001D3E8B"/>
    <w:rsid w:val="001E587C"/>
    <w:rsid w:val="001F1DB5"/>
    <w:rsid w:val="001F314C"/>
    <w:rsid w:val="001F76FD"/>
    <w:rsid w:val="002057C1"/>
    <w:rsid w:val="0020598F"/>
    <w:rsid w:val="00226776"/>
    <w:rsid w:val="00227C4D"/>
    <w:rsid w:val="00233B6F"/>
    <w:rsid w:val="00235DD9"/>
    <w:rsid w:val="00261847"/>
    <w:rsid w:val="00261F70"/>
    <w:rsid w:val="0026259D"/>
    <w:rsid w:val="00262D8C"/>
    <w:rsid w:val="00263B0A"/>
    <w:rsid w:val="00294322"/>
    <w:rsid w:val="002A0B53"/>
    <w:rsid w:val="002A39C0"/>
    <w:rsid w:val="002A620D"/>
    <w:rsid w:val="002B0AE8"/>
    <w:rsid w:val="002B650F"/>
    <w:rsid w:val="002E6D62"/>
    <w:rsid w:val="002F3653"/>
    <w:rsid w:val="00305C2A"/>
    <w:rsid w:val="00312A99"/>
    <w:rsid w:val="003134F1"/>
    <w:rsid w:val="00315F2E"/>
    <w:rsid w:val="003449A2"/>
    <w:rsid w:val="0036189E"/>
    <w:rsid w:val="00362960"/>
    <w:rsid w:val="003658BB"/>
    <w:rsid w:val="003851D3"/>
    <w:rsid w:val="003B0A1D"/>
    <w:rsid w:val="003D0084"/>
    <w:rsid w:val="003E74C8"/>
    <w:rsid w:val="003F1608"/>
    <w:rsid w:val="003F6088"/>
    <w:rsid w:val="003F705B"/>
    <w:rsid w:val="00414126"/>
    <w:rsid w:val="004217A4"/>
    <w:rsid w:val="0042342E"/>
    <w:rsid w:val="0043358E"/>
    <w:rsid w:val="00443505"/>
    <w:rsid w:val="0045010E"/>
    <w:rsid w:val="00451EE0"/>
    <w:rsid w:val="00465EE1"/>
    <w:rsid w:val="004667C9"/>
    <w:rsid w:val="00470FEE"/>
    <w:rsid w:val="00477063"/>
    <w:rsid w:val="00477E8D"/>
    <w:rsid w:val="00484FA7"/>
    <w:rsid w:val="00486B87"/>
    <w:rsid w:val="004945AF"/>
    <w:rsid w:val="004A7209"/>
    <w:rsid w:val="004C3624"/>
    <w:rsid w:val="004C677D"/>
    <w:rsid w:val="004D44B8"/>
    <w:rsid w:val="004F117C"/>
    <w:rsid w:val="004F3EE5"/>
    <w:rsid w:val="00500556"/>
    <w:rsid w:val="00513110"/>
    <w:rsid w:val="00516260"/>
    <w:rsid w:val="005272E0"/>
    <w:rsid w:val="00535DCF"/>
    <w:rsid w:val="00537BC1"/>
    <w:rsid w:val="00545771"/>
    <w:rsid w:val="00551BBA"/>
    <w:rsid w:val="00551EE5"/>
    <w:rsid w:val="00563B93"/>
    <w:rsid w:val="00573C5E"/>
    <w:rsid w:val="005744ED"/>
    <w:rsid w:val="005924E6"/>
    <w:rsid w:val="005C069A"/>
    <w:rsid w:val="005D65C5"/>
    <w:rsid w:val="005E58D4"/>
    <w:rsid w:val="005F5E52"/>
    <w:rsid w:val="00606B6E"/>
    <w:rsid w:val="00626615"/>
    <w:rsid w:val="00627297"/>
    <w:rsid w:val="00645ED2"/>
    <w:rsid w:val="00646EFB"/>
    <w:rsid w:val="00647656"/>
    <w:rsid w:val="00647AB4"/>
    <w:rsid w:val="00651108"/>
    <w:rsid w:val="006626BF"/>
    <w:rsid w:val="00664528"/>
    <w:rsid w:val="00671F92"/>
    <w:rsid w:val="006751F9"/>
    <w:rsid w:val="00676522"/>
    <w:rsid w:val="00680B2D"/>
    <w:rsid w:val="00686DF1"/>
    <w:rsid w:val="006948D4"/>
    <w:rsid w:val="006B4F49"/>
    <w:rsid w:val="006C088A"/>
    <w:rsid w:val="006C406C"/>
    <w:rsid w:val="006E201B"/>
    <w:rsid w:val="006F0AFC"/>
    <w:rsid w:val="00706B91"/>
    <w:rsid w:val="00707437"/>
    <w:rsid w:val="00714CD1"/>
    <w:rsid w:val="00722E2D"/>
    <w:rsid w:val="00732B7D"/>
    <w:rsid w:val="00733F27"/>
    <w:rsid w:val="007374C1"/>
    <w:rsid w:val="00743FF5"/>
    <w:rsid w:val="00763BD7"/>
    <w:rsid w:val="0076488F"/>
    <w:rsid w:val="00772C26"/>
    <w:rsid w:val="00774045"/>
    <w:rsid w:val="00781276"/>
    <w:rsid w:val="0078185F"/>
    <w:rsid w:val="00791119"/>
    <w:rsid w:val="007916B0"/>
    <w:rsid w:val="00797EB2"/>
    <w:rsid w:val="007A2605"/>
    <w:rsid w:val="007A57F0"/>
    <w:rsid w:val="007C4637"/>
    <w:rsid w:val="007D5570"/>
    <w:rsid w:val="007F622B"/>
    <w:rsid w:val="00807362"/>
    <w:rsid w:val="00820336"/>
    <w:rsid w:val="008216DC"/>
    <w:rsid w:val="00823406"/>
    <w:rsid w:val="008301AD"/>
    <w:rsid w:val="00835598"/>
    <w:rsid w:val="008367D4"/>
    <w:rsid w:val="00853171"/>
    <w:rsid w:val="0087299A"/>
    <w:rsid w:val="0088350A"/>
    <w:rsid w:val="008835A1"/>
    <w:rsid w:val="008B36A5"/>
    <w:rsid w:val="008B49FF"/>
    <w:rsid w:val="008C20C3"/>
    <w:rsid w:val="008D0D6B"/>
    <w:rsid w:val="008F1AF8"/>
    <w:rsid w:val="00910932"/>
    <w:rsid w:val="0092534C"/>
    <w:rsid w:val="0093187D"/>
    <w:rsid w:val="00945BC9"/>
    <w:rsid w:val="0094698E"/>
    <w:rsid w:val="009474FB"/>
    <w:rsid w:val="00950605"/>
    <w:rsid w:val="00997C88"/>
    <w:rsid w:val="009A0E2B"/>
    <w:rsid w:val="009C1787"/>
    <w:rsid w:val="009C3C61"/>
    <w:rsid w:val="009D1116"/>
    <w:rsid w:val="009D3A2A"/>
    <w:rsid w:val="009F2EDE"/>
    <w:rsid w:val="00A148C8"/>
    <w:rsid w:val="00A20CA3"/>
    <w:rsid w:val="00A33F6F"/>
    <w:rsid w:val="00A35942"/>
    <w:rsid w:val="00A3678F"/>
    <w:rsid w:val="00A66EF5"/>
    <w:rsid w:val="00A76D45"/>
    <w:rsid w:val="00A84DDE"/>
    <w:rsid w:val="00AC13C7"/>
    <w:rsid w:val="00AD3E6B"/>
    <w:rsid w:val="00AE1CA5"/>
    <w:rsid w:val="00AF028D"/>
    <w:rsid w:val="00AF4F4A"/>
    <w:rsid w:val="00AF5675"/>
    <w:rsid w:val="00B13F62"/>
    <w:rsid w:val="00B15C17"/>
    <w:rsid w:val="00B17D3F"/>
    <w:rsid w:val="00B46923"/>
    <w:rsid w:val="00B4709B"/>
    <w:rsid w:val="00B540B1"/>
    <w:rsid w:val="00B554CA"/>
    <w:rsid w:val="00B55B6C"/>
    <w:rsid w:val="00B56947"/>
    <w:rsid w:val="00B56AF9"/>
    <w:rsid w:val="00B643CF"/>
    <w:rsid w:val="00B70539"/>
    <w:rsid w:val="00B717C0"/>
    <w:rsid w:val="00B71BBB"/>
    <w:rsid w:val="00B821C6"/>
    <w:rsid w:val="00B87532"/>
    <w:rsid w:val="00B93D10"/>
    <w:rsid w:val="00BA68CB"/>
    <w:rsid w:val="00BE63EE"/>
    <w:rsid w:val="00BF42FD"/>
    <w:rsid w:val="00BF6FCC"/>
    <w:rsid w:val="00C03226"/>
    <w:rsid w:val="00C214C7"/>
    <w:rsid w:val="00C23288"/>
    <w:rsid w:val="00C311B1"/>
    <w:rsid w:val="00C35EA5"/>
    <w:rsid w:val="00C400D4"/>
    <w:rsid w:val="00C42070"/>
    <w:rsid w:val="00C5272E"/>
    <w:rsid w:val="00C53D1A"/>
    <w:rsid w:val="00C63088"/>
    <w:rsid w:val="00C66055"/>
    <w:rsid w:val="00C66877"/>
    <w:rsid w:val="00C734C5"/>
    <w:rsid w:val="00C73D2B"/>
    <w:rsid w:val="00CE7248"/>
    <w:rsid w:val="00CF18B6"/>
    <w:rsid w:val="00CF509E"/>
    <w:rsid w:val="00D04CE9"/>
    <w:rsid w:val="00D1250C"/>
    <w:rsid w:val="00D16ACC"/>
    <w:rsid w:val="00D24A65"/>
    <w:rsid w:val="00D2603C"/>
    <w:rsid w:val="00D506B6"/>
    <w:rsid w:val="00D51518"/>
    <w:rsid w:val="00D518B4"/>
    <w:rsid w:val="00D51F91"/>
    <w:rsid w:val="00D53713"/>
    <w:rsid w:val="00D5469F"/>
    <w:rsid w:val="00D7278B"/>
    <w:rsid w:val="00D87744"/>
    <w:rsid w:val="00D954E4"/>
    <w:rsid w:val="00DA2992"/>
    <w:rsid w:val="00DA325F"/>
    <w:rsid w:val="00DB0993"/>
    <w:rsid w:val="00DB791C"/>
    <w:rsid w:val="00DC020B"/>
    <w:rsid w:val="00DC635B"/>
    <w:rsid w:val="00DD1C4F"/>
    <w:rsid w:val="00DE2944"/>
    <w:rsid w:val="00DE67B2"/>
    <w:rsid w:val="00DF1481"/>
    <w:rsid w:val="00DF5DA2"/>
    <w:rsid w:val="00DF7985"/>
    <w:rsid w:val="00E06727"/>
    <w:rsid w:val="00E0724C"/>
    <w:rsid w:val="00E1006E"/>
    <w:rsid w:val="00E15481"/>
    <w:rsid w:val="00E2345B"/>
    <w:rsid w:val="00E27563"/>
    <w:rsid w:val="00E540A5"/>
    <w:rsid w:val="00E61ED2"/>
    <w:rsid w:val="00E91AF0"/>
    <w:rsid w:val="00E95E1D"/>
    <w:rsid w:val="00E975DC"/>
    <w:rsid w:val="00EA4785"/>
    <w:rsid w:val="00EE2B7C"/>
    <w:rsid w:val="00EF62A0"/>
    <w:rsid w:val="00F001E0"/>
    <w:rsid w:val="00F06229"/>
    <w:rsid w:val="00F14C8B"/>
    <w:rsid w:val="00F30F4F"/>
    <w:rsid w:val="00F31AB3"/>
    <w:rsid w:val="00F36BBC"/>
    <w:rsid w:val="00F36EA2"/>
    <w:rsid w:val="00F47832"/>
    <w:rsid w:val="00F50945"/>
    <w:rsid w:val="00F60F5C"/>
    <w:rsid w:val="00F635C9"/>
    <w:rsid w:val="00F64540"/>
    <w:rsid w:val="00F66BA0"/>
    <w:rsid w:val="00F85AED"/>
    <w:rsid w:val="00F95E07"/>
    <w:rsid w:val="00FA0203"/>
    <w:rsid w:val="00FA4C1E"/>
    <w:rsid w:val="00FA68EE"/>
    <w:rsid w:val="00FA6AAC"/>
    <w:rsid w:val="00FB5F6A"/>
    <w:rsid w:val="00FB7D29"/>
    <w:rsid w:val="00FC063A"/>
    <w:rsid w:val="00FC38BC"/>
    <w:rsid w:val="00FC53CF"/>
    <w:rsid w:val="00FC6318"/>
    <w:rsid w:val="00FD3A4D"/>
    <w:rsid w:val="00FE1669"/>
    <w:rsid w:val="00FF1471"/>
    <w:rsid w:val="00FF26CF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CD7CA3-C291-4164-BBDA-056872E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2B0AE8"/>
  </w:style>
  <w:style w:type="character" w:styleId="Komentaronuoroda">
    <w:name w:val="annotation reference"/>
    <w:rsid w:val="004501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5010E"/>
  </w:style>
  <w:style w:type="character" w:customStyle="1" w:styleId="KomentarotekstasDiagrama">
    <w:name w:val="Komentaro tekstas Diagrama"/>
    <w:link w:val="Komentarotekstas"/>
    <w:rsid w:val="0045010E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45010E"/>
    <w:rPr>
      <w:b/>
      <w:bCs/>
    </w:rPr>
  </w:style>
  <w:style w:type="character" w:customStyle="1" w:styleId="KomentarotemaDiagrama">
    <w:name w:val="Komentaro tema Diagrama"/>
    <w:link w:val="Komentarotema"/>
    <w:rsid w:val="0045010E"/>
    <w:rPr>
      <w:b/>
      <w:bCs/>
      <w:lang w:eastAsia="ru-RU"/>
    </w:rPr>
  </w:style>
  <w:style w:type="character" w:customStyle="1" w:styleId="AntratsDiagrama">
    <w:name w:val="Antraštės Diagrama"/>
    <w:link w:val="Antrats"/>
    <w:uiPriority w:val="99"/>
    <w:rsid w:val="0080736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252/Litlex/LL.DLL?Tekstas=1?Id=162043&amp;Zd=&amp;BF=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0.252/Litlex/LL.DLL?Tekstas=1?Id=162043&amp;Zd=&amp;BF=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C064-8675-4315-AED1-2FDBCA16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6</TotalTime>
  <Pages>4</Pages>
  <Words>5889</Words>
  <Characters>3358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9229</CharactersWithSpaces>
  <SharedDoc>false</SharedDoc>
  <HLinks>
    <vt:vector size="12" baseType="variant"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http://192.168.0.252/Litlex/LL.DLL?Tekstas=1?Id=162043&amp;Zd=&amp;BF=1</vt:lpwstr>
      </vt:variant>
      <vt:variant>
        <vt:lpwstr/>
      </vt:variant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http://192.168.0.252/Litlex/LL.DLL?Tekstas=1?Id=162043&amp;Zd=&amp;BF=1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Diana Zukauskiene</cp:lastModifiedBy>
  <cp:revision>3</cp:revision>
  <cp:lastPrinted>2022-03-03T08:17:00Z</cp:lastPrinted>
  <dcterms:created xsi:type="dcterms:W3CDTF">2022-03-07T12:25:00Z</dcterms:created>
  <dcterms:modified xsi:type="dcterms:W3CDTF">2022-03-07T12:45:00Z</dcterms:modified>
</cp:coreProperties>
</file>