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85B" w:rsidRDefault="000C6894">
      <w:pPr>
        <w:pStyle w:val="Pagrindinistekstas2"/>
      </w:pPr>
      <w:r>
        <w:t xml:space="preserve">DĖL SAVIVALDYBĖS ADMINISTRACIJOS DIREKTORIAUS 2018 M. RUGSĖJO 21 D. ĮSAKYMO NR. A-391 „DĖL SAVIVALDYBĖS  ADMINISTRACIJOS TARNYBINIŲ IR NETARNYBINIŲ LENGVŲJŲ  AUTOMOBILIŲ NAUDOJIMO IR </w:t>
      </w:r>
      <w:r>
        <w:t>KOMPENSACIJŲ UŽ NETARNYBINIO AUTOMOBILIO NAUDOJIMĄ TARNYBOS REIKMĖMS MOKĖJIMO TAISYKLIŲ PATVIRTINIMO“ PAKEITIMO</w:t>
      </w:r>
    </w:p>
    <w:p w:rsidR="00AE085B" w:rsidRDefault="00AE085B">
      <w:pPr>
        <w:pStyle w:val="Pagrindinistekstas2"/>
        <w:jc w:val="left"/>
      </w:pPr>
    </w:p>
    <w:p w:rsidR="00AE085B" w:rsidRDefault="00AE085B">
      <w:pPr>
        <w:pStyle w:val="Standard"/>
        <w:jc w:val="center"/>
        <w:rPr>
          <w:color w:val="000000"/>
          <w:sz w:val="24"/>
          <w:lang w:val="lt-LT"/>
        </w:rPr>
      </w:pPr>
    </w:p>
    <w:p w:rsidR="00AE085B" w:rsidRDefault="000C6894">
      <w:pPr>
        <w:pStyle w:val="Standard"/>
        <w:jc w:val="center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 xml:space="preserve">2019 m. kovo  </w:t>
      </w:r>
      <w:r w:rsidR="00D47906">
        <w:rPr>
          <w:color w:val="000000"/>
          <w:sz w:val="24"/>
          <w:lang w:val="lt-LT"/>
        </w:rPr>
        <w:t>26</w:t>
      </w:r>
      <w:r>
        <w:rPr>
          <w:color w:val="000000"/>
          <w:sz w:val="24"/>
          <w:lang w:val="lt-LT"/>
        </w:rPr>
        <w:t xml:space="preserve">  d. Nr. A-</w:t>
      </w:r>
      <w:r w:rsidR="00D47906">
        <w:rPr>
          <w:color w:val="000000"/>
          <w:sz w:val="24"/>
          <w:lang w:val="lt-LT"/>
        </w:rPr>
        <w:t>155</w:t>
      </w:r>
      <w:bookmarkStart w:id="0" w:name="_GoBack"/>
      <w:bookmarkEnd w:id="0"/>
    </w:p>
    <w:p w:rsidR="00AE085B" w:rsidRDefault="000C6894">
      <w:pPr>
        <w:pStyle w:val="Standard"/>
        <w:jc w:val="center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Panevėžys</w:t>
      </w:r>
    </w:p>
    <w:p w:rsidR="00AE085B" w:rsidRDefault="00AE085B">
      <w:pPr>
        <w:pStyle w:val="Standard"/>
        <w:rPr>
          <w:color w:val="000000"/>
          <w:sz w:val="24"/>
          <w:lang w:val="lt-LT"/>
        </w:rPr>
      </w:pPr>
    </w:p>
    <w:p w:rsidR="00AE085B" w:rsidRDefault="000C6894">
      <w:pPr>
        <w:pStyle w:val="Standard"/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Vadovaudamasis Lietuvos Respublikos vietos savivaldos įstatymo 18 straipsnio 1 dalimi,</w:t>
      </w:r>
    </w:p>
    <w:p w:rsidR="00AE085B" w:rsidRDefault="000C6894">
      <w:pPr>
        <w:pStyle w:val="Standard"/>
        <w:jc w:val="both"/>
      </w:pPr>
      <w:r>
        <w:rPr>
          <w:sz w:val="24"/>
          <w:lang w:val="lt-LT"/>
        </w:rPr>
        <w:tab/>
      </w:r>
      <w:r>
        <w:rPr>
          <w:sz w:val="24"/>
          <w:szCs w:val="24"/>
          <w:lang w:val="lt-LT"/>
        </w:rPr>
        <w:t xml:space="preserve">p a k e i č i u </w:t>
      </w:r>
      <w:r>
        <w:rPr>
          <w:sz w:val="24"/>
          <w:szCs w:val="24"/>
          <w:lang w:val="lt-LT"/>
        </w:rPr>
        <w:t xml:space="preserve"> Savivaldybės  administracijos tarnybinių ir netarnybinių lengvųjų  automobilių naudojimo ir kompensacijų už netarnybinio automobilio naudojimą tarnybos reikmėms mokėjimo taisyklių, patvirtintų Savivaldybės administracijos direktoriaus 2018 m. rugsėjo 21 d</w:t>
      </w:r>
      <w:r>
        <w:rPr>
          <w:sz w:val="24"/>
          <w:szCs w:val="24"/>
          <w:lang w:val="lt-LT"/>
        </w:rPr>
        <w:t>. įsakymu          Nr. A-391 „Dėl Savivaldybės administracijos tarnybinių ir netarnybinių lengvųjų automobilių naudojimo ir kompensacijų už netarnybinio automobilio naudojimą tarnybos reikmėms mokėjimo taisyklių patvirtinimo“, 50–51 punktus ir juos išdėsta</w:t>
      </w:r>
      <w:r>
        <w:rPr>
          <w:sz w:val="24"/>
          <w:szCs w:val="24"/>
          <w:lang w:val="lt-LT"/>
        </w:rPr>
        <w:t>u taip:</w:t>
      </w:r>
    </w:p>
    <w:p w:rsidR="00AE085B" w:rsidRDefault="000C6894">
      <w:pPr>
        <w:pStyle w:val="HTMLiankstoformatuotas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„50. Netarnybinius automobilius naudoti tarnybos reikmėms leidžiama Savivaldybės administracijos seniūnijų seniūnų pavaduotojams, kompensacijos dydį nustatant atsižvelgiant į kriterijus – socialinių būstų seniūnijoje skaičių, deklaruojamos žemės p</w:t>
      </w:r>
      <w:r>
        <w:rPr>
          <w:rFonts w:ascii="Times New Roman" w:hAnsi="Times New Roman"/>
          <w:sz w:val="24"/>
          <w:szCs w:val="24"/>
        </w:rPr>
        <w:t>lotą, žemės ūkio veiklos subjektus, deklaravusių žemės ūkio pasėlius, skaičių, seniūnijos plotą bei atstumą iki Panevėžio miesto. Kitiems valstybės tarnautojams netarnybinius automobilius naudoti tarnybos reikmėms leidžiama tik išimtiniais atvejais, susida</w:t>
      </w:r>
      <w:r>
        <w:rPr>
          <w:rFonts w:ascii="Times New Roman" w:hAnsi="Times New Roman"/>
          <w:sz w:val="24"/>
          <w:szCs w:val="24"/>
        </w:rPr>
        <w:t>rius situacijai, kai nėra galimybės tarnybinių funkcijų atlikimui naudotis tarnybiniu transportu. Visais atvejais kompensacijos dydis už netarnybinio automobilio naudojimą tarnybos reikmėms negali viršyti 0,5 Statistikos departamento paskutinį kartą paskel</w:t>
      </w:r>
      <w:r>
        <w:rPr>
          <w:rFonts w:ascii="Times New Roman" w:hAnsi="Times New Roman"/>
          <w:sz w:val="24"/>
          <w:szCs w:val="24"/>
        </w:rPr>
        <w:t>bto šalies ūkio vidutinio mėnesinio darbo užmokesčio dydžio.</w:t>
      </w:r>
    </w:p>
    <w:p w:rsidR="00AE085B" w:rsidRDefault="000C6894">
      <w:pPr>
        <w:pStyle w:val="HTMLiankstoformatuotas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  <w:t>51. Sprendimą dėl kompensacijos mokėjimo už netarnybinių automobilių naudojimą tarnybos reikmėms nurodant darbuotojų pavardes įsakymu priima Savivaldybės administracijos direktorius, gavęs š</w:t>
      </w:r>
      <w:r>
        <w:rPr>
          <w:rFonts w:ascii="Times New Roman" w:hAnsi="Times New Roman"/>
          <w:sz w:val="24"/>
          <w:szCs w:val="24"/>
        </w:rPr>
        <w:t>ių taisyklių 49 punkte nurodytus dokumentus.“.</w:t>
      </w:r>
    </w:p>
    <w:p w:rsidR="00AE085B" w:rsidRDefault="00AE085B">
      <w:pPr>
        <w:pStyle w:val="Standard"/>
        <w:jc w:val="both"/>
        <w:rPr>
          <w:sz w:val="24"/>
          <w:szCs w:val="24"/>
        </w:rPr>
      </w:pPr>
    </w:p>
    <w:p w:rsidR="00AE085B" w:rsidRDefault="00AE085B">
      <w:pPr>
        <w:pStyle w:val="Standard"/>
        <w:jc w:val="both"/>
        <w:rPr>
          <w:sz w:val="24"/>
          <w:lang w:val="lt-LT"/>
        </w:rPr>
      </w:pPr>
    </w:p>
    <w:p w:rsidR="00AE085B" w:rsidRDefault="00AE085B">
      <w:pPr>
        <w:pStyle w:val="Standard"/>
        <w:jc w:val="both"/>
        <w:rPr>
          <w:sz w:val="24"/>
          <w:lang w:val="lt-LT"/>
        </w:rPr>
      </w:pPr>
    </w:p>
    <w:p w:rsidR="00AE085B" w:rsidRDefault="000C6894">
      <w:pPr>
        <w:pStyle w:val="Standard"/>
        <w:jc w:val="both"/>
        <w:rPr>
          <w:sz w:val="24"/>
          <w:lang w:val="lt-LT"/>
        </w:rPr>
      </w:pPr>
      <w:r>
        <w:rPr>
          <w:sz w:val="24"/>
          <w:lang w:val="lt-LT"/>
        </w:rPr>
        <w:t>Savivaldybės administracijos direktorius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Eugenijus </w:t>
      </w:r>
      <w:proofErr w:type="spellStart"/>
      <w:r>
        <w:rPr>
          <w:sz w:val="24"/>
          <w:lang w:val="lt-LT"/>
        </w:rPr>
        <w:t>Lunskis</w:t>
      </w:r>
      <w:proofErr w:type="spellEnd"/>
    </w:p>
    <w:p w:rsidR="00AE085B" w:rsidRDefault="00AE085B">
      <w:pPr>
        <w:pStyle w:val="Standard"/>
        <w:jc w:val="both"/>
        <w:rPr>
          <w:sz w:val="24"/>
          <w:lang w:val="lt-LT"/>
        </w:rPr>
      </w:pPr>
    </w:p>
    <w:p w:rsidR="00AE085B" w:rsidRDefault="000C6894">
      <w:pPr>
        <w:pStyle w:val="Standard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</w:t>
      </w:r>
    </w:p>
    <w:p w:rsidR="00AE085B" w:rsidRDefault="00AE085B">
      <w:pPr>
        <w:pStyle w:val="Standard"/>
        <w:jc w:val="both"/>
        <w:rPr>
          <w:sz w:val="24"/>
          <w:lang w:val="lt-LT"/>
        </w:rPr>
      </w:pPr>
    </w:p>
    <w:p w:rsidR="00AE085B" w:rsidRDefault="00AE085B">
      <w:pPr>
        <w:pStyle w:val="Standard"/>
        <w:jc w:val="both"/>
        <w:rPr>
          <w:sz w:val="24"/>
          <w:lang w:val="lt-LT"/>
        </w:rPr>
      </w:pPr>
    </w:p>
    <w:p w:rsidR="00AE085B" w:rsidRDefault="000C6894">
      <w:pPr>
        <w:pStyle w:val="Standard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Stasė </w:t>
      </w:r>
      <w:proofErr w:type="spellStart"/>
      <w:r>
        <w:rPr>
          <w:sz w:val="24"/>
          <w:lang w:val="lt-LT"/>
        </w:rPr>
        <w:t>Venslavičienė</w:t>
      </w:r>
      <w:proofErr w:type="spellEnd"/>
    </w:p>
    <w:p w:rsidR="00AE085B" w:rsidRDefault="000C6894">
      <w:pPr>
        <w:pStyle w:val="Standard"/>
        <w:jc w:val="both"/>
        <w:rPr>
          <w:sz w:val="24"/>
          <w:lang w:val="lt-LT"/>
        </w:rPr>
      </w:pPr>
      <w:r>
        <w:rPr>
          <w:sz w:val="24"/>
          <w:lang w:val="lt-LT"/>
        </w:rPr>
        <w:t>2019-03-25</w:t>
      </w:r>
    </w:p>
    <w:p w:rsidR="00AE085B" w:rsidRDefault="00AE085B">
      <w:pPr>
        <w:pStyle w:val="Standard"/>
        <w:jc w:val="both"/>
        <w:rPr>
          <w:sz w:val="24"/>
          <w:lang w:val="lt-LT"/>
        </w:rPr>
      </w:pPr>
    </w:p>
    <w:sectPr w:rsidR="00AE085B">
      <w:headerReference w:type="default" r:id="rId7"/>
      <w:footerReference w:type="default" r:id="rId8"/>
      <w:pgSz w:w="11906" w:h="16820"/>
      <w:pgMar w:top="1190" w:right="567" w:bottom="1365" w:left="1701" w:header="1134" w:footer="1134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894" w:rsidRDefault="000C6894">
      <w:r>
        <w:separator/>
      </w:r>
    </w:p>
  </w:endnote>
  <w:endnote w:type="continuationSeparator" w:id="0">
    <w:p w:rsidR="000C6894" w:rsidRDefault="000C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BA2" w:rsidRDefault="000C6894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894" w:rsidRDefault="000C6894">
      <w:r>
        <w:rPr>
          <w:color w:val="000000"/>
        </w:rPr>
        <w:separator/>
      </w:r>
    </w:p>
  </w:footnote>
  <w:footnote w:type="continuationSeparator" w:id="0">
    <w:p w:rsidR="000C6894" w:rsidRDefault="000C6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BA2" w:rsidRDefault="000C6894">
    <w:pPr>
      <w:pStyle w:val="Antrats"/>
      <w:jc w:val="center"/>
    </w:pPr>
    <w:r>
      <w:object w:dxaOrig="855" w:dyaOrig="1020" w14:anchorId="14F8A1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ktas1" o:spid="_x0000_i1025" type="#_x0000_t75" style="width:42.75pt;height:51pt;visibility:visible;mso-wrap-style:square" o:ole="">
          <v:imagedata r:id="rId1" o:title=""/>
        </v:shape>
        <o:OLEObject Type="Embed" ProgID="Unknown" ShapeID="Objektas1" DrawAspect="Content" ObjectID="_1615114066" r:id="rId2"/>
      </w:object>
    </w:r>
  </w:p>
  <w:p w:rsidR="00AD5BA2" w:rsidRDefault="000C6894">
    <w:pPr>
      <w:pStyle w:val="Antrats"/>
      <w:jc w:val="center"/>
    </w:pPr>
  </w:p>
  <w:p w:rsidR="00AD5BA2" w:rsidRDefault="000C6894">
    <w:pPr>
      <w:pStyle w:val="Antrats"/>
      <w:jc w:val="center"/>
    </w:pPr>
  </w:p>
  <w:p w:rsidR="00AD5BA2" w:rsidRDefault="000C6894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D5BA2" w:rsidRDefault="000C6894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AD5BA2" w:rsidRDefault="000C6894">
    <w:pPr>
      <w:pStyle w:val="Antrats"/>
      <w:jc w:val="center"/>
      <w:rPr>
        <w:b/>
        <w:sz w:val="28"/>
      </w:rPr>
    </w:pPr>
  </w:p>
  <w:p w:rsidR="00AD5BA2" w:rsidRDefault="000C6894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5498F"/>
    <w:multiLevelType w:val="multilevel"/>
    <w:tmpl w:val="651C81F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E085B"/>
    <w:rsid w:val="000C6894"/>
    <w:rsid w:val="00AE085B"/>
    <w:rsid w:val="00D4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26C53-3FC9-47D0-8200-A3A3D62F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lt-L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</w:pPr>
  </w:style>
  <w:style w:type="paragraph" w:styleId="Antrat1">
    <w:name w:val="heading 1"/>
    <w:basedOn w:val="Standard"/>
    <w:next w:val="Standard"/>
    <w:pPr>
      <w:keepNext/>
      <w:jc w:val="both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val="en-US"/>
    </w:rPr>
  </w:style>
  <w:style w:type="paragraph" w:styleId="Pavadinimas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  <w:lang w:val="lt-LT"/>
    </w:rPr>
  </w:style>
  <w:style w:type="paragraph" w:styleId="Sraas">
    <w:name w:val="List"/>
    <w:basedOn w:val="Textbody"/>
    <w:rPr>
      <w:rFonts w:cs="Mang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ntrats">
    <w:name w:val="header"/>
    <w:basedOn w:val="Standard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Standard"/>
    <w:pPr>
      <w:tabs>
        <w:tab w:val="center" w:pos="4153"/>
        <w:tab w:val="right" w:pos="8306"/>
      </w:tabs>
    </w:pPr>
    <w:rPr>
      <w:lang w:val="lt-LT"/>
    </w:rPr>
  </w:style>
  <w:style w:type="paragraph" w:styleId="Pagrindinistekstas2">
    <w:name w:val="Body Text 2"/>
    <w:basedOn w:val="Standard"/>
    <w:pPr>
      <w:jc w:val="center"/>
    </w:pPr>
    <w:rPr>
      <w:b/>
      <w:color w:val="000000"/>
      <w:sz w:val="24"/>
      <w:lang w:val="lt-LT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styleId="Puslapionumeris">
    <w:name w:val="page number"/>
    <w:basedOn w:val="Numatytasispastraiposriftas"/>
  </w:style>
  <w:style w:type="character" w:customStyle="1" w:styleId="NumberingSymbols">
    <w:name w:val="Numbering Symbols"/>
  </w:style>
  <w:style w:type="paragraph" w:styleId="Debesliotekstas">
    <w:name w:val="Balloon Text"/>
    <w:basedOn w:val="prastasis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rPr>
      <w:rFonts w:ascii="Segoe UI" w:hAnsi="Segoe UI"/>
      <w:sz w:val="18"/>
      <w:szCs w:val="16"/>
    </w:rPr>
  </w:style>
  <w:style w:type="paragraph" w:customStyle="1" w:styleId="HTMLiankstoformatuotas1">
    <w:name w:val="HTML iš anksto formatuotas1"/>
    <w:basedOn w:val="prastasis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auto"/>
    </w:pPr>
    <w:rPr>
      <w:rFonts w:ascii="Courier New" w:eastAsia="Times New Roman" w:hAnsi="Courier New" w:cs="Times New Roman"/>
      <w:kern w:val="0"/>
      <w:sz w:val="20"/>
      <w:szCs w:val="20"/>
      <w:lang w:eastAsia="hi-IN"/>
    </w:rPr>
  </w:style>
  <w:style w:type="numbering" w:customStyle="1" w:styleId="WW8Num1">
    <w:name w:val="WW8Num1"/>
    <w:basedOn w:val="Sraonr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1363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ADMINISTRACIJOS VALSTYBĖS TARNAUTOJŲ PAREIGYBIŲ SĄRAŠO PATVIRTINIMO</vt:lpstr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PAREIGYBIŲ SĄRAŠO PATVIRTINIMO</dc:title>
  <dc:creator>PC</dc:creator>
  <cp:lastModifiedBy>Stase Venslaviciene</cp:lastModifiedBy>
  <cp:revision>2</cp:revision>
  <cp:lastPrinted>2019-03-25T12:04:00Z</cp:lastPrinted>
  <dcterms:created xsi:type="dcterms:W3CDTF">2019-03-26T12:01:00Z</dcterms:created>
  <dcterms:modified xsi:type="dcterms:W3CDTF">2019-03-26T12:01:00Z</dcterms:modified>
</cp:coreProperties>
</file>